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DDC93F">
      <w:pPr>
        <w:keepNext w:val="0"/>
        <w:keepLines w:val="0"/>
        <w:widowControl w:val="0"/>
        <w:suppressLineNumbers w:val="0"/>
        <w:shd w:val="clear" w:color="auto" w:fill="auto"/>
        <w:spacing w:before="0" w:beforeAutospacing="0" w:after="0" w:afterAutospacing="0"/>
        <w:ind w:left="0" w:right="0"/>
        <w:jc w:val="both"/>
        <w:rPr>
          <w:rFonts w:hint="default" w:ascii="Times New Roman" w:hAnsi="Times New Roman" w:eastAsia="仿宋_GB2312" w:cs="Times New Roman"/>
          <w:color w:val="000000"/>
          <w:sz w:val="36"/>
          <w:szCs w:val="36"/>
          <w:highlight w:val="none"/>
          <w:lang w:val="en-US"/>
        </w:rPr>
      </w:pPr>
    </w:p>
    <w:p w14:paraId="65CCD072">
      <w:pPr>
        <w:pStyle w:val="9"/>
        <w:rPr>
          <w:rFonts w:hint="default"/>
          <w:lang w:val="en-US"/>
        </w:rPr>
      </w:pPr>
    </w:p>
    <w:p w14:paraId="727E5166">
      <w:pPr>
        <w:keepNext w:val="0"/>
        <w:keepLines w:val="0"/>
        <w:widowControl w:val="0"/>
        <w:suppressLineNumbers w:val="0"/>
        <w:shd w:val="clear" w:color="auto" w:fill="auto"/>
        <w:spacing w:before="0" w:beforeAutospacing="0" w:after="0" w:afterAutospacing="0"/>
        <w:ind w:left="0" w:right="0"/>
        <w:jc w:val="both"/>
        <w:rPr>
          <w:rFonts w:hint="default" w:ascii="Times New Roman" w:hAnsi="Times New Roman" w:eastAsia="仿宋_GB2312" w:cs="Times New Roman"/>
          <w:color w:val="000000"/>
          <w:sz w:val="36"/>
          <w:szCs w:val="36"/>
          <w:highlight w:val="none"/>
          <w:lang w:val="en-US"/>
        </w:rPr>
      </w:pPr>
    </w:p>
    <w:p w14:paraId="0F23F7AB">
      <w:pPr>
        <w:keepNext w:val="0"/>
        <w:keepLines w:val="0"/>
        <w:widowControl w:val="0"/>
        <w:suppressLineNumbers w:val="0"/>
        <w:shd w:val="clear" w:color="auto" w:fill="auto"/>
        <w:spacing w:before="0" w:beforeAutospacing="0" w:after="0" w:afterAutospacing="0"/>
        <w:ind w:left="0" w:right="0"/>
        <w:jc w:val="both"/>
        <w:rPr>
          <w:rFonts w:hint="default" w:ascii="Times New Roman" w:hAnsi="Times New Roman" w:eastAsia="仿宋_GB2312" w:cs="Times New Roman"/>
          <w:color w:val="000000"/>
          <w:sz w:val="36"/>
          <w:szCs w:val="36"/>
          <w:highlight w:val="none"/>
          <w:lang w:val="en-US"/>
        </w:rPr>
      </w:pPr>
    </w:p>
    <w:p w14:paraId="43BC1C2B">
      <w:pPr>
        <w:keepNext w:val="0"/>
        <w:keepLines w:val="0"/>
        <w:widowControl w:val="0"/>
        <w:suppressLineNumbers w:val="0"/>
        <w:shd w:val="clear" w:color="auto" w:fill="auto"/>
        <w:adjustRightInd w:val="0"/>
        <w:snapToGrid w:val="0"/>
        <w:spacing w:before="0" w:beforeAutospacing="0" w:after="0" w:afterAutospacing="0"/>
        <w:ind w:left="0" w:right="0"/>
        <w:jc w:val="center"/>
        <w:outlineLvl w:val="0"/>
        <w:rPr>
          <w:rFonts w:hint="default" w:ascii="Times New Roman" w:hAnsi="Times New Roman" w:eastAsia="方正小标宋_GBK" w:cs="Times New Roman"/>
          <w:bCs/>
          <w:color w:val="000000"/>
          <w:sz w:val="72"/>
          <w:szCs w:val="72"/>
          <w:highlight w:val="none"/>
          <w:lang w:val="en-US"/>
        </w:rPr>
      </w:pPr>
      <w:bookmarkStart w:id="0" w:name="_Toc8304"/>
      <w:r>
        <w:rPr>
          <w:rFonts w:hint="default" w:ascii="Times New Roman" w:hAnsi="Times New Roman" w:eastAsia="方正小标宋_GBK" w:cs="Times New Roman"/>
          <w:bCs/>
          <w:color w:val="000000"/>
          <w:kern w:val="2"/>
          <w:sz w:val="72"/>
          <w:szCs w:val="72"/>
          <w:highlight w:val="none"/>
          <w:lang w:val="en-US" w:eastAsia="zh-CN" w:bidi="zh-HK"/>
        </w:rPr>
        <w:t>建设项目环境影响报告表</w:t>
      </w:r>
      <w:bookmarkEnd w:id="0"/>
    </w:p>
    <w:p w14:paraId="6C96A223">
      <w:pPr>
        <w:keepNext w:val="0"/>
        <w:keepLines w:val="0"/>
        <w:widowControl w:val="0"/>
        <w:suppressLineNumbers w:val="0"/>
        <w:shd w:val="clear" w:color="auto" w:fill="auto"/>
        <w:adjustRightInd w:val="0"/>
        <w:snapToGrid w:val="0"/>
        <w:spacing w:before="192" w:beforeLines="80" w:beforeAutospacing="0" w:after="0" w:afterAutospacing="0"/>
        <w:ind w:left="0" w:right="0"/>
        <w:jc w:val="center"/>
        <w:rPr>
          <w:rFonts w:hint="default" w:ascii="Times New Roman" w:hAnsi="Times New Roman" w:eastAsia="楷体_GB2312" w:cs="Times New Roman"/>
          <w:bCs/>
          <w:color w:val="000000"/>
          <w:sz w:val="48"/>
          <w:szCs w:val="48"/>
          <w:highlight w:val="none"/>
          <w:lang w:val="en-US"/>
        </w:rPr>
      </w:pPr>
      <w:r>
        <w:rPr>
          <w:rFonts w:hint="default" w:ascii="Times New Roman" w:hAnsi="Times New Roman" w:eastAsia="楷体_GB2312" w:cs="Times New Roman"/>
          <w:bCs/>
          <w:color w:val="000000"/>
          <w:kern w:val="2"/>
          <w:sz w:val="48"/>
          <w:szCs w:val="48"/>
          <w:highlight w:val="none"/>
          <w:lang w:val="en-US" w:eastAsia="zh-CN" w:bidi="zh-HK"/>
        </w:rPr>
        <w:t>（污染影响类）</w:t>
      </w:r>
    </w:p>
    <w:p w14:paraId="3B6AFDB1">
      <w:pPr>
        <w:keepNext w:val="0"/>
        <w:keepLines w:val="0"/>
        <w:widowControl w:val="0"/>
        <w:suppressLineNumbers w:val="0"/>
        <w:shd w:val="clear" w:color="auto" w:fill="auto"/>
        <w:adjustRightInd w:val="0"/>
        <w:snapToGrid w:val="0"/>
        <w:spacing w:before="0" w:beforeAutospacing="0" w:after="0" w:afterAutospacing="0" w:line="288" w:lineRule="auto"/>
        <w:ind w:left="0" w:right="0"/>
        <w:jc w:val="center"/>
        <w:outlineLvl w:val="0"/>
        <w:rPr>
          <w:rFonts w:hint="default" w:ascii="Times New Roman" w:hAnsi="Times New Roman" w:eastAsia="华文仿宋" w:cs="Times New Roman"/>
          <w:color w:val="000000"/>
          <w:kern w:val="44"/>
          <w:sz w:val="44"/>
          <w:szCs w:val="44"/>
          <w:highlight w:val="none"/>
          <w:lang w:val="en-US"/>
        </w:rPr>
      </w:pPr>
    </w:p>
    <w:p w14:paraId="3AA56F98">
      <w:pPr>
        <w:keepNext w:val="0"/>
        <w:keepLines w:val="0"/>
        <w:widowControl w:val="0"/>
        <w:suppressLineNumbers w:val="0"/>
        <w:shd w:val="clear" w:color="auto" w:fill="auto"/>
        <w:spacing w:before="0" w:beforeAutospacing="0" w:after="0" w:afterAutospacing="0"/>
        <w:ind w:left="0" w:right="0"/>
        <w:jc w:val="center"/>
        <w:rPr>
          <w:rFonts w:hint="default" w:ascii="Times New Roman" w:hAnsi="Times New Roman" w:eastAsia="仿宋" w:cs="Times New Roman"/>
          <w:color w:val="000000"/>
          <w:sz w:val="52"/>
          <w:szCs w:val="52"/>
          <w:highlight w:val="none"/>
          <w:lang w:val="en-US"/>
        </w:rPr>
      </w:pPr>
    </w:p>
    <w:p w14:paraId="076E3772">
      <w:pPr>
        <w:keepNext w:val="0"/>
        <w:keepLines w:val="0"/>
        <w:widowControl w:val="0"/>
        <w:suppressLineNumbers w:val="0"/>
        <w:shd w:val="clear" w:color="auto" w:fill="auto"/>
        <w:spacing w:before="0" w:beforeAutospacing="0" w:after="0" w:afterAutospacing="0"/>
        <w:ind w:left="0" w:right="0" w:firstLine="1040"/>
        <w:jc w:val="both"/>
        <w:rPr>
          <w:rFonts w:hint="default" w:ascii="Times New Roman" w:hAnsi="Times New Roman" w:eastAsia="仿宋" w:cs="Times New Roman"/>
          <w:color w:val="000000"/>
          <w:sz w:val="44"/>
          <w:szCs w:val="44"/>
          <w:highlight w:val="none"/>
          <w:lang w:val="en-US"/>
        </w:rPr>
      </w:pPr>
    </w:p>
    <w:p w14:paraId="2FA14F69">
      <w:pPr>
        <w:keepNext w:val="0"/>
        <w:keepLines w:val="0"/>
        <w:widowControl w:val="0"/>
        <w:suppressLineNumbers w:val="0"/>
        <w:shd w:val="clear" w:color="auto" w:fill="auto"/>
        <w:spacing w:before="0" w:beforeAutospacing="0" w:after="0" w:afterAutospacing="0"/>
        <w:ind w:left="0" w:right="0" w:firstLine="1040"/>
        <w:jc w:val="both"/>
        <w:rPr>
          <w:rFonts w:hint="default" w:ascii="Times New Roman" w:hAnsi="Times New Roman" w:eastAsia="仿宋" w:cs="Times New Roman"/>
          <w:color w:val="000000"/>
          <w:sz w:val="44"/>
          <w:szCs w:val="44"/>
          <w:highlight w:val="none"/>
          <w:lang w:val="en-US"/>
        </w:rPr>
      </w:pPr>
    </w:p>
    <w:p w14:paraId="657BB0A6">
      <w:pPr>
        <w:pStyle w:val="61"/>
        <w:shd w:val="clear" w:color="auto" w:fill="auto"/>
        <w:ind w:hanging="880"/>
        <w:rPr>
          <w:rFonts w:hint="default" w:ascii="Times New Roman" w:hAnsi="Times New Roman" w:eastAsia="仿宋" w:cs="Times New Roman"/>
          <w:color w:val="000000"/>
          <w:sz w:val="44"/>
          <w:szCs w:val="44"/>
          <w:highlight w:val="none"/>
          <w:lang w:val="en-US"/>
        </w:rPr>
      </w:pPr>
    </w:p>
    <w:p w14:paraId="0B725744">
      <w:pPr>
        <w:shd w:val="clear" w:color="auto" w:fill="auto"/>
        <w:rPr>
          <w:rFonts w:hint="default" w:ascii="Times New Roman" w:hAnsi="Times New Roman" w:eastAsia="仿宋" w:cs="Times New Roman"/>
          <w:color w:val="000000"/>
          <w:sz w:val="44"/>
          <w:szCs w:val="44"/>
          <w:highlight w:val="none"/>
          <w:lang w:val="en-US"/>
        </w:rPr>
      </w:pPr>
    </w:p>
    <w:p w14:paraId="34488065">
      <w:pPr>
        <w:pStyle w:val="18"/>
        <w:shd w:val="clear" w:color="auto" w:fill="auto"/>
        <w:spacing w:line="360" w:lineRule="auto"/>
        <w:rPr>
          <w:rFonts w:hint="default" w:ascii="Times New Roman" w:hAnsi="Times New Roman" w:eastAsia="仿宋" w:cs="Times New Roman"/>
          <w:color w:val="000000"/>
          <w:sz w:val="44"/>
          <w:szCs w:val="44"/>
          <w:highlight w:val="none"/>
          <w:lang w:val="en-US"/>
        </w:rPr>
      </w:pPr>
    </w:p>
    <w:p w14:paraId="6FF0BAAE">
      <w:pPr>
        <w:keepNext w:val="0"/>
        <w:keepLines w:val="0"/>
        <w:widowControl w:val="0"/>
        <w:suppressLineNumbers w:val="0"/>
        <w:shd w:val="clear" w:color="auto" w:fill="auto"/>
        <w:adjustRightInd w:val="0"/>
        <w:snapToGrid w:val="0"/>
        <w:spacing w:before="0" w:beforeAutospacing="0" w:after="0" w:afterAutospacing="0" w:line="360" w:lineRule="auto"/>
        <w:ind w:right="0" w:firstLine="643" w:firstLineChars="200"/>
        <w:jc w:val="both"/>
        <w:rPr>
          <w:rFonts w:hint="default" w:ascii="Times New Roman" w:hAnsi="Times New Roman" w:eastAsia="仿宋_GB2312" w:cs="Times New Roman"/>
          <w:b/>
          <w:bCs/>
          <w:color w:val="000000"/>
          <w:kern w:val="2"/>
          <w:sz w:val="32"/>
          <w:szCs w:val="32"/>
          <w:highlight w:val="none"/>
          <w:u w:val="single"/>
          <w:lang w:val="en-US" w:eastAsia="zh-CN" w:bidi="zh-HK"/>
        </w:rPr>
      </w:pPr>
      <w:r>
        <w:rPr>
          <w:rFonts w:hint="default" w:ascii="Times New Roman" w:hAnsi="Times New Roman" w:eastAsia="仿宋_GB2312" w:cs="Times New Roman"/>
          <w:b/>
          <w:bCs/>
          <w:color w:val="000000"/>
          <w:kern w:val="2"/>
          <w:sz w:val="32"/>
          <w:szCs w:val="32"/>
          <w:highlight w:val="none"/>
          <w:lang w:val="en-US" w:eastAsia="zh-CN" w:bidi="zh-HK"/>
        </w:rPr>
        <w:t>项目名称</w:t>
      </w:r>
      <w:r>
        <w:rPr>
          <w:rFonts w:hint="eastAsia" w:ascii="Times New Roman" w:hAnsi="Times New Roman" w:eastAsia="仿宋_GB2312" w:cs="Times New Roman"/>
          <w:b/>
          <w:bCs/>
          <w:color w:val="000000"/>
          <w:kern w:val="2"/>
          <w:sz w:val="32"/>
          <w:szCs w:val="32"/>
          <w:highlight w:val="none"/>
          <w:u w:val="none"/>
          <w:lang w:val="en-US" w:eastAsia="zh-CN" w:bidi="zh-HK"/>
        </w:rPr>
        <w:t>：</w:t>
      </w:r>
      <w:r>
        <w:rPr>
          <w:rFonts w:hint="eastAsia" w:eastAsia="仿宋_GB2312" w:cs="Times New Roman"/>
          <w:b/>
          <w:bCs/>
          <w:color w:val="000000"/>
          <w:kern w:val="2"/>
          <w:sz w:val="32"/>
          <w:szCs w:val="32"/>
          <w:highlight w:val="none"/>
          <w:u w:val="single"/>
          <w:lang w:val="en-US" w:eastAsia="zh-CN" w:bidi="zh-HK"/>
        </w:rPr>
        <w:t xml:space="preserve">    </w:t>
      </w:r>
      <w:r>
        <w:rPr>
          <w:rFonts w:hint="eastAsia" w:ascii="Times New Roman" w:hAnsi="Times New Roman" w:eastAsia="仿宋_GB2312" w:cs="Times New Roman"/>
          <w:b/>
          <w:bCs/>
          <w:color w:val="000000"/>
          <w:kern w:val="2"/>
          <w:sz w:val="32"/>
          <w:szCs w:val="32"/>
          <w:highlight w:val="none"/>
          <w:u w:val="single"/>
          <w:lang w:val="en-US" w:eastAsia="zh-CN" w:bidi="zh-HK"/>
        </w:rPr>
        <w:t>年产600吨白酒加工生产项目</w:t>
      </w:r>
      <w:r>
        <w:rPr>
          <w:rFonts w:hint="default" w:ascii="Times New Roman" w:hAnsi="Times New Roman" w:eastAsia="仿宋_GB2312" w:cs="Times New Roman"/>
          <w:b/>
          <w:bCs/>
          <w:color w:val="000000"/>
          <w:kern w:val="2"/>
          <w:sz w:val="32"/>
          <w:szCs w:val="32"/>
          <w:highlight w:val="none"/>
          <w:u w:val="single"/>
          <w:lang w:val="en-US" w:eastAsia="zh-CN" w:bidi="zh-HK"/>
        </w:rPr>
        <w:t xml:space="preserve"> </w:t>
      </w:r>
      <w:r>
        <w:rPr>
          <w:rFonts w:hint="eastAsia" w:ascii="Times New Roman" w:hAnsi="Times New Roman" w:eastAsia="仿宋_GB2312" w:cs="Times New Roman"/>
          <w:b/>
          <w:bCs/>
          <w:color w:val="000000"/>
          <w:kern w:val="2"/>
          <w:sz w:val="32"/>
          <w:szCs w:val="32"/>
          <w:highlight w:val="none"/>
          <w:u w:val="single"/>
          <w:lang w:val="en-US" w:eastAsia="zh-CN" w:bidi="zh-HK"/>
        </w:rPr>
        <w:t xml:space="preserve">        </w:t>
      </w:r>
      <w:r>
        <w:rPr>
          <w:rFonts w:hint="default" w:ascii="Times New Roman" w:hAnsi="Times New Roman" w:eastAsia="仿宋_GB2312" w:cs="Times New Roman"/>
          <w:b/>
          <w:bCs/>
          <w:color w:val="000000"/>
          <w:kern w:val="2"/>
          <w:sz w:val="32"/>
          <w:szCs w:val="32"/>
          <w:highlight w:val="none"/>
          <w:u w:val="single"/>
          <w:lang w:val="en-US" w:eastAsia="zh-CN" w:bidi="zh-HK"/>
        </w:rPr>
        <w:t xml:space="preserve">  </w:t>
      </w:r>
    </w:p>
    <w:p w14:paraId="209FCA2B">
      <w:pPr>
        <w:keepNext w:val="0"/>
        <w:keepLines w:val="0"/>
        <w:widowControl w:val="0"/>
        <w:suppressLineNumbers w:val="0"/>
        <w:shd w:val="clear" w:color="auto" w:fill="auto"/>
        <w:adjustRightInd w:val="0"/>
        <w:snapToGrid w:val="0"/>
        <w:spacing w:before="0" w:beforeAutospacing="0" w:after="0" w:afterAutospacing="0" w:line="360" w:lineRule="auto"/>
        <w:ind w:right="0" w:firstLine="643" w:firstLineChars="200"/>
        <w:jc w:val="both"/>
        <w:rPr>
          <w:rFonts w:hint="default" w:ascii="Times New Roman" w:hAnsi="Times New Roman" w:eastAsia="仿宋_GB2312" w:cs="Times New Roman"/>
          <w:b/>
          <w:bCs/>
          <w:color w:val="000000"/>
          <w:sz w:val="32"/>
          <w:szCs w:val="32"/>
          <w:highlight w:val="none"/>
          <w:u w:val="single"/>
          <w:lang w:val="en-US"/>
        </w:rPr>
      </w:pPr>
      <w:r>
        <w:rPr>
          <w:rFonts w:hint="default" w:ascii="Times New Roman" w:hAnsi="Times New Roman" w:eastAsia="仿宋_GB2312" w:cs="Times New Roman"/>
          <w:b/>
          <w:bCs/>
          <w:color w:val="000000"/>
          <w:kern w:val="2"/>
          <w:sz w:val="32"/>
          <w:szCs w:val="32"/>
          <w:highlight w:val="none"/>
          <w:lang w:val="en-US" w:eastAsia="zh-CN" w:bidi="zh-HK"/>
        </w:rPr>
        <w:t>建设单位（盖章）：</w:t>
      </w:r>
      <w:r>
        <w:rPr>
          <w:rFonts w:hint="eastAsia" w:ascii="Times New Roman" w:hAnsi="Times New Roman" w:eastAsia="仿宋_GB2312" w:cs="Times New Roman"/>
          <w:b/>
          <w:bCs/>
          <w:color w:val="000000"/>
          <w:kern w:val="2"/>
          <w:sz w:val="32"/>
          <w:szCs w:val="32"/>
          <w:highlight w:val="none"/>
          <w:u w:val="single"/>
          <w:lang w:val="en-US" w:eastAsia="zh-CN" w:bidi="zh-HK"/>
        </w:rPr>
        <w:t>陕西雍州盛翔酒业有限公司</w:t>
      </w:r>
      <w:r>
        <w:rPr>
          <w:rFonts w:hint="default" w:ascii="Times New Roman" w:hAnsi="Times New Roman" w:eastAsia="仿宋_GB2312" w:cs="Times New Roman"/>
          <w:b/>
          <w:bCs/>
          <w:color w:val="000000"/>
          <w:kern w:val="2"/>
          <w:sz w:val="32"/>
          <w:szCs w:val="32"/>
          <w:highlight w:val="none"/>
          <w:u w:val="single"/>
          <w:lang w:val="en-US" w:eastAsia="zh-CN" w:bidi="zh-HK"/>
        </w:rPr>
        <w:t xml:space="preserve"> </w:t>
      </w:r>
      <w:r>
        <w:rPr>
          <w:rFonts w:hint="eastAsia" w:ascii="Times New Roman" w:hAnsi="Times New Roman" w:eastAsia="仿宋_GB2312" w:cs="Times New Roman"/>
          <w:b/>
          <w:bCs/>
          <w:color w:val="000000"/>
          <w:kern w:val="2"/>
          <w:sz w:val="32"/>
          <w:szCs w:val="32"/>
          <w:highlight w:val="none"/>
          <w:u w:val="single"/>
          <w:lang w:val="en-US" w:eastAsia="zh-CN" w:bidi="zh-HK"/>
        </w:rPr>
        <w:t xml:space="preserve"> </w:t>
      </w:r>
      <w:r>
        <w:rPr>
          <w:rFonts w:hint="default" w:ascii="Times New Roman" w:hAnsi="Times New Roman" w:eastAsia="仿宋_GB2312" w:cs="Times New Roman"/>
          <w:b/>
          <w:bCs/>
          <w:color w:val="000000"/>
          <w:kern w:val="2"/>
          <w:sz w:val="32"/>
          <w:szCs w:val="32"/>
          <w:highlight w:val="none"/>
          <w:u w:val="single"/>
          <w:lang w:val="en-US" w:eastAsia="zh-CN" w:bidi="zh-HK"/>
        </w:rPr>
        <w:t xml:space="preserve">  </w:t>
      </w:r>
      <w:r>
        <w:rPr>
          <w:rFonts w:hint="eastAsia" w:ascii="Times New Roman" w:hAnsi="Times New Roman" w:eastAsia="仿宋_GB2312" w:cs="Times New Roman"/>
          <w:b/>
          <w:bCs/>
          <w:color w:val="000000"/>
          <w:kern w:val="2"/>
          <w:sz w:val="32"/>
          <w:szCs w:val="32"/>
          <w:highlight w:val="none"/>
          <w:u w:val="single"/>
          <w:lang w:val="en-US" w:eastAsia="zh-CN" w:bidi="zh-HK"/>
        </w:rPr>
        <w:t xml:space="preserve">     </w:t>
      </w:r>
    </w:p>
    <w:p w14:paraId="276C2B22">
      <w:pPr>
        <w:keepNext w:val="0"/>
        <w:keepLines w:val="0"/>
        <w:widowControl w:val="0"/>
        <w:suppressLineNumbers w:val="0"/>
        <w:shd w:val="clear" w:color="auto" w:fill="auto"/>
        <w:adjustRightInd w:val="0"/>
        <w:snapToGrid w:val="0"/>
        <w:spacing w:before="0" w:beforeAutospacing="0" w:after="0" w:afterAutospacing="0" w:line="360" w:lineRule="auto"/>
        <w:ind w:right="0" w:firstLine="643" w:firstLineChars="200"/>
        <w:jc w:val="both"/>
        <w:rPr>
          <w:rFonts w:hint="default" w:ascii="Times New Roman" w:hAnsi="Times New Roman" w:eastAsia="仿宋_GB2312" w:cs="Times New Roman"/>
          <w:b/>
          <w:bCs/>
          <w:color w:val="000000"/>
          <w:sz w:val="32"/>
          <w:szCs w:val="32"/>
          <w:highlight w:val="none"/>
          <w:u w:val="single"/>
          <w:lang w:val="en-US"/>
        </w:rPr>
      </w:pPr>
      <w:r>
        <w:rPr>
          <w:rFonts w:hint="default" w:ascii="Times New Roman" w:hAnsi="Times New Roman" w:eastAsia="仿宋_GB2312" w:cs="Times New Roman"/>
          <w:b/>
          <w:bCs/>
          <w:color w:val="000000"/>
          <w:kern w:val="2"/>
          <w:sz w:val="32"/>
          <w:szCs w:val="32"/>
          <w:highlight w:val="none"/>
          <w:lang w:val="en-US" w:eastAsia="zh-CN" w:bidi="zh-HK"/>
        </w:rPr>
        <w:t>编制日期：</w:t>
      </w:r>
      <w:r>
        <w:rPr>
          <w:rFonts w:hint="default" w:ascii="Times New Roman" w:hAnsi="Times New Roman" w:eastAsia="仿宋_GB2312" w:cs="Times New Roman"/>
          <w:b/>
          <w:bCs/>
          <w:color w:val="000000"/>
          <w:kern w:val="2"/>
          <w:sz w:val="32"/>
          <w:szCs w:val="32"/>
          <w:highlight w:val="none"/>
          <w:u w:val="single"/>
          <w:lang w:val="en-US" w:eastAsia="zh-CN" w:bidi="zh-HK"/>
        </w:rPr>
        <w:t xml:space="preserve">      </w:t>
      </w:r>
      <w:r>
        <w:rPr>
          <w:rFonts w:hint="eastAsia" w:ascii="Times New Roman" w:hAnsi="Times New Roman" w:eastAsia="仿宋_GB2312" w:cs="Times New Roman"/>
          <w:b/>
          <w:bCs/>
          <w:color w:val="000000"/>
          <w:kern w:val="2"/>
          <w:sz w:val="32"/>
          <w:szCs w:val="32"/>
          <w:highlight w:val="none"/>
          <w:u w:val="single"/>
          <w:lang w:val="en-US" w:eastAsia="zh-CN" w:bidi="zh-HK"/>
        </w:rPr>
        <w:t xml:space="preserve">           </w:t>
      </w:r>
      <w:r>
        <w:rPr>
          <w:rFonts w:hint="default" w:ascii="Times New Roman" w:hAnsi="Times New Roman" w:eastAsia="仿宋_GB2312" w:cs="Times New Roman"/>
          <w:b/>
          <w:bCs/>
          <w:color w:val="000000"/>
          <w:kern w:val="2"/>
          <w:sz w:val="32"/>
          <w:szCs w:val="32"/>
          <w:highlight w:val="none"/>
          <w:u w:val="single"/>
          <w:lang w:val="en-US" w:eastAsia="zh-CN" w:bidi="zh-HK"/>
        </w:rPr>
        <w:t>202</w:t>
      </w:r>
      <w:r>
        <w:rPr>
          <w:rFonts w:hint="eastAsia" w:ascii="Times New Roman" w:hAnsi="Times New Roman" w:eastAsia="仿宋_GB2312" w:cs="Times New Roman"/>
          <w:b/>
          <w:bCs/>
          <w:color w:val="000000"/>
          <w:kern w:val="2"/>
          <w:sz w:val="32"/>
          <w:szCs w:val="32"/>
          <w:highlight w:val="none"/>
          <w:u w:val="single"/>
          <w:lang w:val="en-US" w:eastAsia="zh-CN" w:bidi="zh-HK"/>
        </w:rPr>
        <w:t>5</w:t>
      </w:r>
      <w:r>
        <w:rPr>
          <w:rFonts w:hint="default" w:ascii="Times New Roman" w:hAnsi="Times New Roman" w:eastAsia="仿宋_GB2312" w:cs="Times New Roman"/>
          <w:b/>
          <w:bCs/>
          <w:color w:val="000000"/>
          <w:kern w:val="2"/>
          <w:sz w:val="32"/>
          <w:szCs w:val="32"/>
          <w:highlight w:val="none"/>
          <w:u w:val="single"/>
          <w:lang w:val="en-US" w:eastAsia="zh-CN" w:bidi="zh-HK"/>
        </w:rPr>
        <w:t>年</w:t>
      </w:r>
      <w:r>
        <w:rPr>
          <w:rFonts w:hint="eastAsia" w:eastAsia="仿宋_GB2312" w:cs="Times New Roman"/>
          <w:b/>
          <w:bCs/>
          <w:color w:val="000000"/>
          <w:kern w:val="2"/>
          <w:sz w:val="32"/>
          <w:szCs w:val="32"/>
          <w:highlight w:val="none"/>
          <w:u w:val="single"/>
          <w:lang w:val="en-US" w:eastAsia="zh-CN" w:bidi="zh-HK"/>
        </w:rPr>
        <w:t>8</w:t>
      </w:r>
      <w:r>
        <w:rPr>
          <w:rFonts w:hint="default" w:ascii="Times New Roman" w:hAnsi="Times New Roman" w:eastAsia="仿宋_GB2312" w:cs="Times New Roman"/>
          <w:b/>
          <w:bCs/>
          <w:color w:val="000000"/>
          <w:kern w:val="2"/>
          <w:sz w:val="32"/>
          <w:szCs w:val="32"/>
          <w:highlight w:val="none"/>
          <w:u w:val="single"/>
          <w:lang w:val="en-US" w:eastAsia="zh-CN" w:bidi="zh-HK"/>
        </w:rPr>
        <w:t xml:space="preserve">月    </w:t>
      </w:r>
      <w:r>
        <w:rPr>
          <w:rFonts w:hint="eastAsia" w:ascii="Times New Roman" w:hAnsi="Times New Roman" w:eastAsia="仿宋_GB2312" w:cs="Times New Roman"/>
          <w:b/>
          <w:bCs/>
          <w:color w:val="000000"/>
          <w:kern w:val="2"/>
          <w:sz w:val="32"/>
          <w:szCs w:val="32"/>
          <w:highlight w:val="none"/>
          <w:u w:val="single"/>
          <w:lang w:val="en-US" w:eastAsia="zh-CN" w:bidi="zh-HK"/>
        </w:rPr>
        <w:t xml:space="preserve">   </w:t>
      </w:r>
      <w:r>
        <w:rPr>
          <w:rFonts w:hint="default" w:ascii="Times New Roman" w:hAnsi="Times New Roman" w:eastAsia="仿宋_GB2312" w:cs="Times New Roman"/>
          <w:b/>
          <w:bCs/>
          <w:color w:val="000000"/>
          <w:kern w:val="2"/>
          <w:sz w:val="32"/>
          <w:szCs w:val="32"/>
          <w:highlight w:val="none"/>
          <w:u w:val="single"/>
          <w:lang w:val="en-US" w:eastAsia="zh-CN" w:bidi="zh-HK"/>
        </w:rPr>
        <w:t xml:space="preserve">      </w:t>
      </w:r>
      <w:r>
        <w:rPr>
          <w:rFonts w:hint="eastAsia" w:ascii="Times New Roman" w:hAnsi="Times New Roman" w:eastAsia="仿宋_GB2312" w:cs="Times New Roman"/>
          <w:b/>
          <w:bCs/>
          <w:color w:val="000000"/>
          <w:kern w:val="2"/>
          <w:sz w:val="32"/>
          <w:szCs w:val="32"/>
          <w:highlight w:val="none"/>
          <w:u w:val="single"/>
          <w:lang w:val="en-US" w:eastAsia="zh-CN" w:bidi="zh-HK"/>
        </w:rPr>
        <w:t xml:space="preserve"> </w:t>
      </w:r>
    </w:p>
    <w:p w14:paraId="38CBB301">
      <w:pPr>
        <w:keepNext w:val="0"/>
        <w:keepLines w:val="0"/>
        <w:widowControl w:val="0"/>
        <w:suppressLineNumbers w:val="0"/>
        <w:shd w:val="clear" w:color="auto" w:fill="auto"/>
        <w:adjustRightInd w:val="0"/>
        <w:snapToGrid w:val="0"/>
        <w:spacing w:before="0" w:beforeAutospacing="0" w:after="0" w:afterAutospacing="0" w:line="288" w:lineRule="auto"/>
        <w:ind w:left="0" w:right="0" w:firstLine="1040"/>
        <w:jc w:val="both"/>
        <w:rPr>
          <w:rFonts w:hint="default" w:ascii="Times New Roman" w:hAnsi="Times New Roman" w:eastAsia="仿宋_GB2312" w:cs="Times New Roman"/>
          <w:b/>
          <w:bCs/>
          <w:color w:val="000000"/>
          <w:sz w:val="32"/>
          <w:szCs w:val="32"/>
          <w:highlight w:val="none"/>
          <w:u w:val="single"/>
          <w:lang w:val="en-US"/>
        </w:rPr>
      </w:pPr>
      <w:bookmarkStart w:id="1" w:name="_Hlk57884087"/>
      <w:bookmarkEnd w:id="1"/>
    </w:p>
    <w:p w14:paraId="5DDA4264">
      <w:pPr>
        <w:keepNext w:val="0"/>
        <w:keepLines w:val="0"/>
        <w:widowControl w:val="0"/>
        <w:suppressLineNumbers w:val="0"/>
        <w:shd w:val="clear" w:color="auto" w:fill="auto"/>
        <w:adjustRightInd w:val="0"/>
        <w:snapToGrid w:val="0"/>
        <w:spacing w:before="0" w:beforeAutospacing="0" w:after="0" w:afterAutospacing="0" w:line="288" w:lineRule="auto"/>
        <w:ind w:left="0" w:right="0"/>
        <w:jc w:val="center"/>
        <w:rPr>
          <w:rFonts w:hint="default" w:ascii="Times New Roman" w:hAnsi="Times New Roman" w:eastAsia="楷体_GB2312" w:cs="Times New Roman"/>
          <w:b/>
          <w:bCs/>
          <w:color w:val="000000"/>
          <w:kern w:val="2"/>
          <w:sz w:val="32"/>
          <w:szCs w:val="32"/>
          <w:highlight w:val="none"/>
          <w:lang w:val="en-US" w:eastAsia="zh-CN" w:bidi="zh-HK"/>
        </w:rPr>
      </w:pPr>
      <w:r>
        <w:rPr>
          <w:rFonts w:hint="default" w:ascii="Times New Roman" w:hAnsi="Times New Roman" w:eastAsia="楷体_GB2312" w:cs="Times New Roman"/>
          <w:b/>
          <w:bCs/>
          <w:color w:val="000000"/>
          <w:kern w:val="2"/>
          <w:sz w:val="32"/>
          <w:szCs w:val="32"/>
          <w:highlight w:val="none"/>
          <w:lang w:val="en-US" w:eastAsia="zh-CN" w:bidi="zh-HK"/>
        </w:rPr>
        <w:t>中华人民共和国生态环境部</w:t>
      </w:r>
    </w:p>
    <w:p w14:paraId="0FE3945D">
      <w:pPr>
        <w:shd w:val="clear" w:color="auto" w:fill="auto"/>
        <w:rPr>
          <w:rFonts w:hint="default"/>
          <w:color w:val="000000"/>
          <w:highlight w:val="none"/>
          <w:lang w:val="en-US" w:eastAsia="zh-CN"/>
        </w:rPr>
        <w:sectPr>
          <w:headerReference r:id="rId3" w:type="default"/>
          <w:footerReference r:id="rId4" w:type="default"/>
          <w:pgSz w:w="11906" w:h="16838"/>
          <w:pgMar w:top="1702" w:right="1531" w:bottom="1702" w:left="1531" w:header="851" w:footer="1077" w:gutter="0"/>
          <w:pgBorders>
            <w:top w:val="none" w:sz="0" w:space="0"/>
            <w:left w:val="none" w:sz="0" w:space="0"/>
            <w:bottom w:val="none" w:sz="0" w:space="0"/>
            <w:right w:val="none" w:sz="0" w:space="0"/>
          </w:pgBorders>
          <w:pgNumType w:fmt="decimal" w:start="1"/>
          <w:cols w:space="720" w:num="1"/>
          <w:docGrid w:type="lines" w:linePitch="312" w:charSpace="0"/>
        </w:sectPr>
      </w:pPr>
    </w:p>
    <w:p w14:paraId="0A23C244">
      <w:pPr>
        <w:pStyle w:val="66"/>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eastAsia" w:ascii="黑体" w:hAnsi="黑体" w:eastAsia="黑体"/>
          <w:snapToGrid w:val="0"/>
          <w:color w:val="000000"/>
          <w:sz w:val="30"/>
          <w:szCs w:val="30"/>
          <w:highlight w:val="none"/>
        </w:rPr>
      </w:pPr>
      <w:r>
        <w:rPr>
          <w:rFonts w:hint="eastAsia" w:ascii="黑体" w:hAnsi="黑体" w:eastAsia="黑体"/>
          <w:snapToGrid w:val="0"/>
          <w:color w:val="000000"/>
          <w:sz w:val="30"/>
          <w:szCs w:val="30"/>
          <w:highlight w:val="none"/>
        </w:rPr>
        <w:t>一、建设项目基本情况</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70"/>
        <w:gridCol w:w="2480"/>
        <w:gridCol w:w="2600"/>
        <w:gridCol w:w="2720"/>
      </w:tblGrid>
      <w:tr w14:paraId="79330E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70" w:type="dxa"/>
            <w:shd w:val="clear" w:color="auto" w:fill="auto"/>
            <w:noWrap w:val="0"/>
            <w:tcMar>
              <w:top w:w="16" w:type="dxa"/>
              <w:left w:w="16" w:type="dxa"/>
              <w:bottom w:w="0" w:type="dxa"/>
              <w:right w:w="16" w:type="dxa"/>
            </w:tcMar>
            <w:vAlign w:val="center"/>
          </w:tcPr>
          <w:p w14:paraId="47A97B8C">
            <w:pPr>
              <w:shd w:val="clear" w:color="auto" w:fill="auto"/>
              <w:adjustRightInd w:val="0"/>
              <w:snapToGrid w:val="0"/>
              <w:jc w:val="center"/>
              <w:rPr>
                <w:color w:val="000000"/>
                <w:sz w:val="21"/>
                <w:szCs w:val="21"/>
                <w:highlight w:val="none"/>
              </w:rPr>
            </w:pPr>
            <w:r>
              <w:rPr>
                <w:color w:val="000000"/>
                <w:sz w:val="21"/>
                <w:szCs w:val="21"/>
                <w:highlight w:val="none"/>
              </w:rPr>
              <w:t>建设项目名称</w:t>
            </w:r>
          </w:p>
        </w:tc>
        <w:tc>
          <w:tcPr>
            <w:tcW w:w="7800" w:type="dxa"/>
            <w:gridSpan w:val="3"/>
            <w:shd w:val="clear" w:color="auto" w:fill="auto"/>
            <w:noWrap w:val="0"/>
            <w:vAlign w:val="center"/>
          </w:tcPr>
          <w:p w14:paraId="79FD96B0">
            <w:pPr>
              <w:shd w:val="clear" w:color="auto" w:fill="auto"/>
              <w:adjustRightInd w:val="0"/>
              <w:snapToGrid w:val="0"/>
              <w:jc w:val="center"/>
              <w:rPr>
                <w:rFonts w:hint="eastAsia" w:eastAsia="宋体"/>
                <w:color w:val="000000"/>
                <w:sz w:val="21"/>
                <w:szCs w:val="21"/>
                <w:highlight w:val="none"/>
                <w:lang w:eastAsia="zh-CN"/>
              </w:rPr>
            </w:pPr>
            <w:r>
              <w:rPr>
                <w:rFonts w:hint="eastAsia"/>
                <w:color w:val="000000"/>
                <w:sz w:val="21"/>
                <w:szCs w:val="21"/>
                <w:highlight w:val="none"/>
                <w:lang w:eastAsia="zh-CN"/>
              </w:rPr>
              <w:t>年产600吨白酒加工生产项目</w:t>
            </w:r>
          </w:p>
        </w:tc>
      </w:tr>
      <w:tr w14:paraId="2B82D5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97" w:hRule="atLeast"/>
          <w:jc w:val="center"/>
        </w:trPr>
        <w:tc>
          <w:tcPr>
            <w:tcW w:w="1070" w:type="dxa"/>
            <w:shd w:val="clear" w:color="auto" w:fill="auto"/>
            <w:noWrap w:val="0"/>
            <w:tcMar>
              <w:top w:w="16" w:type="dxa"/>
              <w:left w:w="16" w:type="dxa"/>
              <w:bottom w:w="0" w:type="dxa"/>
              <w:right w:w="16" w:type="dxa"/>
            </w:tcMar>
            <w:vAlign w:val="center"/>
          </w:tcPr>
          <w:p w14:paraId="3772E6B9">
            <w:pPr>
              <w:shd w:val="clear" w:color="auto" w:fill="auto"/>
              <w:adjustRightInd w:val="0"/>
              <w:snapToGrid w:val="0"/>
              <w:jc w:val="center"/>
              <w:rPr>
                <w:color w:val="000000"/>
                <w:sz w:val="21"/>
                <w:szCs w:val="21"/>
                <w:highlight w:val="none"/>
              </w:rPr>
            </w:pPr>
            <w:r>
              <w:rPr>
                <w:color w:val="000000"/>
                <w:sz w:val="21"/>
                <w:szCs w:val="21"/>
                <w:highlight w:val="none"/>
              </w:rPr>
              <w:t>项目代码</w:t>
            </w:r>
          </w:p>
        </w:tc>
        <w:tc>
          <w:tcPr>
            <w:tcW w:w="7800" w:type="dxa"/>
            <w:gridSpan w:val="3"/>
            <w:shd w:val="clear" w:color="auto" w:fill="auto"/>
            <w:noWrap w:val="0"/>
            <w:vAlign w:val="center"/>
          </w:tcPr>
          <w:p w14:paraId="3888668C">
            <w:pPr>
              <w:shd w:val="clear" w:color="auto" w:fill="auto"/>
              <w:adjustRightInd w:val="0"/>
              <w:snapToGrid w:val="0"/>
              <w:jc w:val="center"/>
              <w:rPr>
                <w:rFonts w:hint="default"/>
                <w:color w:val="000000"/>
                <w:sz w:val="21"/>
                <w:szCs w:val="21"/>
                <w:highlight w:val="none"/>
                <w:lang w:val="en-US"/>
              </w:rPr>
            </w:pPr>
            <w:r>
              <w:rPr>
                <w:rFonts w:hint="default"/>
                <w:color w:val="000000"/>
                <w:sz w:val="21"/>
                <w:szCs w:val="21"/>
                <w:highlight w:val="none"/>
                <w:lang w:val="en-US" w:eastAsia="zh-CN"/>
              </w:rPr>
              <w:t>2408-610322-04-05-</w:t>
            </w:r>
            <w:r>
              <w:rPr>
                <w:rFonts w:hint="eastAsia"/>
                <w:color w:val="000000"/>
                <w:sz w:val="21"/>
                <w:szCs w:val="21"/>
                <w:highlight w:val="none"/>
                <w:lang w:val="en-US" w:eastAsia="zh-CN"/>
              </w:rPr>
              <w:t>582155</w:t>
            </w:r>
          </w:p>
        </w:tc>
      </w:tr>
      <w:tr w14:paraId="52815E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97" w:hRule="atLeast"/>
          <w:jc w:val="center"/>
        </w:trPr>
        <w:tc>
          <w:tcPr>
            <w:tcW w:w="1070" w:type="dxa"/>
            <w:shd w:val="clear" w:color="auto" w:fill="auto"/>
            <w:noWrap w:val="0"/>
            <w:tcMar>
              <w:top w:w="16" w:type="dxa"/>
              <w:left w:w="16" w:type="dxa"/>
              <w:bottom w:w="0" w:type="dxa"/>
              <w:right w:w="16" w:type="dxa"/>
            </w:tcMar>
            <w:vAlign w:val="center"/>
          </w:tcPr>
          <w:p w14:paraId="55E04393">
            <w:pPr>
              <w:shd w:val="clear" w:color="auto" w:fill="auto"/>
              <w:adjustRightInd w:val="0"/>
              <w:snapToGrid w:val="0"/>
              <w:jc w:val="center"/>
              <w:rPr>
                <w:color w:val="000000"/>
                <w:sz w:val="21"/>
                <w:szCs w:val="21"/>
                <w:highlight w:val="none"/>
              </w:rPr>
            </w:pPr>
            <w:r>
              <w:rPr>
                <w:color w:val="000000"/>
                <w:sz w:val="21"/>
                <w:szCs w:val="21"/>
                <w:highlight w:val="none"/>
              </w:rPr>
              <w:t>建设单位联系人</w:t>
            </w:r>
          </w:p>
        </w:tc>
        <w:tc>
          <w:tcPr>
            <w:tcW w:w="2480" w:type="dxa"/>
            <w:shd w:val="clear" w:color="auto" w:fill="auto"/>
            <w:noWrap w:val="0"/>
            <w:vAlign w:val="center"/>
          </w:tcPr>
          <w:p w14:paraId="3DC57555">
            <w:pPr>
              <w:shd w:val="clear" w:color="auto" w:fill="auto"/>
              <w:adjustRightInd w:val="0"/>
              <w:snapToGrid w:val="0"/>
              <w:jc w:val="center"/>
              <w:rPr>
                <w:rFonts w:hint="default" w:eastAsia="宋体"/>
                <w:color w:val="000000"/>
                <w:sz w:val="21"/>
                <w:szCs w:val="21"/>
                <w:highlight w:val="none"/>
                <w:lang w:val="en-US" w:eastAsia="zh-CN"/>
              </w:rPr>
            </w:pPr>
          </w:p>
        </w:tc>
        <w:tc>
          <w:tcPr>
            <w:tcW w:w="2600" w:type="dxa"/>
            <w:shd w:val="clear" w:color="auto" w:fill="auto"/>
            <w:noWrap w:val="0"/>
            <w:vAlign w:val="center"/>
          </w:tcPr>
          <w:p w14:paraId="5A18DC67">
            <w:pPr>
              <w:shd w:val="clear" w:color="auto" w:fill="auto"/>
              <w:adjustRightInd w:val="0"/>
              <w:snapToGrid w:val="0"/>
              <w:jc w:val="center"/>
              <w:rPr>
                <w:color w:val="000000"/>
                <w:sz w:val="21"/>
                <w:szCs w:val="21"/>
                <w:highlight w:val="none"/>
              </w:rPr>
            </w:pPr>
            <w:r>
              <w:rPr>
                <w:color w:val="000000"/>
                <w:sz w:val="21"/>
                <w:szCs w:val="21"/>
                <w:highlight w:val="none"/>
              </w:rPr>
              <w:t>联系方式</w:t>
            </w:r>
          </w:p>
        </w:tc>
        <w:tc>
          <w:tcPr>
            <w:tcW w:w="2720" w:type="dxa"/>
            <w:shd w:val="clear" w:color="auto" w:fill="auto"/>
            <w:noWrap w:val="0"/>
            <w:vAlign w:val="center"/>
          </w:tcPr>
          <w:p w14:paraId="1D141394">
            <w:pPr>
              <w:shd w:val="clear" w:color="auto" w:fill="auto"/>
              <w:adjustRightInd w:val="0"/>
              <w:snapToGrid w:val="0"/>
              <w:jc w:val="center"/>
              <w:rPr>
                <w:rFonts w:hint="default" w:eastAsia="宋体"/>
                <w:color w:val="000000"/>
                <w:sz w:val="21"/>
                <w:szCs w:val="21"/>
                <w:highlight w:val="none"/>
                <w:lang w:val="en-US" w:eastAsia="zh-CN"/>
              </w:rPr>
            </w:pPr>
          </w:p>
        </w:tc>
      </w:tr>
      <w:tr w14:paraId="01F44F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97" w:hRule="atLeast"/>
          <w:jc w:val="center"/>
        </w:trPr>
        <w:tc>
          <w:tcPr>
            <w:tcW w:w="1070" w:type="dxa"/>
            <w:shd w:val="clear" w:color="auto" w:fill="auto"/>
            <w:noWrap w:val="0"/>
            <w:tcMar>
              <w:top w:w="16" w:type="dxa"/>
              <w:left w:w="16" w:type="dxa"/>
              <w:bottom w:w="0" w:type="dxa"/>
              <w:right w:w="16" w:type="dxa"/>
            </w:tcMar>
            <w:vAlign w:val="center"/>
          </w:tcPr>
          <w:p w14:paraId="29605765">
            <w:pPr>
              <w:shd w:val="clear" w:color="auto" w:fill="auto"/>
              <w:adjustRightInd w:val="0"/>
              <w:snapToGrid w:val="0"/>
              <w:jc w:val="center"/>
              <w:rPr>
                <w:color w:val="000000"/>
                <w:sz w:val="21"/>
                <w:szCs w:val="21"/>
                <w:highlight w:val="none"/>
              </w:rPr>
            </w:pPr>
            <w:r>
              <w:rPr>
                <w:color w:val="000000"/>
                <w:sz w:val="21"/>
                <w:szCs w:val="21"/>
                <w:highlight w:val="none"/>
              </w:rPr>
              <w:t>建设地点</w:t>
            </w:r>
          </w:p>
        </w:tc>
        <w:tc>
          <w:tcPr>
            <w:tcW w:w="7800" w:type="dxa"/>
            <w:gridSpan w:val="3"/>
            <w:shd w:val="clear" w:color="auto" w:fill="auto"/>
            <w:noWrap w:val="0"/>
            <w:vAlign w:val="center"/>
          </w:tcPr>
          <w:p w14:paraId="6D6047C3">
            <w:pPr>
              <w:shd w:val="clear" w:color="auto" w:fill="auto"/>
              <w:adjustRightInd w:val="0"/>
              <w:snapToGrid w:val="0"/>
              <w:jc w:val="center"/>
              <w:rPr>
                <w:rFonts w:hint="default"/>
                <w:color w:val="000000"/>
                <w:sz w:val="21"/>
                <w:szCs w:val="21"/>
                <w:highlight w:val="none"/>
                <w:lang w:val="en-US"/>
              </w:rPr>
            </w:pPr>
            <w:r>
              <w:rPr>
                <w:rFonts w:hint="eastAsia"/>
                <w:color w:val="000000"/>
                <w:sz w:val="21"/>
                <w:szCs w:val="21"/>
                <w:highlight w:val="none"/>
                <w:lang w:val="en-US" w:eastAsia="zh-CN"/>
              </w:rPr>
              <w:t>宝鸡市凤翔区陈村镇尹家务</w:t>
            </w:r>
            <w:r>
              <w:rPr>
                <w:rFonts w:hint="eastAsia"/>
                <w:lang w:val="en-US" w:eastAsia="zh-CN"/>
              </w:rPr>
              <w:t>村</w:t>
            </w:r>
            <w:r>
              <w:rPr>
                <w:rFonts w:hint="eastAsia"/>
                <w:color w:val="000000"/>
                <w:sz w:val="21"/>
                <w:szCs w:val="21"/>
                <w:highlight w:val="none"/>
                <w:lang w:val="en-US" w:eastAsia="zh-CN"/>
              </w:rPr>
              <w:t>供销社（院内）</w:t>
            </w:r>
          </w:p>
        </w:tc>
      </w:tr>
      <w:tr w14:paraId="5119EC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97" w:hRule="atLeast"/>
          <w:jc w:val="center"/>
        </w:trPr>
        <w:tc>
          <w:tcPr>
            <w:tcW w:w="1070" w:type="dxa"/>
            <w:shd w:val="clear" w:color="auto" w:fill="auto"/>
            <w:noWrap w:val="0"/>
            <w:tcMar>
              <w:top w:w="16" w:type="dxa"/>
              <w:left w:w="16" w:type="dxa"/>
              <w:bottom w:w="0" w:type="dxa"/>
              <w:right w:w="16" w:type="dxa"/>
            </w:tcMar>
            <w:vAlign w:val="center"/>
          </w:tcPr>
          <w:p w14:paraId="63467C6F">
            <w:pPr>
              <w:shd w:val="clear" w:color="auto" w:fill="auto"/>
              <w:adjustRightInd w:val="0"/>
              <w:snapToGrid w:val="0"/>
              <w:jc w:val="center"/>
              <w:rPr>
                <w:color w:val="000000"/>
                <w:sz w:val="21"/>
                <w:szCs w:val="21"/>
                <w:highlight w:val="none"/>
              </w:rPr>
            </w:pPr>
            <w:r>
              <w:rPr>
                <w:color w:val="000000"/>
                <w:sz w:val="21"/>
                <w:szCs w:val="21"/>
                <w:highlight w:val="none"/>
              </w:rPr>
              <w:t>地理坐标</w:t>
            </w:r>
          </w:p>
        </w:tc>
        <w:tc>
          <w:tcPr>
            <w:tcW w:w="7800" w:type="dxa"/>
            <w:gridSpan w:val="3"/>
            <w:shd w:val="clear" w:color="auto" w:fill="auto"/>
            <w:noWrap w:val="0"/>
            <w:vAlign w:val="center"/>
          </w:tcPr>
          <w:p w14:paraId="29630F1B">
            <w:pPr>
              <w:shd w:val="clear" w:color="auto" w:fill="auto"/>
              <w:jc w:val="center"/>
              <w:rPr>
                <w:rFonts w:hint="eastAsia" w:eastAsia="宋体"/>
                <w:color w:val="000000"/>
                <w:sz w:val="21"/>
                <w:szCs w:val="21"/>
                <w:highlight w:val="none"/>
                <w:lang w:eastAsia="zh-CN"/>
              </w:rPr>
            </w:pPr>
            <w:r>
              <w:rPr>
                <w:rFonts w:hint="eastAsia"/>
                <w:color w:val="000000"/>
                <w:sz w:val="21"/>
                <w:szCs w:val="21"/>
                <w:highlight w:val="none"/>
                <w:u w:val="none"/>
                <w:lang w:val="en-US" w:eastAsia="zh-CN"/>
              </w:rPr>
              <w:t>东经</w:t>
            </w:r>
            <w:r>
              <w:rPr>
                <w:rFonts w:hint="eastAsia"/>
                <w:color w:val="000000"/>
                <w:sz w:val="21"/>
                <w:szCs w:val="21"/>
                <w:highlight w:val="none"/>
                <w:u w:val="none"/>
                <w:lang w:eastAsia="zh-CN"/>
              </w:rPr>
              <w:t>：</w:t>
            </w:r>
            <w:r>
              <w:rPr>
                <w:rFonts w:hint="eastAsia"/>
                <w:color w:val="000000"/>
                <w:sz w:val="21"/>
                <w:szCs w:val="21"/>
                <w:highlight w:val="none"/>
                <w:u w:val="none"/>
              </w:rPr>
              <w:t>107</w:t>
            </w:r>
            <w:r>
              <w:rPr>
                <w:rFonts w:hint="eastAsia"/>
                <w:color w:val="000000"/>
                <w:sz w:val="21"/>
                <w:szCs w:val="21"/>
                <w:highlight w:val="none"/>
                <w:u w:val="none"/>
                <w:lang w:val="en-US" w:eastAsia="zh-CN"/>
              </w:rPr>
              <w:t>度18分0.794秒，北纬</w:t>
            </w:r>
            <w:r>
              <w:rPr>
                <w:rFonts w:hint="eastAsia"/>
                <w:color w:val="000000"/>
                <w:sz w:val="21"/>
                <w:szCs w:val="21"/>
                <w:highlight w:val="none"/>
                <w:u w:val="none"/>
                <w:lang w:eastAsia="zh-CN"/>
              </w:rPr>
              <w:t>：</w:t>
            </w:r>
            <w:r>
              <w:rPr>
                <w:rFonts w:hint="eastAsia"/>
                <w:color w:val="000000"/>
                <w:sz w:val="21"/>
                <w:szCs w:val="21"/>
                <w:highlight w:val="none"/>
                <w:u w:val="none"/>
              </w:rPr>
              <w:t>34</w:t>
            </w:r>
            <w:r>
              <w:rPr>
                <w:rFonts w:hint="eastAsia"/>
                <w:color w:val="000000"/>
                <w:sz w:val="21"/>
                <w:szCs w:val="21"/>
                <w:highlight w:val="none"/>
                <w:u w:val="none"/>
                <w:lang w:val="en-US" w:eastAsia="zh-CN"/>
              </w:rPr>
              <w:t>度</w:t>
            </w:r>
            <w:r>
              <w:rPr>
                <w:rFonts w:hint="eastAsia"/>
                <w:color w:val="000000"/>
                <w:sz w:val="21"/>
                <w:szCs w:val="21"/>
                <w:highlight w:val="none"/>
                <w:u w:val="none"/>
              </w:rPr>
              <w:t>2</w:t>
            </w:r>
            <w:r>
              <w:rPr>
                <w:rFonts w:hint="eastAsia"/>
                <w:color w:val="000000"/>
                <w:sz w:val="21"/>
                <w:szCs w:val="21"/>
                <w:highlight w:val="none"/>
                <w:u w:val="none"/>
                <w:lang w:val="en-US" w:eastAsia="zh-CN"/>
              </w:rPr>
              <w:t>7分45.573秒</w:t>
            </w:r>
          </w:p>
        </w:tc>
      </w:tr>
      <w:tr w14:paraId="474CE7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561" w:hRule="atLeast"/>
          <w:jc w:val="center"/>
        </w:trPr>
        <w:tc>
          <w:tcPr>
            <w:tcW w:w="1070" w:type="dxa"/>
            <w:shd w:val="clear" w:color="auto" w:fill="auto"/>
            <w:noWrap w:val="0"/>
            <w:tcMar>
              <w:top w:w="16" w:type="dxa"/>
              <w:left w:w="16" w:type="dxa"/>
              <w:bottom w:w="0" w:type="dxa"/>
              <w:right w:w="16" w:type="dxa"/>
            </w:tcMar>
            <w:vAlign w:val="center"/>
          </w:tcPr>
          <w:p w14:paraId="173CF340">
            <w:pPr>
              <w:shd w:val="clear" w:color="auto" w:fill="auto"/>
              <w:adjustRightInd w:val="0"/>
              <w:snapToGrid w:val="0"/>
              <w:jc w:val="center"/>
              <w:rPr>
                <w:color w:val="000000"/>
                <w:sz w:val="21"/>
                <w:szCs w:val="21"/>
                <w:highlight w:val="none"/>
              </w:rPr>
            </w:pPr>
            <w:r>
              <w:rPr>
                <w:color w:val="000000"/>
                <w:sz w:val="21"/>
                <w:szCs w:val="21"/>
                <w:highlight w:val="none"/>
              </w:rPr>
              <w:t>国民经济</w:t>
            </w:r>
          </w:p>
          <w:p w14:paraId="0482826B">
            <w:pPr>
              <w:shd w:val="clear" w:color="auto" w:fill="auto"/>
              <w:adjustRightInd w:val="0"/>
              <w:snapToGrid w:val="0"/>
              <w:jc w:val="center"/>
              <w:rPr>
                <w:color w:val="000000"/>
                <w:sz w:val="21"/>
                <w:szCs w:val="21"/>
                <w:highlight w:val="none"/>
              </w:rPr>
            </w:pPr>
            <w:r>
              <w:rPr>
                <w:color w:val="000000"/>
                <w:sz w:val="21"/>
                <w:szCs w:val="21"/>
                <w:highlight w:val="none"/>
              </w:rPr>
              <w:t>行业类别</w:t>
            </w:r>
          </w:p>
        </w:tc>
        <w:tc>
          <w:tcPr>
            <w:tcW w:w="2480" w:type="dxa"/>
            <w:shd w:val="clear" w:color="auto" w:fill="auto"/>
            <w:noWrap w:val="0"/>
            <w:vAlign w:val="center"/>
          </w:tcPr>
          <w:p w14:paraId="47E6FAFA">
            <w:pPr>
              <w:shd w:val="clear" w:color="auto" w:fill="auto"/>
              <w:adjustRightInd w:val="0"/>
              <w:snapToGrid w:val="0"/>
              <w:jc w:val="center"/>
              <w:rPr>
                <w:rFonts w:hint="default"/>
                <w:color w:val="000000"/>
                <w:sz w:val="21"/>
                <w:szCs w:val="21"/>
                <w:highlight w:val="none"/>
                <w:lang w:val="en-US"/>
              </w:rPr>
            </w:pPr>
            <w:r>
              <w:rPr>
                <w:rFonts w:hint="eastAsia" w:ascii="Times New Roman" w:hAnsi="Times New Roman" w:eastAsia="宋体" w:cs="Times New Roman"/>
                <w:color w:val="000000"/>
                <w:szCs w:val="21"/>
                <w:highlight w:val="none"/>
                <w:lang w:val="en-US" w:eastAsia="zh-CN"/>
              </w:rPr>
              <w:t>C1512白酒制造</w:t>
            </w:r>
          </w:p>
        </w:tc>
        <w:tc>
          <w:tcPr>
            <w:tcW w:w="2600" w:type="dxa"/>
            <w:shd w:val="clear" w:color="auto" w:fill="auto"/>
            <w:noWrap w:val="0"/>
            <w:vAlign w:val="center"/>
          </w:tcPr>
          <w:p w14:paraId="2C58C625">
            <w:pPr>
              <w:shd w:val="clear" w:color="auto" w:fill="auto"/>
              <w:adjustRightInd w:val="0"/>
              <w:snapToGrid w:val="0"/>
              <w:jc w:val="center"/>
              <w:rPr>
                <w:color w:val="000000"/>
                <w:sz w:val="21"/>
                <w:szCs w:val="21"/>
                <w:highlight w:val="none"/>
              </w:rPr>
            </w:pPr>
            <w:bookmarkStart w:id="2" w:name="_Hlk49843745"/>
            <w:r>
              <w:rPr>
                <w:color w:val="000000"/>
                <w:sz w:val="21"/>
                <w:szCs w:val="21"/>
                <w:highlight w:val="none"/>
              </w:rPr>
              <w:t>建设项目</w:t>
            </w:r>
          </w:p>
          <w:p w14:paraId="21B5FB2C">
            <w:pPr>
              <w:shd w:val="clear" w:color="auto" w:fill="auto"/>
              <w:adjustRightInd w:val="0"/>
              <w:snapToGrid w:val="0"/>
              <w:jc w:val="center"/>
              <w:rPr>
                <w:color w:val="000000"/>
                <w:sz w:val="21"/>
                <w:szCs w:val="21"/>
                <w:highlight w:val="none"/>
              </w:rPr>
            </w:pPr>
            <w:r>
              <w:rPr>
                <w:color w:val="000000"/>
                <w:sz w:val="21"/>
                <w:szCs w:val="21"/>
                <w:highlight w:val="none"/>
              </w:rPr>
              <w:t>行业类别</w:t>
            </w:r>
            <w:bookmarkEnd w:id="2"/>
          </w:p>
        </w:tc>
        <w:tc>
          <w:tcPr>
            <w:tcW w:w="2720" w:type="dxa"/>
            <w:shd w:val="clear" w:color="auto" w:fill="auto"/>
            <w:noWrap w:val="0"/>
            <w:vAlign w:val="center"/>
          </w:tcPr>
          <w:p w14:paraId="7AA27000">
            <w:pPr>
              <w:shd w:val="clear" w:color="auto" w:fill="auto"/>
              <w:adjustRightInd w:val="0"/>
              <w:snapToGrid w:val="0"/>
              <w:jc w:val="center"/>
              <w:rPr>
                <w:rFonts w:hint="default"/>
                <w:color w:val="000000"/>
                <w:sz w:val="21"/>
                <w:szCs w:val="21"/>
                <w:highlight w:val="none"/>
                <w:lang w:val="en-US"/>
              </w:rPr>
            </w:pPr>
            <w:r>
              <w:rPr>
                <w:rFonts w:hint="eastAsia" w:ascii="Times New Roman" w:hAnsi="Times New Roman" w:eastAsia="宋体" w:cs="Times New Roman"/>
                <w:color w:val="000000"/>
                <w:sz w:val="21"/>
                <w:szCs w:val="21"/>
                <w:highlight w:val="none"/>
                <w:lang w:eastAsia="zh-CN"/>
              </w:rPr>
              <w:t>十二、酒、饮料制造业15，</w:t>
            </w:r>
            <w:r>
              <w:rPr>
                <w:rFonts w:hint="eastAsia" w:ascii="Times New Roman" w:hAnsi="Times New Roman" w:eastAsia="宋体" w:cs="Times New Roman"/>
                <w:color w:val="000000"/>
                <w:sz w:val="21"/>
                <w:szCs w:val="21"/>
                <w:highlight w:val="none"/>
                <w:lang w:val="en-US" w:eastAsia="zh-CN"/>
              </w:rPr>
              <w:t>25</w:t>
            </w:r>
            <w:r>
              <w:rPr>
                <w:rFonts w:ascii="Times New Roman" w:hAnsi="Times New Roman" w:eastAsia="宋体" w:cs="Times New Roman"/>
                <w:color w:val="000000"/>
                <w:sz w:val="21"/>
                <w:szCs w:val="21"/>
                <w:highlight w:val="none"/>
                <w:lang w:eastAsia="en-US"/>
              </w:rPr>
              <w:t>酒的制造151*</w:t>
            </w:r>
            <w:r>
              <w:rPr>
                <w:rFonts w:ascii="Times New Roman" w:hAnsi="Times New Roman" w:eastAsia="宋体" w:cs="Times New Roman"/>
                <w:color w:val="000000"/>
                <w:sz w:val="21"/>
                <w:szCs w:val="21"/>
                <w:highlight w:val="none"/>
                <w:lang w:eastAsia="zh-CN"/>
              </w:rPr>
              <w:t>其他（单纯勾兑的除外）</w:t>
            </w:r>
          </w:p>
        </w:tc>
      </w:tr>
      <w:tr w14:paraId="2549EA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1219" w:hRule="atLeast"/>
          <w:jc w:val="center"/>
        </w:trPr>
        <w:tc>
          <w:tcPr>
            <w:tcW w:w="1070" w:type="dxa"/>
            <w:shd w:val="clear" w:color="auto" w:fill="auto"/>
            <w:noWrap w:val="0"/>
            <w:tcMar>
              <w:top w:w="16" w:type="dxa"/>
              <w:left w:w="16" w:type="dxa"/>
              <w:bottom w:w="0" w:type="dxa"/>
              <w:right w:w="16" w:type="dxa"/>
            </w:tcMar>
            <w:vAlign w:val="center"/>
          </w:tcPr>
          <w:p w14:paraId="09EFEFE0">
            <w:pPr>
              <w:shd w:val="clear" w:color="auto" w:fill="auto"/>
              <w:adjustRightInd w:val="0"/>
              <w:snapToGrid w:val="0"/>
              <w:jc w:val="center"/>
              <w:rPr>
                <w:color w:val="000000"/>
                <w:sz w:val="21"/>
                <w:szCs w:val="21"/>
                <w:highlight w:val="none"/>
              </w:rPr>
            </w:pPr>
            <w:r>
              <w:rPr>
                <w:color w:val="000000"/>
                <w:sz w:val="21"/>
                <w:szCs w:val="21"/>
                <w:highlight w:val="none"/>
              </w:rPr>
              <w:t>建设性质</w:t>
            </w:r>
          </w:p>
        </w:tc>
        <w:tc>
          <w:tcPr>
            <w:tcW w:w="2480" w:type="dxa"/>
            <w:shd w:val="clear" w:color="auto" w:fill="auto"/>
            <w:noWrap w:val="0"/>
            <w:vAlign w:val="center"/>
          </w:tcPr>
          <w:p w14:paraId="6DA1AC49">
            <w:pPr>
              <w:shd w:val="clear" w:color="auto" w:fill="auto"/>
              <w:jc w:val="left"/>
              <w:rPr>
                <w:color w:val="000000"/>
                <w:sz w:val="21"/>
                <w:szCs w:val="21"/>
                <w:highlight w:val="none"/>
              </w:rPr>
            </w:pPr>
            <w:r>
              <w:rPr>
                <w:rFonts w:ascii="Wingdings 2" w:hAnsi="Wingdings 2" w:eastAsia="Wingdings 2" w:cs="Wingdings 2"/>
                <w:color w:val="000000"/>
                <w:sz w:val="21"/>
                <w:szCs w:val="21"/>
                <w:highlight w:val="none"/>
                <w:lang w:val="en-US" w:eastAsia="zh-CN"/>
              </w:rPr>
              <w:t>R</w:t>
            </w:r>
            <w:r>
              <w:rPr>
                <w:color w:val="000000"/>
                <w:sz w:val="21"/>
                <w:szCs w:val="21"/>
                <w:highlight w:val="none"/>
              </w:rPr>
              <w:t>新建（迁建）</w:t>
            </w:r>
          </w:p>
          <w:p w14:paraId="71236A10">
            <w:pPr>
              <w:shd w:val="clear" w:color="auto" w:fill="auto"/>
              <w:jc w:val="left"/>
              <w:rPr>
                <w:color w:val="000000"/>
                <w:sz w:val="21"/>
                <w:szCs w:val="21"/>
                <w:highlight w:val="none"/>
              </w:rPr>
            </w:pPr>
            <w:r>
              <w:rPr>
                <w:rFonts w:ascii="Wingdings 2" w:hAnsi="Wingdings 2" w:eastAsia="Wingdings 2" w:cs="Wingdings 2"/>
                <w:color w:val="000000"/>
                <w:sz w:val="21"/>
                <w:szCs w:val="21"/>
                <w:highlight w:val="none"/>
                <w:lang w:val="en-US" w:eastAsia="zh-CN"/>
              </w:rPr>
              <w:t>£</w:t>
            </w:r>
            <w:r>
              <w:rPr>
                <w:color w:val="000000"/>
                <w:sz w:val="21"/>
                <w:szCs w:val="21"/>
                <w:highlight w:val="none"/>
              </w:rPr>
              <w:t>改建</w:t>
            </w:r>
          </w:p>
          <w:p w14:paraId="53040982">
            <w:pPr>
              <w:shd w:val="clear" w:color="auto" w:fill="auto"/>
              <w:jc w:val="left"/>
              <w:rPr>
                <w:color w:val="000000"/>
                <w:sz w:val="21"/>
                <w:szCs w:val="21"/>
                <w:highlight w:val="none"/>
              </w:rPr>
            </w:pPr>
            <w:r>
              <w:rPr>
                <w:rFonts w:ascii="Wingdings 2" w:hAnsi="Wingdings 2" w:eastAsia="Wingdings 2" w:cs="Wingdings 2"/>
                <w:color w:val="000000"/>
                <w:sz w:val="21"/>
                <w:szCs w:val="21"/>
                <w:highlight w:val="none"/>
                <w:lang w:val="en-US" w:eastAsia="zh-CN"/>
              </w:rPr>
              <w:t>£</w:t>
            </w:r>
            <w:r>
              <w:rPr>
                <w:color w:val="000000"/>
                <w:sz w:val="21"/>
                <w:szCs w:val="21"/>
                <w:highlight w:val="none"/>
              </w:rPr>
              <w:t>扩建</w:t>
            </w:r>
          </w:p>
          <w:p w14:paraId="60BE933A">
            <w:pPr>
              <w:shd w:val="clear" w:color="auto" w:fill="auto"/>
              <w:jc w:val="left"/>
              <w:rPr>
                <w:color w:val="000000"/>
                <w:sz w:val="21"/>
                <w:szCs w:val="21"/>
                <w:highlight w:val="none"/>
              </w:rPr>
            </w:pPr>
            <w:r>
              <w:rPr>
                <w:rFonts w:ascii="Wingdings 2" w:hAnsi="Wingdings 2" w:eastAsia="Wingdings 2" w:cs="Wingdings 2"/>
                <w:color w:val="000000"/>
                <w:sz w:val="21"/>
                <w:szCs w:val="21"/>
                <w:highlight w:val="none"/>
                <w:lang w:val="en-US" w:eastAsia="zh-CN"/>
              </w:rPr>
              <w:t>£</w:t>
            </w:r>
            <w:r>
              <w:rPr>
                <w:color w:val="000000"/>
                <w:sz w:val="21"/>
                <w:szCs w:val="21"/>
                <w:highlight w:val="none"/>
              </w:rPr>
              <w:t>技术改造</w:t>
            </w:r>
          </w:p>
        </w:tc>
        <w:tc>
          <w:tcPr>
            <w:tcW w:w="2600" w:type="dxa"/>
            <w:shd w:val="clear" w:color="auto" w:fill="auto"/>
            <w:noWrap w:val="0"/>
            <w:vAlign w:val="center"/>
          </w:tcPr>
          <w:p w14:paraId="229CBFB7">
            <w:pPr>
              <w:shd w:val="clear" w:color="auto" w:fill="auto"/>
              <w:adjustRightInd w:val="0"/>
              <w:snapToGrid w:val="0"/>
              <w:jc w:val="center"/>
              <w:rPr>
                <w:color w:val="000000"/>
                <w:sz w:val="21"/>
                <w:szCs w:val="21"/>
                <w:highlight w:val="none"/>
              </w:rPr>
            </w:pPr>
            <w:r>
              <w:rPr>
                <w:color w:val="000000"/>
                <w:sz w:val="21"/>
                <w:szCs w:val="21"/>
                <w:highlight w:val="none"/>
              </w:rPr>
              <w:t>建设项目</w:t>
            </w:r>
          </w:p>
          <w:p w14:paraId="00979A4F">
            <w:pPr>
              <w:shd w:val="clear" w:color="auto" w:fill="auto"/>
              <w:adjustRightInd w:val="0"/>
              <w:snapToGrid w:val="0"/>
              <w:jc w:val="center"/>
              <w:rPr>
                <w:color w:val="000000"/>
                <w:sz w:val="21"/>
                <w:szCs w:val="21"/>
                <w:highlight w:val="none"/>
              </w:rPr>
            </w:pPr>
            <w:r>
              <w:rPr>
                <w:color w:val="000000"/>
                <w:sz w:val="21"/>
                <w:szCs w:val="21"/>
                <w:highlight w:val="none"/>
              </w:rPr>
              <w:t>申报情形</w:t>
            </w:r>
          </w:p>
        </w:tc>
        <w:tc>
          <w:tcPr>
            <w:tcW w:w="2720" w:type="dxa"/>
            <w:shd w:val="clear" w:color="auto" w:fill="auto"/>
            <w:noWrap w:val="0"/>
            <w:vAlign w:val="center"/>
          </w:tcPr>
          <w:p w14:paraId="541569B9">
            <w:pPr>
              <w:shd w:val="clear" w:color="auto" w:fill="auto"/>
              <w:jc w:val="left"/>
              <w:rPr>
                <w:color w:val="000000"/>
                <w:sz w:val="21"/>
                <w:szCs w:val="21"/>
                <w:highlight w:val="none"/>
              </w:rPr>
            </w:pPr>
            <w:r>
              <w:rPr>
                <w:rFonts w:ascii="Wingdings 2" w:hAnsi="Wingdings 2" w:eastAsia="Wingdings 2" w:cs="Wingdings 2"/>
                <w:color w:val="000000"/>
                <w:sz w:val="21"/>
                <w:szCs w:val="21"/>
                <w:highlight w:val="none"/>
                <w:lang w:val="en-US" w:eastAsia="zh-CN"/>
              </w:rPr>
              <w:t>R</w:t>
            </w:r>
            <w:r>
              <w:rPr>
                <w:color w:val="000000"/>
                <w:sz w:val="21"/>
                <w:szCs w:val="21"/>
                <w:highlight w:val="none"/>
              </w:rPr>
              <w:t xml:space="preserve">首次申报项目             </w:t>
            </w:r>
          </w:p>
          <w:p w14:paraId="0CC4944B">
            <w:pPr>
              <w:shd w:val="clear" w:color="auto" w:fill="auto"/>
              <w:jc w:val="left"/>
              <w:rPr>
                <w:color w:val="000000"/>
                <w:sz w:val="21"/>
                <w:szCs w:val="21"/>
                <w:highlight w:val="none"/>
              </w:rPr>
            </w:pPr>
            <w:r>
              <w:rPr>
                <w:rFonts w:ascii="Wingdings 2" w:hAnsi="Wingdings 2" w:eastAsia="Wingdings 2" w:cs="Wingdings 2"/>
                <w:color w:val="000000"/>
                <w:sz w:val="21"/>
                <w:szCs w:val="21"/>
                <w:highlight w:val="none"/>
                <w:lang w:val="en-US" w:eastAsia="zh-CN"/>
              </w:rPr>
              <w:t>£</w:t>
            </w:r>
            <w:r>
              <w:rPr>
                <w:color w:val="000000"/>
                <w:sz w:val="21"/>
                <w:szCs w:val="21"/>
                <w:highlight w:val="none"/>
              </w:rPr>
              <w:t>不予批准后再次申报项目</w:t>
            </w:r>
          </w:p>
          <w:p w14:paraId="371E4184">
            <w:pPr>
              <w:shd w:val="clear" w:color="auto" w:fill="auto"/>
              <w:jc w:val="left"/>
              <w:rPr>
                <w:color w:val="000000"/>
                <w:sz w:val="21"/>
                <w:szCs w:val="21"/>
                <w:highlight w:val="none"/>
              </w:rPr>
            </w:pPr>
            <w:r>
              <w:rPr>
                <w:rFonts w:ascii="Wingdings 2" w:hAnsi="Wingdings 2" w:eastAsia="Wingdings 2" w:cs="Wingdings 2"/>
                <w:color w:val="000000"/>
                <w:sz w:val="21"/>
                <w:szCs w:val="21"/>
                <w:highlight w:val="none"/>
                <w:lang w:val="en-US" w:eastAsia="zh-CN"/>
              </w:rPr>
              <w:t>£</w:t>
            </w:r>
            <w:r>
              <w:rPr>
                <w:color w:val="000000"/>
                <w:sz w:val="21"/>
                <w:szCs w:val="21"/>
                <w:highlight w:val="none"/>
              </w:rPr>
              <w:t xml:space="preserve">超五年重新审核项目     </w:t>
            </w:r>
          </w:p>
          <w:p w14:paraId="454A4F22">
            <w:pPr>
              <w:shd w:val="clear" w:color="auto" w:fill="auto"/>
              <w:jc w:val="left"/>
              <w:rPr>
                <w:color w:val="000000"/>
                <w:sz w:val="21"/>
                <w:szCs w:val="21"/>
                <w:highlight w:val="none"/>
              </w:rPr>
            </w:pPr>
            <w:r>
              <w:rPr>
                <w:rFonts w:ascii="Wingdings 2" w:hAnsi="Wingdings 2" w:eastAsia="Wingdings 2" w:cs="Wingdings 2"/>
                <w:color w:val="000000"/>
                <w:sz w:val="21"/>
                <w:szCs w:val="21"/>
                <w:highlight w:val="none"/>
                <w:lang w:val="en-US" w:eastAsia="zh-CN"/>
              </w:rPr>
              <w:t>£</w:t>
            </w:r>
            <w:r>
              <w:rPr>
                <w:color w:val="000000"/>
                <w:sz w:val="21"/>
                <w:szCs w:val="21"/>
                <w:highlight w:val="none"/>
              </w:rPr>
              <w:t>重大变动重新报批项目</w:t>
            </w:r>
          </w:p>
        </w:tc>
      </w:tr>
      <w:tr w14:paraId="6320DA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695" w:hRule="atLeast"/>
          <w:jc w:val="center"/>
        </w:trPr>
        <w:tc>
          <w:tcPr>
            <w:tcW w:w="1070" w:type="dxa"/>
            <w:shd w:val="clear" w:color="auto" w:fill="auto"/>
            <w:noWrap w:val="0"/>
            <w:tcMar>
              <w:top w:w="16" w:type="dxa"/>
              <w:left w:w="16" w:type="dxa"/>
              <w:bottom w:w="0" w:type="dxa"/>
              <w:right w:w="16" w:type="dxa"/>
            </w:tcMar>
            <w:vAlign w:val="center"/>
          </w:tcPr>
          <w:p w14:paraId="12C1254B">
            <w:pPr>
              <w:shd w:val="clear" w:color="auto" w:fill="auto"/>
              <w:adjustRightInd w:val="0"/>
              <w:snapToGrid w:val="0"/>
              <w:jc w:val="center"/>
              <w:rPr>
                <w:color w:val="000000"/>
                <w:sz w:val="21"/>
                <w:szCs w:val="21"/>
                <w:highlight w:val="none"/>
              </w:rPr>
            </w:pPr>
            <w:r>
              <w:rPr>
                <w:color w:val="000000"/>
                <w:sz w:val="21"/>
                <w:szCs w:val="21"/>
                <w:highlight w:val="none"/>
              </w:rPr>
              <w:t>项目备案部门</w:t>
            </w:r>
          </w:p>
        </w:tc>
        <w:tc>
          <w:tcPr>
            <w:tcW w:w="2480" w:type="dxa"/>
            <w:shd w:val="clear" w:color="auto" w:fill="auto"/>
            <w:noWrap w:val="0"/>
            <w:vAlign w:val="center"/>
          </w:tcPr>
          <w:p w14:paraId="6E3C3C2A">
            <w:pPr>
              <w:shd w:val="clear" w:color="auto" w:fill="auto"/>
              <w:adjustRightInd w:val="0"/>
              <w:snapToGrid w:val="0"/>
              <w:jc w:val="center"/>
              <w:rPr>
                <w:color w:val="000000"/>
                <w:sz w:val="21"/>
                <w:szCs w:val="21"/>
                <w:highlight w:val="none"/>
              </w:rPr>
            </w:pPr>
            <w:r>
              <w:rPr>
                <w:rFonts w:hint="eastAsia"/>
                <w:color w:val="000000"/>
                <w:sz w:val="21"/>
                <w:szCs w:val="21"/>
                <w:highlight w:val="none"/>
              </w:rPr>
              <w:t>宝鸡市凤翔区行政审批服务局</w:t>
            </w:r>
          </w:p>
        </w:tc>
        <w:tc>
          <w:tcPr>
            <w:tcW w:w="2600" w:type="dxa"/>
            <w:shd w:val="clear" w:color="auto" w:fill="auto"/>
            <w:noWrap w:val="0"/>
            <w:vAlign w:val="center"/>
          </w:tcPr>
          <w:p w14:paraId="44EBFC96">
            <w:pPr>
              <w:shd w:val="clear" w:color="auto" w:fill="auto"/>
              <w:adjustRightInd w:val="0"/>
              <w:snapToGrid w:val="0"/>
              <w:jc w:val="center"/>
              <w:rPr>
                <w:color w:val="000000"/>
                <w:sz w:val="21"/>
                <w:szCs w:val="21"/>
                <w:highlight w:val="none"/>
              </w:rPr>
            </w:pPr>
            <w:r>
              <w:rPr>
                <w:color w:val="000000"/>
                <w:sz w:val="21"/>
                <w:szCs w:val="21"/>
                <w:highlight w:val="none"/>
              </w:rPr>
              <w:t>项目备案文号</w:t>
            </w:r>
          </w:p>
        </w:tc>
        <w:tc>
          <w:tcPr>
            <w:tcW w:w="2720" w:type="dxa"/>
            <w:shd w:val="clear" w:color="auto" w:fill="auto"/>
            <w:noWrap w:val="0"/>
            <w:vAlign w:val="center"/>
          </w:tcPr>
          <w:p w14:paraId="0A02EC60">
            <w:pPr>
              <w:shd w:val="clear" w:color="auto" w:fill="auto"/>
              <w:adjustRightInd w:val="0"/>
              <w:snapToGrid w:val="0"/>
              <w:jc w:val="center"/>
              <w:rPr>
                <w:rFonts w:hint="eastAsia" w:eastAsia="宋体"/>
                <w:color w:val="000000"/>
                <w:sz w:val="21"/>
                <w:szCs w:val="21"/>
                <w:highlight w:val="none"/>
                <w:lang w:eastAsia="zh-CN"/>
              </w:rPr>
            </w:pPr>
            <w:r>
              <w:rPr>
                <w:rFonts w:hint="eastAsia" w:ascii="Times New Roman" w:hAnsi="Times New Roman" w:eastAsia="宋体" w:cs="Times New Roman"/>
                <w:color w:val="000000"/>
                <w:kern w:val="2"/>
                <w:sz w:val="21"/>
                <w:szCs w:val="21"/>
                <w:highlight w:val="none"/>
                <w:lang w:val="en-US" w:eastAsia="zh-CN" w:bidi="zh-HK"/>
              </w:rPr>
              <w:t>/</w:t>
            </w:r>
          </w:p>
        </w:tc>
      </w:tr>
      <w:tr w14:paraId="10979E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97" w:hRule="atLeast"/>
          <w:jc w:val="center"/>
        </w:trPr>
        <w:tc>
          <w:tcPr>
            <w:tcW w:w="1070" w:type="dxa"/>
            <w:shd w:val="clear" w:color="auto" w:fill="auto"/>
            <w:noWrap w:val="0"/>
            <w:tcMar>
              <w:top w:w="16" w:type="dxa"/>
              <w:left w:w="16" w:type="dxa"/>
              <w:bottom w:w="0" w:type="dxa"/>
              <w:right w:w="16" w:type="dxa"/>
            </w:tcMar>
            <w:vAlign w:val="center"/>
          </w:tcPr>
          <w:p w14:paraId="3AD6DA27">
            <w:pPr>
              <w:shd w:val="clear" w:color="auto" w:fill="auto"/>
              <w:adjustRightInd w:val="0"/>
              <w:snapToGrid w:val="0"/>
              <w:jc w:val="center"/>
              <w:rPr>
                <w:color w:val="000000"/>
                <w:sz w:val="21"/>
                <w:szCs w:val="21"/>
                <w:highlight w:val="none"/>
              </w:rPr>
            </w:pPr>
            <w:r>
              <w:rPr>
                <w:color w:val="000000"/>
                <w:sz w:val="21"/>
                <w:szCs w:val="21"/>
                <w:highlight w:val="none"/>
              </w:rPr>
              <w:t>总投资</w:t>
            </w:r>
          </w:p>
          <w:p w14:paraId="1B24C005">
            <w:pPr>
              <w:shd w:val="clear" w:color="auto" w:fill="auto"/>
              <w:adjustRightInd w:val="0"/>
              <w:snapToGrid w:val="0"/>
              <w:jc w:val="center"/>
              <w:rPr>
                <w:color w:val="000000"/>
                <w:sz w:val="21"/>
                <w:szCs w:val="21"/>
                <w:highlight w:val="none"/>
              </w:rPr>
            </w:pPr>
            <w:r>
              <w:rPr>
                <w:color w:val="000000"/>
                <w:sz w:val="21"/>
                <w:szCs w:val="21"/>
                <w:highlight w:val="none"/>
              </w:rPr>
              <w:t>（万元）</w:t>
            </w:r>
          </w:p>
        </w:tc>
        <w:tc>
          <w:tcPr>
            <w:tcW w:w="2480" w:type="dxa"/>
            <w:shd w:val="clear" w:color="auto" w:fill="auto"/>
            <w:noWrap w:val="0"/>
            <w:vAlign w:val="center"/>
          </w:tcPr>
          <w:p w14:paraId="48BCC193">
            <w:pPr>
              <w:shd w:val="clear" w:color="auto" w:fill="auto"/>
              <w:adjustRightInd w:val="0"/>
              <w:snapToGrid w:val="0"/>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1000</w:t>
            </w:r>
          </w:p>
        </w:tc>
        <w:tc>
          <w:tcPr>
            <w:tcW w:w="2600" w:type="dxa"/>
            <w:shd w:val="clear" w:color="auto" w:fill="auto"/>
            <w:noWrap w:val="0"/>
            <w:tcMar>
              <w:top w:w="16" w:type="dxa"/>
              <w:left w:w="16" w:type="dxa"/>
              <w:bottom w:w="0" w:type="dxa"/>
              <w:right w:w="16" w:type="dxa"/>
            </w:tcMar>
            <w:vAlign w:val="center"/>
          </w:tcPr>
          <w:p w14:paraId="45A85887">
            <w:pPr>
              <w:shd w:val="clear" w:color="auto" w:fill="auto"/>
              <w:adjustRightInd w:val="0"/>
              <w:snapToGrid w:val="0"/>
              <w:jc w:val="center"/>
              <w:rPr>
                <w:color w:val="000000"/>
                <w:sz w:val="21"/>
                <w:szCs w:val="21"/>
                <w:highlight w:val="none"/>
              </w:rPr>
            </w:pPr>
            <w:r>
              <w:rPr>
                <w:color w:val="000000"/>
                <w:sz w:val="21"/>
                <w:szCs w:val="21"/>
                <w:highlight w:val="none"/>
              </w:rPr>
              <w:t>环保投资（万元）</w:t>
            </w:r>
          </w:p>
        </w:tc>
        <w:tc>
          <w:tcPr>
            <w:tcW w:w="2720" w:type="dxa"/>
            <w:shd w:val="clear" w:color="auto" w:fill="auto"/>
            <w:noWrap w:val="0"/>
            <w:vAlign w:val="center"/>
          </w:tcPr>
          <w:p w14:paraId="01DCCB1B">
            <w:pPr>
              <w:shd w:val="clear" w:color="auto" w:fill="auto"/>
              <w:adjustRightInd w:val="0"/>
              <w:snapToGrid w:val="0"/>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68.2</w:t>
            </w:r>
          </w:p>
        </w:tc>
      </w:tr>
      <w:tr w14:paraId="2CD8C9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97" w:hRule="atLeast"/>
          <w:jc w:val="center"/>
        </w:trPr>
        <w:tc>
          <w:tcPr>
            <w:tcW w:w="1070" w:type="dxa"/>
            <w:shd w:val="clear" w:color="auto" w:fill="auto"/>
            <w:noWrap w:val="0"/>
            <w:tcMar>
              <w:top w:w="16" w:type="dxa"/>
              <w:left w:w="16" w:type="dxa"/>
              <w:bottom w:w="0" w:type="dxa"/>
              <w:right w:w="16" w:type="dxa"/>
            </w:tcMar>
            <w:vAlign w:val="center"/>
          </w:tcPr>
          <w:p w14:paraId="3FDC844F">
            <w:pPr>
              <w:shd w:val="clear" w:color="auto" w:fill="auto"/>
              <w:adjustRightInd w:val="0"/>
              <w:snapToGrid w:val="0"/>
              <w:jc w:val="center"/>
              <w:rPr>
                <w:color w:val="000000"/>
                <w:sz w:val="21"/>
                <w:szCs w:val="21"/>
                <w:highlight w:val="none"/>
              </w:rPr>
            </w:pPr>
            <w:r>
              <w:rPr>
                <w:color w:val="000000"/>
                <w:sz w:val="21"/>
                <w:szCs w:val="21"/>
                <w:highlight w:val="none"/>
              </w:rPr>
              <w:t>环保投资占比（%）</w:t>
            </w:r>
          </w:p>
        </w:tc>
        <w:tc>
          <w:tcPr>
            <w:tcW w:w="2480" w:type="dxa"/>
            <w:shd w:val="clear" w:color="auto" w:fill="auto"/>
            <w:noWrap w:val="0"/>
            <w:vAlign w:val="center"/>
          </w:tcPr>
          <w:p w14:paraId="0D005A46">
            <w:pPr>
              <w:shd w:val="clear" w:color="auto" w:fill="auto"/>
              <w:adjustRightInd w:val="0"/>
              <w:snapToGrid w:val="0"/>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6.82</w:t>
            </w:r>
          </w:p>
        </w:tc>
        <w:tc>
          <w:tcPr>
            <w:tcW w:w="2600" w:type="dxa"/>
            <w:shd w:val="clear" w:color="auto" w:fill="auto"/>
            <w:noWrap w:val="0"/>
            <w:tcMar>
              <w:top w:w="16" w:type="dxa"/>
              <w:left w:w="16" w:type="dxa"/>
              <w:bottom w:w="0" w:type="dxa"/>
              <w:right w:w="16" w:type="dxa"/>
            </w:tcMar>
            <w:vAlign w:val="center"/>
          </w:tcPr>
          <w:p w14:paraId="43FC7E90">
            <w:pPr>
              <w:shd w:val="clear" w:color="auto" w:fill="auto"/>
              <w:adjustRightInd w:val="0"/>
              <w:snapToGrid w:val="0"/>
              <w:jc w:val="center"/>
              <w:rPr>
                <w:color w:val="000000"/>
                <w:sz w:val="21"/>
                <w:szCs w:val="21"/>
                <w:highlight w:val="none"/>
              </w:rPr>
            </w:pPr>
            <w:r>
              <w:rPr>
                <w:color w:val="000000"/>
                <w:sz w:val="21"/>
                <w:szCs w:val="21"/>
                <w:highlight w:val="none"/>
              </w:rPr>
              <w:t>施工工期</w:t>
            </w:r>
          </w:p>
        </w:tc>
        <w:tc>
          <w:tcPr>
            <w:tcW w:w="2720" w:type="dxa"/>
            <w:shd w:val="clear" w:color="auto" w:fill="auto"/>
            <w:noWrap w:val="0"/>
            <w:vAlign w:val="center"/>
          </w:tcPr>
          <w:p w14:paraId="01A1717D">
            <w:pPr>
              <w:shd w:val="clear" w:color="auto" w:fill="auto"/>
              <w:adjustRightInd w:val="0"/>
              <w:snapToGrid w:val="0"/>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12个月</w:t>
            </w:r>
          </w:p>
        </w:tc>
      </w:tr>
      <w:tr w14:paraId="5FC707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97" w:hRule="atLeast"/>
          <w:jc w:val="center"/>
        </w:trPr>
        <w:tc>
          <w:tcPr>
            <w:tcW w:w="1070" w:type="dxa"/>
            <w:shd w:val="clear" w:color="auto" w:fill="auto"/>
            <w:noWrap w:val="0"/>
            <w:tcMar>
              <w:top w:w="16" w:type="dxa"/>
              <w:left w:w="16" w:type="dxa"/>
              <w:bottom w:w="0" w:type="dxa"/>
              <w:right w:w="16" w:type="dxa"/>
            </w:tcMar>
            <w:vAlign w:val="center"/>
          </w:tcPr>
          <w:p w14:paraId="598FC49D">
            <w:pPr>
              <w:shd w:val="clear" w:color="auto" w:fill="auto"/>
              <w:adjustRightInd w:val="0"/>
              <w:snapToGrid w:val="0"/>
              <w:jc w:val="center"/>
              <w:rPr>
                <w:color w:val="000000"/>
                <w:sz w:val="21"/>
                <w:szCs w:val="21"/>
                <w:highlight w:val="none"/>
              </w:rPr>
            </w:pPr>
            <w:r>
              <w:rPr>
                <w:color w:val="000000"/>
                <w:sz w:val="21"/>
                <w:szCs w:val="21"/>
                <w:highlight w:val="none"/>
              </w:rPr>
              <w:t>是否开工建设</w:t>
            </w:r>
          </w:p>
        </w:tc>
        <w:tc>
          <w:tcPr>
            <w:tcW w:w="2480" w:type="dxa"/>
            <w:shd w:val="clear" w:color="auto" w:fill="auto"/>
            <w:noWrap w:val="0"/>
            <w:vAlign w:val="center"/>
          </w:tcPr>
          <w:p w14:paraId="4DFEC682">
            <w:pPr>
              <w:shd w:val="clear" w:color="auto" w:fill="auto"/>
              <w:adjustRightInd w:val="0"/>
              <w:snapToGrid w:val="0"/>
              <w:rPr>
                <w:color w:val="000000"/>
                <w:sz w:val="21"/>
                <w:szCs w:val="21"/>
                <w:highlight w:val="none"/>
              </w:rPr>
            </w:pPr>
            <w:r>
              <w:rPr>
                <w:rFonts w:ascii="Wingdings 2" w:hAnsi="Wingdings 2" w:eastAsia="Wingdings 2" w:cs="Wingdings 2"/>
                <w:color w:val="000000"/>
                <w:sz w:val="21"/>
                <w:szCs w:val="21"/>
                <w:highlight w:val="none"/>
                <w:lang w:val="en-US" w:eastAsia="zh-CN"/>
              </w:rPr>
              <w:t>R</w:t>
            </w:r>
            <w:r>
              <w:rPr>
                <w:color w:val="000000"/>
                <w:sz w:val="21"/>
                <w:szCs w:val="21"/>
                <w:highlight w:val="none"/>
              </w:rPr>
              <w:t>否</w:t>
            </w:r>
          </w:p>
          <w:p w14:paraId="45E04E12">
            <w:pPr>
              <w:shd w:val="clear" w:color="auto" w:fill="auto"/>
              <w:adjustRightInd w:val="0"/>
              <w:snapToGrid w:val="0"/>
              <w:rPr>
                <w:color w:val="000000"/>
                <w:sz w:val="21"/>
                <w:szCs w:val="21"/>
                <w:highlight w:val="none"/>
              </w:rPr>
            </w:pPr>
            <w:r>
              <w:rPr>
                <w:rFonts w:ascii="Wingdings 2" w:hAnsi="Wingdings 2" w:eastAsia="Wingdings 2" w:cs="Wingdings 2"/>
                <w:color w:val="000000"/>
                <w:sz w:val="21"/>
                <w:szCs w:val="21"/>
                <w:highlight w:val="none"/>
                <w:lang w:val="en-US" w:eastAsia="zh-CN"/>
              </w:rPr>
              <w:t>£</w:t>
            </w:r>
            <w:r>
              <w:rPr>
                <w:color w:val="000000"/>
                <w:sz w:val="21"/>
                <w:szCs w:val="21"/>
                <w:highlight w:val="none"/>
              </w:rPr>
              <w:t>是：</w:t>
            </w:r>
          </w:p>
        </w:tc>
        <w:tc>
          <w:tcPr>
            <w:tcW w:w="2600" w:type="dxa"/>
            <w:shd w:val="clear" w:color="auto" w:fill="auto"/>
            <w:noWrap w:val="0"/>
            <w:tcMar>
              <w:top w:w="16" w:type="dxa"/>
              <w:left w:w="16" w:type="dxa"/>
              <w:bottom w:w="0" w:type="dxa"/>
              <w:right w:w="16" w:type="dxa"/>
            </w:tcMar>
            <w:vAlign w:val="center"/>
          </w:tcPr>
          <w:p w14:paraId="62B71223">
            <w:pPr>
              <w:shd w:val="clear" w:color="auto" w:fill="auto"/>
              <w:adjustRightInd w:val="0"/>
              <w:snapToGrid w:val="0"/>
              <w:jc w:val="center"/>
              <w:rPr>
                <w:color w:val="000000"/>
                <w:sz w:val="21"/>
                <w:szCs w:val="21"/>
                <w:highlight w:val="none"/>
              </w:rPr>
            </w:pPr>
            <w:r>
              <w:rPr>
                <w:color w:val="000000"/>
                <w:sz w:val="21"/>
                <w:szCs w:val="21"/>
                <w:highlight w:val="none"/>
              </w:rPr>
              <w:t>用地面积（</w:t>
            </w:r>
            <w:r>
              <w:rPr>
                <w:rFonts w:hint="eastAsia"/>
                <w:color w:val="000000"/>
                <w:sz w:val="21"/>
                <w:szCs w:val="21"/>
                <w:highlight w:val="none"/>
                <w:lang w:eastAsia="zh-CN"/>
              </w:rPr>
              <w:t>㎡</w:t>
            </w:r>
            <w:r>
              <w:rPr>
                <w:color w:val="000000"/>
                <w:sz w:val="21"/>
                <w:szCs w:val="21"/>
                <w:highlight w:val="none"/>
              </w:rPr>
              <w:t>）</w:t>
            </w:r>
          </w:p>
        </w:tc>
        <w:tc>
          <w:tcPr>
            <w:tcW w:w="2720" w:type="dxa"/>
            <w:shd w:val="clear" w:color="auto" w:fill="auto"/>
            <w:noWrap w:val="0"/>
            <w:vAlign w:val="center"/>
          </w:tcPr>
          <w:p w14:paraId="696A3F20">
            <w:pPr>
              <w:shd w:val="clear" w:color="auto" w:fill="auto"/>
              <w:adjustRightInd w:val="0"/>
              <w:snapToGrid w:val="0"/>
              <w:jc w:val="center"/>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5300</w:t>
            </w:r>
          </w:p>
        </w:tc>
      </w:tr>
      <w:tr w14:paraId="78EA6C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7" w:hRule="atLeast"/>
          <w:jc w:val="center"/>
        </w:trPr>
        <w:tc>
          <w:tcPr>
            <w:tcW w:w="1070" w:type="dxa"/>
            <w:shd w:val="clear" w:color="auto" w:fill="auto"/>
            <w:noWrap w:val="0"/>
            <w:vAlign w:val="center"/>
          </w:tcPr>
          <w:p w14:paraId="5AF8A9B5">
            <w:pPr>
              <w:shd w:val="clear" w:color="auto" w:fill="auto"/>
              <w:autoSpaceDE w:val="0"/>
              <w:autoSpaceDN w:val="0"/>
              <w:adjustRightInd w:val="0"/>
              <w:snapToGrid w:val="0"/>
              <w:jc w:val="center"/>
              <w:rPr>
                <w:color w:val="000000"/>
                <w:kern w:val="0"/>
                <w:sz w:val="21"/>
                <w:szCs w:val="21"/>
                <w:highlight w:val="none"/>
              </w:rPr>
            </w:pPr>
            <w:r>
              <w:rPr>
                <w:color w:val="000000"/>
                <w:kern w:val="0"/>
                <w:sz w:val="21"/>
                <w:szCs w:val="21"/>
                <w:highlight w:val="none"/>
              </w:rPr>
              <w:t>专项评价设置情况</w:t>
            </w:r>
          </w:p>
        </w:tc>
        <w:tc>
          <w:tcPr>
            <w:tcW w:w="7800" w:type="dxa"/>
            <w:gridSpan w:val="3"/>
            <w:shd w:val="clear" w:color="auto" w:fill="auto"/>
            <w:noWrap w:val="0"/>
            <w:vAlign w:val="center"/>
          </w:tcPr>
          <w:p w14:paraId="6C9D8ADC">
            <w:pPr>
              <w:shd w:val="clear" w:color="auto" w:fill="auto"/>
              <w:autoSpaceDE w:val="0"/>
              <w:autoSpaceDN w:val="0"/>
              <w:adjustRightInd w:val="0"/>
              <w:snapToGrid w:val="0"/>
              <w:spacing w:line="360" w:lineRule="auto"/>
              <w:jc w:val="center"/>
              <w:rPr>
                <w:color w:val="000000"/>
                <w:kern w:val="0"/>
                <w:sz w:val="21"/>
                <w:szCs w:val="21"/>
                <w:highlight w:val="none"/>
              </w:rPr>
            </w:pPr>
            <w:r>
              <w:rPr>
                <w:rFonts w:hint="eastAsia"/>
                <w:color w:val="000000"/>
                <w:kern w:val="0"/>
                <w:sz w:val="21"/>
                <w:szCs w:val="21"/>
                <w:highlight w:val="none"/>
              </w:rPr>
              <w:t>无</w:t>
            </w:r>
          </w:p>
        </w:tc>
      </w:tr>
      <w:tr w14:paraId="25E255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6" w:hRule="atLeast"/>
          <w:jc w:val="center"/>
        </w:trPr>
        <w:tc>
          <w:tcPr>
            <w:tcW w:w="1070" w:type="dxa"/>
            <w:shd w:val="clear" w:color="auto" w:fill="auto"/>
            <w:noWrap w:val="0"/>
            <w:vAlign w:val="center"/>
          </w:tcPr>
          <w:p w14:paraId="29453657">
            <w:pPr>
              <w:shd w:val="clear" w:color="auto" w:fill="auto"/>
              <w:autoSpaceDE w:val="0"/>
              <w:autoSpaceDN w:val="0"/>
              <w:adjustRightInd w:val="0"/>
              <w:snapToGrid w:val="0"/>
              <w:jc w:val="center"/>
              <w:rPr>
                <w:color w:val="000000"/>
                <w:sz w:val="21"/>
                <w:szCs w:val="21"/>
                <w:highlight w:val="none"/>
              </w:rPr>
            </w:pPr>
            <w:r>
              <w:rPr>
                <w:color w:val="000000"/>
                <w:sz w:val="21"/>
                <w:szCs w:val="21"/>
                <w:highlight w:val="none"/>
              </w:rPr>
              <w:t>规划</w:t>
            </w:r>
          </w:p>
          <w:p w14:paraId="3724631B">
            <w:pPr>
              <w:shd w:val="clear" w:color="auto" w:fill="auto"/>
              <w:autoSpaceDE w:val="0"/>
              <w:autoSpaceDN w:val="0"/>
              <w:adjustRightInd w:val="0"/>
              <w:snapToGrid w:val="0"/>
              <w:jc w:val="center"/>
              <w:rPr>
                <w:color w:val="000000"/>
                <w:kern w:val="0"/>
                <w:sz w:val="21"/>
                <w:szCs w:val="21"/>
                <w:highlight w:val="none"/>
              </w:rPr>
            </w:pPr>
            <w:r>
              <w:rPr>
                <w:color w:val="000000"/>
                <w:sz w:val="21"/>
                <w:szCs w:val="21"/>
                <w:highlight w:val="none"/>
              </w:rPr>
              <w:t>情况</w:t>
            </w:r>
          </w:p>
        </w:tc>
        <w:tc>
          <w:tcPr>
            <w:tcW w:w="7800" w:type="dxa"/>
            <w:gridSpan w:val="3"/>
            <w:shd w:val="clear" w:color="auto" w:fill="auto"/>
            <w:noWrap w:val="0"/>
            <w:vAlign w:val="center"/>
          </w:tcPr>
          <w:p w14:paraId="1889F229">
            <w:pPr>
              <w:pStyle w:val="143"/>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val="0"/>
              <w:snapToGrid w:val="0"/>
              <w:spacing w:before="0" w:beforeAutospacing="0" w:after="0" w:afterAutospacing="0" w:line="360" w:lineRule="auto"/>
              <w:ind w:left="0" w:leftChars="0" w:right="0" w:rightChars="0" w:firstLine="0" w:firstLineChars="0"/>
              <w:jc w:val="center"/>
              <w:textAlignment w:val="auto"/>
              <w:rPr>
                <w:rFonts w:hint="eastAsia" w:eastAsia="宋体"/>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无</w:t>
            </w:r>
          </w:p>
        </w:tc>
      </w:tr>
      <w:tr w14:paraId="751093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6" w:hRule="atLeast"/>
          <w:jc w:val="center"/>
        </w:trPr>
        <w:tc>
          <w:tcPr>
            <w:tcW w:w="1070" w:type="dxa"/>
            <w:shd w:val="clear" w:color="auto" w:fill="auto"/>
            <w:noWrap w:val="0"/>
            <w:vAlign w:val="center"/>
          </w:tcPr>
          <w:p w14:paraId="06F8CA78">
            <w:pPr>
              <w:shd w:val="clear" w:color="auto" w:fill="auto"/>
              <w:adjustRightInd w:val="0"/>
              <w:snapToGrid w:val="0"/>
              <w:jc w:val="center"/>
              <w:rPr>
                <w:color w:val="000000"/>
                <w:sz w:val="21"/>
                <w:szCs w:val="21"/>
                <w:highlight w:val="none"/>
              </w:rPr>
            </w:pPr>
            <w:r>
              <w:rPr>
                <w:color w:val="000000"/>
                <w:sz w:val="21"/>
                <w:szCs w:val="21"/>
                <w:highlight w:val="none"/>
              </w:rPr>
              <w:t>规划环境影响评价</w:t>
            </w:r>
          </w:p>
          <w:p w14:paraId="696DBAAE">
            <w:pPr>
              <w:shd w:val="clear" w:color="auto" w:fill="auto"/>
              <w:adjustRightInd w:val="0"/>
              <w:snapToGrid w:val="0"/>
              <w:jc w:val="center"/>
              <w:rPr>
                <w:color w:val="000000"/>
                <w:kern w:val="0"/>
                <w:sz w:val="21"/>
                <w:szCs w:val="21"/>
                <w:highlight w:val="none"/>
              </w:rPr>
            </w:pPr>
            <w:r>
              <w:rPr>
                <w:color w:val="000000"/>
                <w:sz w:val="21"/>
                <w:szCs w:val="21"/>
                <w:highlight w:val="none"/>
              </w:rPr>
              <w:t>情况</w:t>
            </w:r>
          </w:p>
        </w:tc>
        <w:tc>
          <w:tcPr>
            <w:tcW w:w="7800" w:type="dxa"/>
            <w:gridSpan w:val="3"/>
            <w:shd w:val="clear" w:color="auto" w:fill="auto"/>
            <w:noWrap w:val="0"/>
            <w:vAlign w:val="center"/>
          </w:tcPr>
          <w:p w14:paraId="3BBC2EC2">
            <w:pPr>
              <w:keepNext w:val="0"/>
              <w:keepLines w:val="0"/>
              <w:widowControl w:val="0"/>
              <w:numPr>
                <w:ilvl w:val="0"/>
                <w:numId w:val="0"/>
              </w:numPr>
              <w:suppressLineNumbers w:val="0"/>
              <w:shd w:val="clear" w:color="auto" w:fill="auto"/>
              <w:autoSpaceDE w:val="0"/>
              <w:autoSpaceDN w:val="0"/>
              <w:adjustRightInd w:val="0"/>
              <w:snapToGrid w:val="0"/>
              <w:spacing w:before="0" w:beforeAutospacing="0" w:after="0" w:afterAutospacing="0" w:line="360" w:lineRule="auto"/>
              <w:ind w:leftChars="0" w:right="0" w:rightChars="0"/>
              <w:jc w:val="center"/>
              <w:rPr>
                <w:rFonts w:hint="default" w:eastAsia="宋体"/>
                <w:color w:val="000000"/>
                <w:kern w:val="0"/>
                <w:sz w:val="21"/>
                <w:szCs w:val="21"/>
                <w:highlight w:val="none"/>
                <w:lang w:val="en-US" w:eastAsia="zh-CN"/>
              </w:rPr>
            </w:pPr>
            <w:r>
              <w:rPr>
                <w:rFonts w:hint="eastAsia" w:eastAsia="宋体"/>
                <w:color w:val="000000"/>
                <w:kern w:val="0"/>
                <w:sz w:val="21"/>
                <w:szCs w:val="21"/>
                <w:highlight w:val="none"/>
                <w:lang w:val="en-US" w:eastAsia="zh-CN"/>
              </w:rPr>
              <w:t>无</w:t>
            </w:r>
          </w:p>
        </w:tc>
      </w:tr>
      <w:tr w14:paraId="313E73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9" w:hRule="atLeast"/>
          <w:jc w:val="center"/>
        </w:trPr>
        <w:tc>
          <w:tcPr>
            <w:tcW w:w="1070" w:type="dxa"/>
            <w:shd w:val="clear" w:color="auto" w:fill="auto"/>
            <w:noWrap w:val="0"/>
            <w:vAlign w:val="center"/>
          </w:tcPr>
          <w:p w14:paraId="434AF67A">
            <w:pPr>
              <w:shd w:val="clear" w:color="auto" w:fill="auto"/>
              <w:autoSpaceDE w:val="0"/>
              <w:autoSpaceDN w:val="0"/>
              <w:adjustRightInd w:val="0"/>
              <w:snapToGrid w:val="0"/>
              <w:jc w:val="center"/>
              <w:rPr>
                <w:color w:val="000000"/>
                <w:kern w:val="0"/>
                <w:sz w:val="21"/>
                <w:szCs w:val="21"/>
                <w:highlight w:val="none"/>
              </w:rPr>
            </w:pPr>
            <w:r>
              <w:rPr>
                <w:color w:val="000000"/>
                <w:kern w:val="0"/>
                <w:sz w:val="21"/>
                <w:szCs w:val="21"/>
                <w:highlight w:val="none"/>
              </w:rPr>
              <w:t>规划及规划环境影响评价符合性分析</w:t>
            </w:r>
          </w:p>
        </w:tc>
        <w:tc>
          <w:tcPr>
            <w:tcW w:w="7800" w:type="dxa"/>
            <w:gridSpan w:val="3"/>
            <w:shd w:val="clear" w:color="auto" w:fill="auto"/>
            <w:noWrap w:val="0"/>
            <w:vAlign w:val="center"/>
          </w:tcPr>
          <w:p w14:paraId="487F7638">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auto"/>
              <w:jc w:val="center"/>
              <w:textAlignment w:val="auto"/>
              <w:rPr>
                <w:rFonts w:hint="default" w:eastAsia="宋体"/>
                <w:color w:val="000000"/>
                <w:kern w:val="0"/>
                <w:sz w:val="21"/>
                <w:szCs w:val="21"/>
                <w:highlight w:val="none"/>
                <w:lang w:val="en-US" w:eastAsia="zh-CN"/>
              </w:rPr>
            </w:pPr>
            <w:r>
              <w:rPr>
                <w:rFonts w:hint="eastAsia" w:eastAsia="宋体"/>
                <w:color w:val="000000"/>
                <w:kern w:val="0"/>
                <w:sz w:val="21"/>
                <w:szCs w:val="21"/>
                <w:highlight w:val="none"/>
                <w:lang w:val="en-US" w:eastAsia="zh-CN"/>
              </w:rPr>
              <w:t>无</w:t>
            </w:r>
          </w:p>
        </w:tc>
      </w:tr>
      <w:tr w14:paraId="53EAAB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070" w:type="dxa"/>
            <w:shd w:val="clear" w:color="auto" w:fill="auto"/>
            <w:noWrap w:val="0"/>
            <w:vAlign w:val="center"/>
          </w:tcPr>
          <w:p w14:paraId="0D204D54">
            <w:pPr>
              <w:shd w:val="clear" w:color="auto" w:fill="auto"/>
              <w:autoSpaceDE w:val="0"/>
              <w:autoSpaceDN w:val="0"/>
              <w:adjustRightInd w:val="0"/>
              <w:snapToGrid w:val="0"/>
              <w:jc w:val="center"/>
              <w:rPr>
                <w:color w:val="000000"/>
                <w:kern w:val="0"/>
                <w:sz w:val="21"/>
                <w:szCs w:val="21"/>
                <w:highlight w:val="none"/>
              </w:rPr>
            </w:pPr>
            <w:r>
              <w:rPr>
                <w:color w:val="000000"/>
                <w:kern w:val="0"/>
                <w:sz w:val="21"/>
                <w:szCs w:val="21"/>
                <w:highlight w:val="none"/>
              </w:rPr>
              <w:t>其他符合性分析</w:t>
            </w:r>
          </w:p>
        </w:tc>
        <w:tc>
          <w:tcPr>
            <w:tcW w:w="7800" w:type="dxa"/>
            <w:gridSpan w:val="3"/>
            <w:shd w:val="clear" w:color="auto" w:fill="auto"/>
            <w:noWrap w:val="0"/>
            <w:vAlign w:val="center"/>
          </w:tcPr>
          <w:p w14:paraId="5FF38FEB">
            <w:pPr>
              <w:shd w:val="clear" w:color="auto" w:fill="auto"/>
              <w:spacing w:line="360" w:lineRule="auto"/>
              <w:ind w:firstLine="422" w:firstLineChars="200"/>
              <w:rPr>
                <w:rFonts w:hint="eastAsia" w:ascii="Times New Roman" w:hAnsi="Times New Roman" w:eastAsia="宋体" w:cs="Times New Roman"/>
                <w:b/>
                <w:bCs/>
                <w:color w:val="000000"/>
                <w:sz w:val="21"/>
                <w:szCs w:val="21"/>
                <w:highlight w:val="none"/>
              </w:rPr>
            </w:pPr>
            <w:r>
              <w:rPr>
                <w:rFonts w:hint="eastAsia" w:cs="Times New Roman"/>
                <w:b/>
                <w:bCs/>
                <w:snapToGrid w:val="0"/>
                <w:color w:val="000000"/>
                <w:sz w:val="21"/>
                <w:szCs w:val="21"/>
                <w:highlight w:val="none"/>
                <w:lang w:val="en-US" w:eastAsia="zh-CN"/>
              </w:rPr>
              <w:t>1.</w:t>
            </w:r>
            <w:r>
              <w:rPr>
                <w:rFonts w:hint="eastAsia" w:ascii="Times New Roman" w:hAnsi="Times New Roman" w:eastAsia="宋体" w:cs="Times New Roman"/>
                <w:b/>
                <w:bCs/>
                <w:color w:val="000000"/>
                <w:sz w:val="21"/>
                <w:szCs w:val="21"/>
                <w:highlight w:val="none"/>
              </w:rPr>
              <w:t>建设项目所在地</w:t>
            </w:r>
            <w:r>
              <w:rPr>
                <w:rFonts w:hint="eastAsia" w:ascii="Times New Roman" w:hAnsi="Times New Roman" w:eastAsia="宋体" w:cs="Times New Roman"/>
                <w:b/>
                <w:bCs/>
                <w:color w:val="000000"/>
                <w:sz w:val="21"/>
                <w:szCs w:val="21"/>
                <w:highlight w:val="none"/>
                <w:lang w:eastAsia="zh-CN"/>
              </w:rPr>
              <w:t>“</w:t>
            </w:r>
            <w:r>
              <w:rPr>
                <w:rFonts w:hint="eastAsia" w:ascii="Times New Roman" w:hAnsi="Times New Roman" w:eastAsia="宋体" w:cs="Times New Roman"/>
                <w:b/>
                <w:bCs/>
                <w:color w:val="000000"/>
                <w:sz w:val="21"/>
                <w:szCs w:val="21"/>
                <w:highlight w:val="none"/>
              </w:rPr>
              <w:t>三线一单</w:t>
            </w:r>
            <w:r>
              <w:rPr>
                <w:rFonts w:hint="eastAsia" w:ascii="Times New Roman" w:hAnsi="Times New Roman" w:eastAsia="宋体" w:cs="Times New Roman"/>
                <w:b/>
                <w:bCs/>
                <w:color w:val="000000"/>
                <w:sz w:val="21"/>
                <w:szCs w:val="21"/>
                <w:highlight w:val="none"/>
                <w:lang w:eastAsia="zh-CN"/>
              </w:rPr>
              <w:t>”</w:t>
            </w:r>
            <w:r>
              <w:rPr>
                <w:rFonts w:hint="eastAsia" w:ascii="Times New Roman" w:hAnsi="Times New Roman" w:eastAsia="宋体" w:cs="Times New Roman"/>
                <w:b/>
                <w:bCs/>
                <w:color w:val="000000"/>
                <w:sz w:val="21"/>
                <w:szCs w:val="21"/>
                <w:highlight w:val="none"/>
              </w:rPr>
              <w:t>符合性分析</w:t>
            </w:r>
          </w:p>
          <w:p w14:paraId="76BC0D14">
            <w:pPr>
              <w:shd w:val="clear" w:color="auto" w:fill="auto"/>
              <w:bidi w:val="0"/>
              <w:spacing w:line="360" w:lineRule="auto"/>
              <w:ind w:left="0" w:leftChars="0" w:firstLine="420" w:firstLineChars="200"/>
              <w:jc w:val="both"/>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根据中共中央办公厅、国务院办公厅印发的《关于划定并严守生态保护红线的若干意见》（2017年2月7日）和环境保护部印发的《生态红线划定技术指南》（环办生态〔2017〕48号）、陕西省生态环境厅发布的《关于加快实施</w:t>
            </w:r>
            <w:r>
              <w:rPr>
                <w:rFonts w:hint="eastAsia" w:ascii="Times New Roman" w:hAnsi="Times New Roman"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三线一单</w:t>
            </w:r>
            <w:r>
              <w:rPr>
                <w:rFonts w:hint="eastAsia" w:ascii="Times New Roman" w:hAnsi="Times New Roman"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生态环境分区管控的意见》（陕政发〔2020〕11号）以及《宝鸡市人民政府关于印发宝鸡市</w:t>
            </w:r>
            <w:r>
              <w:rPr>
                <w:rFonts w:hint="eastAsia" w:ascii="Times New Roman" w:hAnsi="Times New Roman"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三线一单</w:t>
            </w:r>
            <w:r>
              <w:rPr>
                <w:rFonts w:hint="eastAsia" w:ascii="Times New Roman" w:hAnsi="Times New Roman"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生态环境分区管控方案的通知》宝政发</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2021</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19号文件要求，切实加强环境管理，落实</w:t>
            </w:r>
            <w:r>
              <w:rPr>
                <w:rFonts w:hint="eastAsia" w:ascii="Times New Roman" w:hAnsi="Times New Roman"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生态保护红线、环境质量底线、资源利用上线和环境准入负面清单</w:t>
            </w:r>
            <w:r>
              <w:rPr>
                <w:rFonts w:hint="eastAsia" w:ascii="Times New Roman" w:hAnsi="Times New Roman" w:cs="Times New Roman"/>
                <w:color w:val="000000"/>
                <w:highlight w:val="none"/>
                <w:lang w:val="en-US" w:eastAsia="zh-CN"/>
              </w:rPr>
              <w:t>”</w:t>
            </w:r>
            <w:r>
              <w:rPr>
                <w:rFonts w:hint="default" w:ascii="Times New Roman" w:hAnsi="Times New Roman"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简称</w:t>
            </w:r>
            <w:r>
              <w:rPr>
                <w:rFonts w:hint="eastAsia" w:ascii="Times New Roman" w:hAnsi="Times New Roman"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三线一单</w:t>
            </w:r>
            <w:r>
              <w:rPr>
                <w:rFonts w:hint="eastAsia" w:ascii="Times New Roman" w:hAnsi="Times New Roman" w:cs="Times New Roman"/>
                <w:color w:val="000000"/>
                <w:highlight w:val="none"/>
                <w:lang w:val="en-US" w:eastAsia="zh-CN"/>
              </w:rPr>
              <w:t>”</w:t>
            </w:r>
            <w:r>
              <w:rPr>
                <w:rFonts w:hint="default" w:ascii="Times New Roman" w:hAnsi="Times New Roman"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约束，建立项目环评审批与规划环评、项目环境管理、区域环境质量联动机制，更好地发挥环评制度从源头防范环境污染和生态破坏的作用，加快推进改善环境质量。</w:t>
            </w:r>
          </w:p>
          <w:p w14:paraId="3792BB48">
            <w:pPr>
              <w:shd w:val="clear" w:color="auto" w:fill="auto"/>
              <w:autoSpaceDE w:val="0"/>
              <w:autoSpaceDN w:val="0"/>
              <w:spacing w:line="360" w:lineRule="auto"/>
              <w:ind w:firstLine="480"/>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（1）项目与环境管控单元对照分析示意图</w:t>
            </w:r>
          </w:p>
          <w:p w14:paraId="55CA337B">
            <w:pPr>
              <w:shd w:val="clear" w:color="auto" w:fill="auto"/>
              <w:autoSpaceDE w:val="0"/>
              <w:autoSpaceDN w:val="0"/>
              <w:spacing w:line="360" w:lineRule="auto"/>
              <w:ind w:firstLine="480"/>
              <w:rPr>
                <w:rFonts w:hint="default" w:ascii="Times New Roman" w:hAnsi="Times New Roman" w:eastAsia="宋体" w:cs="Times New Roman"/>
                <w:caps w:val="0"/>
                <w:smallCaps w:val="0"/>
                <w:color w:val="000000"/>
                <w:spacing w:val="0"/>
                <w:sz w:val="24"/>
                <w:szCs w:val="24"/>
                <w:highlight w:val="none"/>
                <w:lang w:val="en-US" w:eastAsia="zh-CN"/>
              </w:rPr>
            </w:pPr>
            <w:r>
              <w:rPr>
                <w:rFonts w:hint="eastAsia" w:ascii="Times New Roman" w:hAnsi="Times New Roman" w:eastAsia="宋体" w:cs="Times New Roman"/>
                <w:color w:val="000000"/>
                <w:highlight w:val="none"/>
                <w:lang w:val="en-US" w:eastAsia="zh-CN"/>
              </w:rPr>
              <w:t>经</w:t>
            </w:r>
            <w:r>
              <w:rPr>
                <w:rFonts w:hint="default" w:ascii="Times New Roman" w:hAnsi="Times New Roman" w:eastAsia="宋体" w:cs="Times New Roman"/>
                <w:color w:val="000000"/>
                <w:highlight w:val="none"/>
                <w:lang w:val="en-US" w:eastAsia="zh-CN"/>
              </w:rPr>
              <w:t>查阅陕西省</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三线一单</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数据应用系统（V1.0）</w:t>
            </w:r>
            <w:r>
              <w:rPr>
                <w:rFonts w:hint="eastAsia" w:ascii="Times New Roman" w:hAnsi="Times New Roman" w:eastAsia="宋体" w:cs="Times New Roman"/>
                <w:color w:val="000000"/>
                <w:highlight w:val="none"/>
                <w:lang w:val="en-US" w:eastAsia="zh-CN"/>
              </w:rPr>
              <w:t>，本项目与环境管控单元对照分析示意图见图1-1。</w:t>
            </w:r>
          </w:p>
          <w:p w14:paraId="587E0CD4">
            <w:pPr>
              <w:shd w:val="clear" w:color="auto" w:fill="auto"/>
              <w:autoSpaceDE w:val="0"/>
              <w:autoSpaceDN w:val="0"/>
              <w:spacing w:line="360" w:lineRule="auto"/>
              <w:jc w:val="center"/>
              <w:rPr>
                <w:rFonts w:hint="eastAsia" w:ascii="Times New Roman" w:hAnsi="Times New Roman" w:eastAsia="宋体" w:cs="Times New Roman"/>
                <w:color w:val="000000"/>
                <w:highlight w:val="none"/>
                <w:lang w:val="en-US" w:eastAsia="zh-CN"/>
              </w:rPr>
            </w:pPr>
            <w:r>
              <mc:AlternateContent>
                <mc:Choice Requires="wps">
                  <w:drawing>
                    <wp:anchor distT="0" distB="0" distL="114300" distR="114300" simplePos="0" relativeHeight="251661312" behindDoc="0" locked="0" layoutInCell="1" allowOverlap="1">
                      <wp:simplePos x="0" y="0"/>
                      <wp:positionH relativeFrom="column">
                        <wp:posOffset>1976120</wp:posOffset>
                      </wp:positionH>
                      <wp:positionV relativeFrom="paragraph">
                        <wp:posOffset>2493010</wp:posOffset>
                      </wp:positionV>
                      <wp:extent cx="986155" cy="434340"/>
                      <wp:effectExtent l="0" t="0" r="0" b="0"/>
                      <wp:wrapNone/>
                      <wp:docPr id="5647" name="文本框 13"/>
                      <wp:cNvGraphicFramePr/>
                      <a:graphic xmlns:a="http://schemas.openxmlformats.org/drawingml/2006/main">
                        <a:graphicData uri="http://schemas.microsoft.com/office/word/2010/wordprocessingShape">
                          <wps:wsp>
                            <wps:cNvSpPr/>
                            <wps:spPr>
                              <a:xfrm rot="1440000">
                                <a:off x="0" y="0"/>
                                <a:ext cx="986155" cy="434340"/>
                              </a:xfrm>
                              <a:prstGeom prst="rect">
                                <a:avLst/>
                              </a:prstGeom>
                              <a:noFill/>
                              <a:ln>
                                <a:noFill/>
                              </a:ln>
                            </wps:spPr>
                            <wps:txbx>
                              <w:txbxContent>
                                <w:p w14:paraId="666C245E">
                                  <w:pPr>
                                    <w:rPr>
                                      <w:rFonts w:hint="default" w:eastAsia="宋体"/>
                                      <w:lang w:val="en-US" w:eastAsia="zh-CN"/>
                                    </w:rPr>
                                  </w:pPr>
                                  <w:r>
                                    <w:rPr>
                                      <w:rFonts w:hint="eastAsia"/>
                                      <w:lang w:val="en-US" w:eastAsia="zh-CN"/>
                                    </w:rPr>
                                    <w:t>项目厂界</w:t>
                                  </w:r>
                                </w:p>
                              </w:txbxContent>
                            </wps:txbx>
                            <wps:bodyPr rot="1572864" spcFirstLastPara="0" vertOverflow="overflow" horzOverflow="overflow" vert="horz" wrap="square" lIns="91440" tIns="45720" rIns="91440" bIns="45720" numCol="1" anchor="t" upright="1">
                              <a:noAutofit/>
                            </wps:bodyPr>
                          </wps:wsp>
                        </a:graphicData>
                      </a:graphic>
                    </wp:anchor>
                  </w:drawing>
                </mc:Choice>
                <mc:Fallback>
                  <w:pict>
                    <v:rect id="文本框 13" o:spid="_x0000_s1026" o:spt="1" style="position:absolute;left:0pt;margin-left:155.6pt;margin-top:196.3pt;height:34.2pt;width:77.65pt;rotation:1572864f;z-index:251661312;mso-width-relative:page;mso-height-relative:page;" filled="f" stroked="f" coordsize="21600,21600" o:gfxdata="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6E+HtsA&#10;AAALAQAADwAAAAAAAAABACAAAAAiAAAAZHJzL2Rvd25yZXYueG1sUEsBAhQAFAAAAAgAh07iQD3h&#10;upocAgAAJgQAAA4AAAAAAAAAAQAgAAAAKgEAAGRycy9lMm9Eb2MueG1sUEsFBgAAAAAGAAYAWQEA&#10;ALgFAAAAAA==&#10;">
                      <v:fill on="f" focussize="0,0"/>
                      <v:stroke on="f"/>
                      <v:imagedata o:title=""/>
                      <o:lock v:ext="edit" aspectratio="f"/>
                      <v:textbox>
                        <w:txbxContent>
                          <w:p w14:paraId="666C245E">
                            <w:pPr>
                              <w:rPr>
                                <w:rFonts w:hint="default" w:eastAsia="宋体"/>
                                <w:lang w:val="en-US" w:eastAsia="zh-CN"/>
                              </w:rPr>
                            </w:pPr>
                            <w:r>
                              <w:rPr>
                                <w:rFonts w:hint="eastAsia"/>
                                <w:lang w:val="en-US" w:eastAsia="zh-CN"/>
                              </w:rPr>
                              <w:t>项目厂界</w:t>
                            </w:r>
                          </w:p>
                        </w:txbxContent>
                      </v:textbox>
                    </v:rect>
                  </w:pict>
                </mc:Fallback>
              </mc:AlternateContent>
            </w:r>
            <w:r>
              <w:rPr>
                <w:color w:val="000000"/>
                <w:highlight w:val="none"/>
              </w:rPr>
              <w:drawing>
                <wp:inline distT="0" distB="0" distL="114300" distR="114300">
                  <wp:extent cx="3695700" cy="6134100"/>
                  <wp:effectExtent l="0" t="0" r="0" b="0"/>
                  <wp:docPr id="5648"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 name="图片 132"/>
                          <pic:cNvPicPr>
                            <a:picLocks noChangeAspect="1"/>
                          </pic:cNvPicPr>
                        </pic:nvPicPr>
                        <pic:blipFill>
                          <a:blip r:embed="rId10"/>
                          <a:stretch>
                            <a:fillRect/>
                          </a:stretch>
                        </pic:blipFill>
                        <pic:spPr>
                          <a:xfrm>
                            <a:off x="0" y="0"/>
                            <a:ext cx="3695700" cy="6134100"/>
                          </a:xfrm>
                          <a:prstGeom prst="rect">
                            <a:avLst/>
                          </a:prstGeom>
                          <a:noFill/>
                          <a:ln>
                            <a:noFill/>
                          </a:ln>
                        </pic:spPr>
                      </pic:pic>
                    </a:graphicData>
                  </a:graphic>
                </wp:inline>
              </w:drawing>
            </w:r>
          </w:p>
          <w:p w14:paraId="5C8A9C1C">
            <w:pPr>
              <w:shd w:val="clear" w:color="auto" w:fill="auto"/>
              <w:autoSpaceDE w:val="0"/>
              <w:autoSpaceDN w:val="0"/>
              <w:spacing w:line="360" w:lineRule="auto"/>
              <w:jc w:val="center"/>
              <w:rPr>
                <w:rFonts w:hint="eastAsia" w:ascii="Times New Roman" w:hAnsi="Times New Roman" w:eastAsia="宋体" w:cs="Times New Roman"/>
                <w:color w:val="000000"/>
                <w:highlight w:val="yellow"/>
                <w:lang w:val="en-US" w:eastAsia="zh-CN"/>
              </w:rPr>
            </w:pPr>
            <w:r>
              <w:rPr>
                <w:rFonts w:hint="eastAsia" w:ascii="Times New Roman" w:hAnsi="Times New Roman" w:cs="Times New Roman"/>
                <w:b/>
                <w:bCs/>
                <w:color w:val="000000"/>
                <w:szCs w:val="21"/>
                <w:highlight w:val="none"/>
                <w:lang w:val="en-US" w:eastAsia="zh-CN"/>
              </w:rPr>
              <w:t>图1-1</w:t>
            </w:r>
            <w:r>
              <w:rPr>
                <w:rFonts w:hint="eastAsia" w:cs="Times New Roman"/>
                <w:b/>
                <w:bCs/>
                <w:color w:val="000000"/>
                <w:szCs w:val="21"/>
                <w:highlight w:val="none"/>
                <w:lang w:val="en-US" w:eastAsia="zh-CN"/>
              </w:rPr>
              <w:t xml:space="preserve">  </w:t>
            </w:r>
            <w:r>
              <w:rPr>
                <w:rFonts w:hint="eastAsia" w:ascii="Times New Roman" w:hAnsi="Times New Roman" w:cs="Times New Roman"/>
                <w:b/>
                <w:bCs/>
                <w:color w:val="000000"/>
                <w:szCs w:val="21"/>
                <w:highlight w:val="none"/>
                <w:lang w:val="en-US" w:eastAsia="zh-CN"/>
              </w:rPr>
              <w:t>陕西省“三线一单”数据应用系统空间冲突分析图</w:t>
            </w:r>
          </w:p>
          <w:p w14:paraId="3F8AAFEA">
            <w:pPr>
              <w:shd w:val="clear" w:color="auto" w:fill="auto"/>
              <w:autoSpaceDE w:val="0"/>
              <w:autoSpaceDN w:val="0"/>
              <w:spacing w:line="360" w:lineRule="auto"/>
              <w:ind w:firstLine="480"/>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（2）环境管控单元涉及情况</w:t>
            </w:r>
          </w:p>
          <w:p w14:paraId="65053A9B">
            <w:pPr>
              <w:shd w:val="clear" w:color="auto" w:fill="auto"/>
              <w:autoSpaceDE w:val="0"/>
              <w:autoSpaceDN w:val="0"/>
              <w:adjustRightInd w:val="0"/>
              <w:snapToGrid w:val="0"/>
              <w:spacing w:line="240" w:lineRule="auto"/>
              <w:jc w:val="center"/>
              <w:rPr>
                <w:rFonts w:hint="default" w:ascii="Times New Roman" w:hAnsi="Times New Roman" w:eastAsia="宋体" w:cs="Times New Roman"/>
                <w:b/>
                <w:bCs/>
                <w:color w:val="000000"/>
                <w:spacing w:val="0"/>
                <w:kern w:val="2"/>
                <w:sz w:val="21"/>
                <w:szCs w:val="21"/>
                <w:highlight w:val="none"/>
                <w:lang w:val="en-US" w:eastAsia="zh-CN" w:bidi="ar-SA"/>
              </w:rPr>
            </w:pPr>
            <w:r>
              <w:rPr>
                <w:rFonts w:hint="eastAsia" w:ascii="Times New Roman" w:hAnsi="Times New Roman" w:eastAsia="宋体" w:cs="Times New Roman"/>
                <w:b/>
                <w:bCs/>
                <w:color w:val="000000"/>
                <w:spacing w:val="0"/>
                <w:kern w:val="2"/>
                <w:sz w:val="21"/>
                <w:szCs w:val="21"/>
                <w:highlight w:val="none"/>
                <w:lang w:val="en-US" w:eastAsia="zh-CN" w:bidi="ar-SA"/>
              </w:rPr>
              <w:t>表1-1  项目与环境管控单元涉及情况</w:t>
            </w:r>
          </w:p>
          <w:tbl>
            <w:tblPr>
              <w:tblStyle w:val="13"/>
              <w:tblW w:w="76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534"/>
              <w:gridCol w:w="2534"/>
              <w:gridCol w:w="2534"/>
            </w:tblGrid>
            <w:tr w14:paraId="6DB5D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534" w:type="dxa"/>
                  <w:shd w:val="clear" w:color="auto" w:fill="auto"/>
                  <w:noWrap w:val="0"/>
                  <w:vAlign w:val="center"/>
                </w:tcPr>
                <w:p w14:paraId="406BB0F4">
                  <w:pPr>
                    <w:shd w:val="clear" w:color="auto" w:fill="auto"/>
                    <w:autoSpaceDE w:val="0"/>
                    <w:autoSpaceDN w:val="0"/>
                    <w:adjustRightInd w:val="0"/>
                    <w:snapToGrid w:val="0"/>
                    <w:spacing w:line="240" w:lineRule="auto"/>
                    <w:jc w:val="center"/>
                    <w:rPr>
                      <w:rFonts w:hint="default" w:ascii="Times New Roman" w:eastAsia="宋体"/>
                      <w:color w:val="000000"/>
                      <w:sz w:val="21"/>
                      <w:szCs w:val="21"/>
                      <w:highlight w:val="none"/>
                      <w:vertAlign w:val="baseline"/>
                      <w:lang w:val="en-US" w:eastAsia="zh-CN"/>
                    </w:rPr>
                  </w:pPr>
                  <w:r>
                    <w:rPr>
                      <w:rFonts w:hint="eastAsia"/>
                      <w:color w:val="000000"/>
                      <w:sz w:val="21"/>
                      <w:szCs w:val="21"/>
                      <w:highlight w:val="none"/>
                      <w:vertAlign w:val="baseline"/>
                      <w:lang w:val="en-US" w:eastAsia="zh-CN"/>
                    </w:rPr>
                    <w:t>环境管控单元分类</w:t>
                  </w:r>
                </w:p>
              </w:tc>
              <w:tc>
                <w:tcPr>
                  <w:tcW w:w="2534" w:type="dxa"/>
                  <w:shd w:val="clear" w:color="auto" w:fill="auto"/>
                  <w:noWrap w:val="0"/>
                  <w:vAlign w:val="center"/>
                </w:tcPr>
                <w:p w14:paraId="26423127">
                  <w:pPr>
                    <w:shd w:val="clear" w:color="auto" w:fill="auto"/>
                    <w:autoSpaceDE w:val="0"/>
                    <w:autoSpaceDN w:val="0"/>
                    <w:adjustRightInd w:val="0"/>
                    <w:snapToGrid w:val="0"/>
                    <w:spacing w:line="240" w:lineRule="auto"/>
                    <w:jc w:val="center"/>
                    <w:rPr>
                      <w:rFonts w:hint="default" w:ascii="Times New Roman" w:eastAsia="宋体"/>
                      <w:color w:val="000000"/>
                      <w:sz w:val="21"/>
                      <w:szCs w:val="21"/>
                      <w:highlight w:val="none"/>
                      <w:vertAlign w:val="baseline"/>
                      <w:lang w:val="en-US" w:eastAsia="zh-CN"/>
                    </w:rPr>
                  </w:pPr>
                  <w:r>
                    <w:rPr>
                      <w:rFonts w:hint="eastAsia"/>
                      <w:color w:val="000000"/>
                      <w:sz w:val="21"/>
                      <w:szCs w:val="21"/>
                      <w:highlight w:val="none"/>
                      <w:vertAlign w:val="baseline"/>
                      <w:lang w:val="en-US" w:eastAsia="zh-CN"/>
                    </w:rPr>
                    <w:t>是否涉及</w:t>
                  </w:r>
                </w:p>
              </w:tc>
              <w:tc>
                <w:tcPr>
                  <w:tcW w:w="2534" w:type="dxa"/>
                  <w:shd w:val="clear" w:color="auto" w:fill="auto"/>
                  <w:noWrap w:val="0"/>
                  <w:vAlign w:val="center"/>
                </w:tcPr>
                <w:p w14:paraId="3A2FA2E6">
                  <w:pPr>
                    <w:shd w:val="clear" w:color="auto" w:fill="auto"/>
                    <w:autoSpaceDE w:val="0"/>
                    <w:autoSpaceDN w:val="0"/>
                    <w:adjustRightInd w:val="0"/>
                    <w:snapToGrid w:val="0"/>
                    <w:spacing w:line="240" w:lineRule="auto"/>
                    <w:jc w:val="center"/>
                    <w:rPr>
                      <w:rFonts w:hint="default" w:ascii="Times New Roman" w:eastAsia="宋体"/>
                      <w:color w:val="000000"/>
                      <w:sz w:val="21"/>
                      <w:szCs w:val="21"/>
                      <w:highlight w:val="none"/>
                      <w:vertAlign w:val="baseline"/>
                      <w:lang w:val="en-US" w:eastAsia="zh-CN"/>
                    </w:rPr>
                  </w:pPr>
                  <w:r>
                    <w:rPr>
                      <w:rFonts w:hint="eastAsia"/>
                      <w:color w:val="000000"/>
                      <w:sz w:val="21"/>
                      <w:szCs w:val="21"/>
                      <w:highlight w:val="none"/>
                      <w:vertAlign w:val="baseline"/>
                      <w:lang w:val="en-US" w:eastAsia="zh-CN"/>
                    </w:rPr>
                    <w:t>面积/长度</w:t>
                  </w:r>
                </w:p>
              </w:tc>
            </w:tr>
            <w:tr w14:paraId="5220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534" w:type="dxa"/>
                  <w:shd w:val="clear" w:color="auto" w:fill="auto"/>
                  <w:noWrap w:val="0"/>
                  <w:vAlign w:val="center"/>
                </w:tcPr>
                <w:p w14:paraId="3A46054A">
                  <w:pPr>
                    <w:shd w:val="clear" w:color="auto" w:fill="auto"/>
                    <w:autoSpaceDE w:val="0"/>
                    <w:autoSpaceDN w:val="0"/>
                    <w:adjustRightInd w:val="0"/>
                    <w:snapToGrid w:val="0"/>
                    <w:spacing w:line="240" w:lineRule="auto"/>
                    <w:jc w:val="center"/>
                    <w:rPr>
                      <w:rFonts w:hint="default" w:ascii="Times New Roman" w:eastAsia="宋体"/>
                      <w:color w:val="000000"/>
                      <w:sz w:val="21"/>
                      <w:szCs w:val="21"/>
                      <w:highlight w:val="none"/>
                      <w:vertAlign w:val="baseline"/>
                      <w:lang w:val="en-US" w:eastAsia="zh-CN"/>
                    </w:rPr>
                  </w:pPr>
                  <w:r>
                    <w:rPr>
                      <w:rFonts w:hint="eastAsia"/>
                      <w:color w:val="000000"/>
                      <w:sz w:val="21"/>
                      <w:szCs w:val="21"/>
                      <w:highlight w:val="none"/>
                      <w:vertAlign w:val="baseline"/>
                      <w:lang w:val="en-US" w:eastAsia="zh-CN"/>
                    </w:rPr>
                    <w:t>优先保护单元</w:t>
                  </w:r>
                </w:p>
              </w:tc>
              <w:tc>
                <w:tcPr>
                  <w:tcW w:w="2534" w:type="dxa"/>
                  <w:shd w:val="clear" w:color="auto" w:fill="auto"/>
                  <w:noWrap w:val="0"/>
                  <w:vAlign w:val="center"/>
                </w:tcPr>
                <w:p w14:paraId="3DC838BF">
                  <w:pPr>
                    <w:shd w:val="clear" w:color="auto" w:fill="auto"/>
                    <w:autoSpaceDE w:val="0"/>
                    <w:autoSpaceDN w:val="0"/>
                    <w:adjustRightInd w:val="0"/>
                    <w:snapToGrid w:val="0"/>
                    <w:spacing w:line="240" w:lineRule="auto"/>
                    <w:jc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color w:val="000000"/>
                      <w:sz w:val="21"/>
                      <w:szCs w:val="21"/>
                      <w:highlight w:val="none"/>
                      <w:vertAlign w:val="baseline"/>
                      <w:lang w:val="en-US" w:eastAsia="zh-CN"/>
                    </w:rPr>
                    <w:t>否</w:t>
                  </w:r>
                </w:p>
              </w:tc>
              <w:tc>
                <w:tcPr>
                  <w:tcW w:w="2534" w:type="dxa"/>
                  <w:shd w:val="clear" w:color="auto" w:fill="auto"/>
                  <w:noWrap w:val="0"/>
                  <w:vAlign w:val="center"/>
                </w:tcPr>
                <w:p w14:paraId="610664B8">
                  <w:pPr>
                    <w:shd w:val="clear" w:color="auto" w:fill="auto"/>
                    <w:autoSpaceDE w:val="0"/>
                    <w:autoSpaceDN w:val="0"/>
                    <w:adjustRightInd w:val="0"/>
                    <w:snapToGrid w:val="0"/>
                    <w:spacing w:line="240" w:lineRule="auto"/>
                    <w:jc w:val="center"/>
                    <w:rPr>
                      <w:rFonts w:hint="default" w:ascii="Times New Roman" w:eastAsia="宋体"/>
                      <w:color w:val="000000"/>
                      <w:sz w:val="21"/>
                      <w:szCs w:val="21"/>
                      <w:highlight w:val="none"/>
                      <w:vertAlign w:val="baseline"/>
                      <w:lang w:val="en-US" w:eastAsia="zh-CN"/>
                    </w:rPr>
                  </w:pPr>
                  <w:r>
                    <w:rPr>
                      <w:rFonts w:hint="eastAsia"/>
                      <w:color w:val="000000"/>
                      <w:sz w:val="21"/>
                      <w:szCs w:val="21"/>
                      <w:highlight w:val="none"/>
                      <w:vertAlign w:val="baseline"/>
                      <w:lang w:val="en-US" w:eastAsia="zh-CN"/>
                    </w:rPr>
                    <w:t>0平方米</w:t>
                  </w:r>
                </w:p>
              </w:tc>
            </w:tr>
            <w:tr w14:paraId="73957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534" w:type="dxa"/>
                  <w:shd w:val="clear" w:color="auto" w:fill="auto"/>
                  <w:noWrap w:val="0"/>
                  <w:vAlign w:val="center"/>
                </w:tcPr>
                <w:p w14:paraId="735CB9E5">
                  <w:pPr>
                    <w:shd w:val="clear" w:color="auto" w:fill="auto"/>
                    <w:autoSpaceDE w:val="0"/>
                    <w:autoSpaceDN w:val="0"/>
                    <w:adjustRightInd w:val="0"/>
                    <w:snapToGrid w:val="0"/>
                    <w:spacing w:line="240" w:lineRule="auto"/>
                    <w:jc w:val="center"/>
                    <w:rPr>
                      <w:rFonts w:hint="default" w:ascii="Times New Roman" w:eastAsia="宋体"/>
                      <w:color w:val="000000"/>
                      <w:sz w:val="21"/>
                      <w:szCs w:val="21"/>
                      <w:highlight w:val="none"/>
                      <w:vertAlign w:val="baseline"/>
                      <w:lang w:val="en-US" w:eastAsia="zh-CN"/>
                    </w:rPr>
                  </w:pPr>
                  <w:r>
                    <w:rPr>
                      <w:rFonts w:hint="eastAsia"/>
                      <w:color w:val="000000"/>
                      <w:sz w:val="21"/>
                      <w:szCs w:val="21"/>
                      <w:highlight w:val="none"/>
                      <w:vertAlign w:val="baseline"/>
                      <w:lang w:val="en-US" w:eastAsia="zh-CN"/>
                    </w:rPr>
                    <w:t>重点管控单元</w:t>
                  </w:r>
                </w:p>
              </w:tc>
              <w:tc>
                <w:tcPr>
                  <w:tcW w:w="2534" w:type="dxa"/>
                  <w:shd w:val="clear" w:color="auto" w:fill="auto"/>
                  <w:noWrap w:val="0"/>
                  <w:vAlign w:val="center"/>
                </w:tcPr>
                <w:p w14:paraId="40AB0FC5">
                  <w:pPr>
                    <w:shd w:val="clear" w:color="auto" w:fill="auto"/>
                    <w:autoSpaceDE w:val="0"/>
                    <w:autoSpaceDN w:val="0"/>
                    <w:adjustRightInd w:val="0"/>
                    <w:snapToGrid w:val="0"/>
                    <w:spacing w:line="240" w:lineRule="auto"/>
                    <w:jc w:val="center"/>
                    <w:rPr>
                      <w:rFonts w:hint="default" w:ascii="Times New Roman" w:hAnsi="Times New Roman" w:eastAsia="宋体" w:cs="Times New Roman"/>
                      <w:color w:val="000000"/>
                      <w:kern w:val="2"/>
                      <w:sz w:val="21"/>
                      <w:szCs w:val="21"/>
                      <w:highlight w:val="none"/>
                      <w:vertAlign w:val="baseline"/>
                      <w:lang w:val="en-US" w:eastAsia="zh-CN" w:bidi="ar-SA"/>
                    </w:rPr>
                  </w:pPr>
                  <w:r>
                    <w:rPr>
                      <w:rFonts w:hint="eastAsia" w:ascii="Times New Roman" w:hAnsi="Times New Roman" w:eastAsia="宋体" w:cs="Times New Roman"/>
                      <w:color w:val="000000"/>
                      <w:kern w:val="2"/>
                      <w:sz w:val="21"/>
                      <w:szCs w:val="21"/>
                      <w:highlight w:val="none"/>
                      <w:vertAlign w:val="baseline"/>
                      <w:lang w:val="en-US" w:eastAsia="zh-CN" w:bidi="ar-SA"/>
                    </w:rPr>
                    <w:t>否</w:t>
                  </w:r>
                </w:p>
              </w:tc>
              <w:tc>
                <w:tcPr>
                  <w:tcW w:w="2534" w:type="dxa"/>
                  <w:shd w:val="clear" w:color="auto" w:fill="auto"/>
                  <w:noWrap w:val="0"/>
                  <w:vAlign w:val="center"/>
                </w:tcPr>
                <w:p w14:paraId="3A0850A2">
                  <w:pPr>
                    <w:shd w:val="clear" w:color="auto" w:fill="auto"/>
                    <w:autoSpaceDE w:val="0"/>
                    <w:autoSpaceDN w:val="0"/>
                    <w:adjustRightInd w:val="0"/>
                    <w:snapToGrid w:val="0"/>
                    <w:spacing w:line="240" w:lineRule="auto"/>
                    <w:jc w:val="center"/>
                    <w:rPr>
                      <w:rFonts w:hint="default" w:ascii="Times New Roman" w:eastAsia="宋体"/>
                      <w:color w:val="000000"/>
                      <w:sz w:val="21"/>
                      <w:szCs w:val="21"/>
                      <w:highlight w:val="none"/>
                      <w:vertAlign w:val="baseline"/>
                      <w:lang w:val="en-US" w:eastAsia="zh-CN"/>
                    </w:rPr>
                  </w:pPr>
                  <w:r>
                    <w:rPr>
                      <w:rFonts w:hint="eastAsia"/>
                      <w:color w:val="000000"/>
                      <w:sz w:val="21"/>
                      <w:szCs w:val="21"/>
                      <w:highlight w:val="none"/>
                      <w:vertAlign w:val="baseline"/>
                      <w:lang w:val="en-US" w:eastAsia="zh-CN"/>
                    </w:rPr>
                    <w:t>0平方米</w:t>
                  </w:r>
                </w:p>
              </w:tc>
            </w:tr>
            <w:tr w14:paraId="752F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534" w:type="dxa"/>
                  <w:shd w:val="clear" w:color="auto" w:fill="auto"/>
                  <w:noWrap w:val="0"/>
                  <w:vAlign w:val="center"/>
                </w:tcPr>
                <w:p w14:paraId="6314051B">
                  <w:pPr>
                    <w:shd w:val="clear" w:color="auto" w:fill="auto"/>
                    <w:autoSpaceDE w:val="0"/>
                    <w:autoSpaceDN w:val="0"/>
                    <w:adjustRightInd w:val="0"/>
                    <w:snapToGrid w:val="0"/>
                    <w:spacing w:line="240" w:lineRule="auto"/>
                    <w:jc w:val="center"/>
                    <w:rPr>
                      <w:rFonts w:hint="default" w:ascii="Times New Roman" w:eastAsia="宋体"/>
                      <w:color w:val="000000"/>
                      <w:sz w:val="21"/>
                      <w:szCs w:val="21"/>
                      <w:highlight w:val="none"/>
                      <w:vertAlign w:val="baseline"/>
                      <w:lang w:val="en-US" w:eastAsia="zh-CN"/>
                    </w:rPr>
                  </w:pPr>
                  <w:r>
                    <w:rPr>
                      <w:rFonts w:hint="eastAsia"/>
                      <w:color w:val="000000"/>
                      <w:sz w:val="21"/>
                      <w:szCs w:val="21"/>
                      <w:highlight w:val="none"/>
                      <w:vertAlign w:val="baseline"/>
                      <w:lang w:val="en-US" w:eastAsia="zh-CN"/>
                    </w:rPr>
                    <w:t>一般管控单元</w:t>
                  </w:r>
                </w:p>
              </w:tc>
              <w:tc>
                <w:tcPr>
                  <w:tcW w:w="2534" w:type="dxa"/>
                  <w:shd w:val="clear" w:color="auto" w:fill="auto"/>
                  <w:noWrap w:val="0"/>
                  <w:vAlign w:val="center"/>
                </w:tcPr>
                <w:p w14:paraId="1AD89B71">
                  <w:pPr>
                    <w:shd w:val="clear" w:color="auto" w:fill="auto"/>
                    <w:autoSpaceDE w:val="0"/>
                    <w:autoSpaceDN w:val="0"/>
                    <w:adjustRightInd w:val="0"/>
                    <w:snapToGrid w:val="0"/>
                    <w:spacing w:line="240" w:lineRule="auto"/>
                    <w:jc w:val="center"/>
                    <w:rPr>
                      <w:rFonts w:hint="eastAsia" w:ascii="Times New Roman" w:eastAsia="宋体"/>
                      <w:color w:val="000000"/>
                      <w:sz w:val="21"/>
                      <w:szCs w:val="21"/>
                      <w:highlight w:val="none"/>
                      <w:vertAlign w:val="baseline"/>
                      <w:lang w:val="en-US" w:eastAsia="zh-CN"/>
                    </w:rPr>
                  </w:pPr>
                  <w:r>
                    <w:rPr>
                      <w:rFonts w:hint="eastAsia"/>
                      <w:color w:val="000000"/>
                      <w:sz w:val="21"/>
                      <w:szCs w:val="21"/>
                      <w:highlight w:val="none"/>
                      <w:vertAlign w:val="baseline"/>
                      <w:lang w:val="en-US" w:eastAsia="zh-CN"/>
                    </w:rPr>
                    <w:t>是</w:t>
                  </w:r>
                </w:p>
              </w:tc>
              <w:tc>
                <w:tcPr>
                  <w:tcW w:w="2534" w:type="dxa"/>
                  <w:shd w:val="clear" w:color="auto" w:fill="auto"/>
                  <w:noWrap w:val="0"/>
                  <w:vAlign w:val="center"/>
                </w:tcPr>
                <w:p w14:paraId="739682C1">
                  <w:pPr>
                    <w:shd w:val="clear" w:color="auto" w:fill="auto"/>
                    <w:autoSpaceDE w:val="0"/>
                    <w:autoSpaceDN w:val="0"/>
                    <w:adjustRightInd w:val="0"/>
                    <w:snapToGrid w:val="0"/>
                    <w:spacing w:line="240" w:lineRule="auto"/>
                    <w:jc w:val="center"/>
                    <w:rPr>
                      <w:rFonts w:hint="eastAsia" w:ascii="Times New Roman" w:eastAsia="宋体"/>
                      <w:color w:val="000000"/>
                      <w:sz w:val="21"/>
                      <w:szCs w:val="21"/>
                      <w:highlight w:val="none"/>
                      <w:vertAlign w:val="baseline"/>
                      <w:lang w:val="en-US" w:eastAsia="zh-CN"/>
                    </w:rPr>
                  </w:pPr>
                  <w:r>
                    <w:rPr>
                      <w:rFonts w:hint="eastAsia"/>
                      <w:color w:val="000000"/>
                      <w:sz w:val="21"/>
                      <w:szCs w:val="21"/>
                      <w:highlight w:val="none"/>
                      <w:vertAlign w:val="baseline"/>
                      <w:lang w:val="en-US" w:eastAsia="zh-CN"/>
                    </w:rPr>
                    <w:t>5300平方米</w:t>
                  </w:r>
                </w:p>
              </w:tc>
            </w:tr>
          </w:tbl>
          <w:p w14:paraId="2EA86651">
            <w:pPr>
              <w:shd w:val="clear" w:color="auto" w:fill="auto"/>
              <w:bidi w:val="0"/>
              <w:spacing w:line="360" w:lineRule="auto"/>
              <w:ind w:left="0" w:leftChars="0" w:firstLine="420" w:firstLineChars="200"/>
              <w:jc w:val="both"/>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（3）项目涉及的生态环境管控单元准入清单及符合性说明</w:t>
            </w:r>
          </w:p>
          <w:p w14:paraId="704FF23B">
            <w:pPr>
              <w:shd w:val="clear" w:color="auto" w:fill="auto"/>
              <w:autoSpaceDE w:val="0"/>
              <w:autoSpaceDN w:val="0"/>
              <w:spacing w:line="360" w:lineRule="auto"/>
              <w:ind w:firstLine="480"/>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经查阅陕西省“三线一单”数据应用系统（V1.0），本项目占地全部在重点管控单元范围内，项目“三线一单”要求符合性说明详见表1-2。</w:t>
            </w:r>
          </w:p>
          <w:p w14:paraId="07CBEA98">
            <w:pPr>
              <w:pStyle w:val="197"/>
              <w:keepNext w:val="0"/>
              <w:keepLines w:val="0"/>
              <w:pageBreakBefore w:val="0"/>
              <w:widowControl/>
              <w:shd w:val="clear" w:color="auto" w:fill="auto"/>
              <w:kinsoku/>
              <w:wordWrap/>
              <w:overflowPunct/>
              <w:topLinePunct w:val="0"/>
              <w:autoSpaceDE w:val="0"/>
              <w:autoSpaceDN w:val="0"/>
              <w:bidi w:val="0"/>
              <w:adjustRightInd w:val="0"/>
              <w:snapToGrid w:val="0"/>
              <w:spacing w:before="0" w:after="0" w:line="240" w:lineRule="auto"/>
              <w:ind w:right="0"/>
              <w:textAlignment w:val="baseline"/>
              <w:rPr>
                <w:rFonts w:hint="default" w:ascii="Times New Roman" w:hAnsi="Times New Roman" w:eastAsia="宋体" w:cs="Times New Roman"/>
                <w:b/>
                <w:bCs/>
                <w:color w:val="000000"/>
                <w:spacing w:val="0"/>
                <w:kern w:val="2"/>
                <w:sz w:val="21"/>
                <w:szCs w:val="21"/>
                <w:highlight w:val="none"/>
                <w:lang w:val="en-US" w:eastAsia="zh-CN" w:bidi="ar-SA"/>
              </w:rPr>
            </w:pPr>
            <w:r>
              <w:rPr>
                <w:rFonts w:hint="default" w:ascii="Times New Roman" w:hAnsi="Times New Roman" w:eastAsia="宋体" w:cs="Times New Roman"/>
                <w:b/>
                <w:bCs/>
                <w:color w:val="000000"/>
                <w:spacing w:val="0"/>
                <w:kern w:val="2"/>
                <w:sz w:val="21"/>
                <w:szCs w:val="21"/>
                <w:highlight w:val="none"/>
                <w:lang w:val="en-US" w:eastAsia="zh-CN" w:bidi="ar-SA"/>
              </w:rPr>
              <w:t>表1</w:t>
            </w:r>
            <w:r>
              <w:rPr>
                <w:rFonts w:hint="eastAsia" w:ascii="Times New Roman" w:hAnsi="Times New Roman" w:eastAsia="宋体" w:cs="Times New Roman"/>
                <w:b/>
                <w:bCs/>
                <w:color w:val="000000"/>
                <w:spacing w:val="0"/>
                <w:kern w:val="2"/>
                <w:sz w:val="21"/>
                <w:szCs w:val="21"/>
                <w:highlight w:val="none"/>
                <w:lang w:val="en-US" w:eastAsia="zh-CN" w:bidi="ar-SA"/>
              </w:rPr>
              <w:t>-2  项目与“三线一单”</w:t>
            </w:r>
            <w:r>
              <w:rPr>
                <w:rFonts w:hint="default" w:ascii="Times New Roman" w:hAnsi="Times New Roman" w:eastAsia="宋体" w:cs="Times New Roman"/>
                <w:b/>
                <w:bCs/>
                <w:color w:val="000000"/>
                <w:spacing w:val="0"/>
                <w:kern w:val="2"/>
                <w:sz w:val="21"/>
                <w:szCs w:val="21"/>
                <w:highlight w:val="none"/>
                <w:lang w:val="en-US" w:eastAsia="zh-CN" w:bidi="ar-SA"/>
              </w:rPr>
              <w:t>符合性分析</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60"/>
              <w:gridCol w:w="767"/>
              <w:gridCol w:w="927"/>
              <w:gridCol w:w="2364"/>
              <w:gridCol w:w="2178"/>
              <w:gridCol w:w="674"/>
            </w:tblGrid>
            <w:tr w14:paraId="78DFA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36" w:type="pct"/>
                  <w:tcBorders>
                    <w:tl2br w:val="nil"/>
                    <w:tr2bl w:val="nil"/>
                  </w:tcBorders>
                  <w:shd w:val="clear" w:color="auto" w:fill="auto"/>
                  <w:noWrap w:val="0"/>
                  <w:vAlign w:val="center"/>
                </w:tcPr>
                <w:p w14:paraId="3B1382B5">
                  <w:pPr>
                    <w:pStyle w:val="198"/>
                    <w:shd w:val="clear" w:color="auto" w:fill="auto"/>
                    <w:kinsoku w:val="0"/>
                    <w:overflowPunct w:val="0"/>
                    <w:autoSpaceDE w:val="0"/>
                    <w:autoSpaceDN w:val="0"/>
                    <w:adjustRightInd w:val="0"/>
                    <w:snapToGrid w:val="0"/>
                    <w:rPr>
                      <w:rFonts w:hint="default" w:ascii="Times New Roman" w:hAnsi="Times New Roman" w:eastAsia="宋体" w:cs="Times New Roman"/>
                      <w:color w:val="000000"/>
                      <w:kern w:val="0"/>
                      <w:sz w:val="21"/>
                      <w:szCs w:val="21"/>
                      <w:highlight w:val="none"/>
                      <w:lang w:val="en-US" w:eastAsia="zh-CN" w:bidi="zh-CN"/>
                    </w:rPr>
                  </w:pPr>
                  <w:r>
                    <w:rPr>
                      <w:rFonts w:hint="eastAsia" w:ascii="Times New Roman" w:hAnsi="Times New Roman" w:eastAsia="宋体" w:cs="Times New Roman"/>
                      <w:color w:val="000000"/>
                      <w:kern w:val="0"/>
                      <w:sz w:val="21"/>
                      <w:szCs w:val="21"/>
                      <w:highlight w:val="none"/>
                      <w:lang w:val="en-US" w:eastAsia="zh-CN" w:bidi="zh-CN"/>
                    </w:rPr>
                    <w:t>管控单元名称</w:t>
                  </w:r>
                </w:p>
              </w:tc>
              <w:tc>
                <w:tcPr>
                  <w:tcW w:w="507" w:type="pct"/>
                  <w:tcBorders>
                    <w:tl2br w:val="nil"/>
                    <w:tr2bl w:val="nil"/>
                  </w:tcBorders>
                  <w:shd w:val="clear" w:color="auto" w:fill="auto"/>
                  <w:noWrap w:val="0"/>
                  <w:vAlign w:val="center"/>
                </w:tcPr>
                <w:p w14:paraId="4C9D1A38">
                  <w:pPr>
                    <w:pStyle w:val="198"/>
                    <w:shd w:val="clear" w:color="auto" w:fill="auto"/>
                    <w:kinsoku w:val="0"/>
                    <w:overflowPunct w:val="0"/>
                    <w:autoSpaceDE w:val="0"/>
                    <w:autoSpaceDN w:val="0"/>
                    <w:adjustRightInd w:val="0"/>
                    <w:snapToGrid w:val="0"/>
                    <w:rPr>
                      <w:rFonts w:hint="default" w:ascii="Times New Roman" w:hAnsi="Times New Roman" w:eastAsia="宋体" w:cs="Times New Roman"/>
                      <w:color w:val="000000"/>
                      <w:kern w:val="0"/>
                      <w:sz w:val="21"/>
                      <w:szCs w:val="21"/>
                      <w:highlight w:val="none"/>
                      <w:lang w:val="en-US" w:eastAsia="zh-CN" w:bidi="zh-CN"/>
                    </w:rPr>
                  </w:pPr>
                  <w:r>
                    <w:rPr>
                      <w:rFonts w:hint="eastAsia" w:ascii="Times New Roman" w:hAnsi="Times New Roman" w:eastAsia="宋体" w:cs="Times New Roman"/>
                      <w:color w:val="000000"/>
                      <w:kern w:val="0"/>
                      <w:sz w:val="21"/>
                      <w:szCs w:val="21"/>
                      <w:highlight w:val="none"/>
                      <w:lang w:val="en-US" w:eastAsia="zh-CN" w:bidi="zh-CN"/>
                    </w:rPr>
                    <w:t>单元要素属性</w:t>
                  </w:r>
                </w:p>
              </w:tc>
              <w:tc>
                <w:tcPr>
                  <w:tcW w:w="612" w:type="pct"/>
                  <w:tcBorders>
                    <w:tl2br w:val="nil"/>
                    <w:tr2bl w:val="nil"/>
                  </w:tcBorders>
                  <w:shd w:val="clear" w:color="auto" w:fill="auto"/>
                  <w:noWrap w:val="0"/>
                  <w:vAlign w:val="center"/>
                </w:tcPr>
                <w:p w14:paraId="1BFDE2D8">
                  <w:pPr>
                    <w:pStyle w:val="198"/>
                    <w:shd w:val="clear" w:color="auto" w:fill="auto"/>
                    <w:kinsoku w:val="0"/>
                    <w:overflowPunct w:val="0"/>
                    <w:autoSpaceDE w:val="0"/>
                    <w:autoSpaceDN w:val="0"/>
                    <w:adjustRightInd w:val="0"/>
                    <w:snapToGrid w:val="0"/>
                    <w:rPr>
                      <w:rFonts w:hint="default" w:ascii="Times New Roman" w:hAnsi="Times New Roman" w:eastAsia="宋体" w:cs="Times New Roman"/>
                      <w:color w:val="000000"/>
                      <w:kern w:val="0"/>
                      <w:sz w:val="21"/>
                      <w:szCs w:val="21"/>
                      <w:highlight w:val="none"/>
                      <w:lang w:val="en-US" w:eastAsia="zh-CN" w:bidi="zh-CN"/>
                    </w:rPr>
                  </w:pPr>
                  <w:r>
                    <w:rPr>
                      <w:rFonts w:hint="eastAsia" w:ascii="Times New Roman" w:hAnsi="Times New Roman" w:eastAsia="宋体" w:cs="Times New Roman"/>
                      <w:color w:val="000000"/>
                      <w:kern w:val="0"/>
                      <w:sz w:val="21"/>
                      <w:szCs w:val="21"/>
                      <w:highlight w:val="none"/>
                      <w:lang w:val="en-US" w:eastAsia="zh-CN" w:bidi="zh-CN"/>
                    </w:rPr>
                    <w:t>管控要求分类</w:t>
                  </w:r>
                </w:p>
              </w:tc>
              <w:tc>
                <w:tcPr>
                  <w:tcW w:w="1561" w:type="pct"/>
                  <w:tcBorders>
                    <w:tl2br w:val="nil"/>
                    <w:tr2bl w:val="nil"/>
                  </w:tcBorders>
                  <w:shd w:val="clear" w:color="auto" w:fill="auto"/>
                  <w:noWrap w:val="0"/>
                  <w:vAlign w:val="center"/>
                </w:tcPr>
                <w:p w14:paraId="202E170A">
                  <w:pPr>
                    <w:pStyle w:val="198"/>
                    <w:shd w:val="clear" w:color="auto" w:fill="auto"/>
                    <w:kinsoku w:val="0"/>
                    <w:overflowPunct w:val="0"/>
                    <w:autoSpaceDE w:val="0"/>
                    <w:autoSpaceDN w:val="0"/>
                    <w:adjustRightInd w:val="0"/>
                    <w:snapToGrid w:val="0"/>
                    <w:rPr>
                      <w:rFonts w:hint="default" w:ascii="Times New Roman" w:hAnsi="Times New Roman" w:eastAsia="宋体" w:cs="Times New Roman"/>
                      <w:color w:val="000000"/>
                      <w:kern w:val="0"/>
                      <w:sz w:val="21"/>
                      <w:szCs w:val="21"/>
                      <w:highlight w:val="none"/>
                      <w:lang w:val="en-US" w:eastAsia="zh-CN" w:bidi="zh-CN"/>
                    </w:rPr>
                  </w:pPr>
                  <w:r>
                    <w:rPr>
                      <w:rFonts w:hint="eastAsia" w:ascii="Times New Roman" w:hAnsi="Times New Roman" w:eastAsia="宋体" w:cs="Times New Roman"/>
                      <w:color w:val="000000"/>
                      <w:kern w:val="0"/>
                      <w:sz w:val="21"/>
                      <w:szCs w:val="21"/>
                      <w:highlight w:val="none"/>
                      <w:lang w:val="en-US" w:eastAsia="zh-CN" w:bidi="zh-CN"/>
                    </w:rPr>
                    <w:t>管控要求</w:t>
                  </w:r>
                </w:p>
              </w:tc>
              <w:tc>
                <w:tcPr>
                  <w:tcW w:w="1438" w:type="pct"/>
                  <w:tcBorders>
                    <w:tl2br w:val="nil"/>
                    <w:tr2bl w:val="nil"/>
                  </w:tcBorders>
                  <w:shd w:val="clear" w:color="auto" w:fill="auto"/>
                  <w:noWrap w:val="0"/>
                  <w:vAlign w:val="center"/>
                </w:tcPr>
                <w:p w14:paraId="3902B151">
                  <w:pPr>
                    <w:pStyle w:val="198"/>
                    <w:shd w:val="clear" w:color="auto" w:fill="auto"/>
                    <w:kinsoku w:val="0"/>
                    <w:overflowPunct w:val="0"/>
                    <w:autoSpaceDE w:val="0"/>
                    <w:autoSpaceDN w:val="0"/>
                    <w:adjustRightInd w:val="0"/>
                    <w:snapToGrid w:val="0"/>
                    <w:rPr>
                      <w:rFonts w:hint="default" w:ascii="Times New Roman" w:hAnsi="Times New Roman" w:eastAsia="宋体" w:cs="Times New Roman"/>
                      <w:color w:val="000000"/>
                      <w:kern w:val="0"/>
                      <w:sz w:val="21"/>
                      <w:szCs w:val="21"/>
                      <w:highlight w:val="none"/>
                      <w:lang w:val="en-US" w:eastAsia="zh-CN" w:bidi="zh-CN"/>
                    </w:rPr>
                  </w:pPr>
                  <w:r>
                    <w:rPr>
                      <w:rFonts w:hint="default" w:ascii="Times New Roman" w:hAnsi="Times New Roman" w:eastAsia="宋体" w:cs="Times New Roman"/>
                      <w:color w:val="000000"/>
                      <w:kern w:val="0"/>
                      <w:sz w:val="21"/>
                      <w:szCs w:val="21"/>
                      <w:highlight w:val="none"/>
                      <w:lang w:val="en-US" w:eastAsia="zh-CN" w:bidi="zh-CN"/>
                    </w:rPr>
                    <w:t>本项目情况</w:t>
                  </w:r>
                </w:p>
              </w:tc>
              <w:tc>
                <w:tcPr>
                  <w:tcW w:w="445" w:type="pct"/>
                  <w:tcBorders>
                    <w:tl2br w:val="nil"/>
                    <w:tr2bl w:val="nil"/>
                  </w:tcBorders>
                  <w:shd w:val="clear" w:color="auto" w:fill="auto"/>
                  <w:noWrap w:val="0"/>
                  <w:vAlign w:val="center"/>
                </w:tcPr>
                <w:p w14:paraId="2353C5D7">
                  <w:pPr>
                    <w:pStyle w:val="198"/>
                    <w:shd w:val="clear" w:color="auto" w:fill="auto"/>
                    <w:kinsoku w:val="0"/>
                    <w:overflowPunct w:val="0"/>
                    <w:autoSpaceDE w:val="0"/>
                    <w:autoSpaceDN w:val="0"/>
                    <w:adjustRightInd w:val="0"/>
                    <w:snapToGrid w:val="0"/>
                    <w:rPr>
                      <w:rFonts w:hint="default" w:ascii="Times New Roman" w:hAnsi="Times New Roman" w:eastAsia="宋体" w:cs="Times New Roman"/>
                      <w:color w:val="000000"/>
                      <w:kern w:val="0"/>
                      <w:sz w:val="21"/>
                      <w:szCs w:val="21"/>
                      <w:highlight w:val="none"/>
                      <w:lang w:val="en-US" w:eastAsia="zh-CN" w:bidi="zh-CN"/>
                    </w:rPr>
                  </w:pPr>
                  <w:r>
                    <w:rPr>
                      <w:rFonts w:hint="default" w:ascii="Times New Roman" w:hAnsi="Times New Roman" w:eastAsia="宋体" w:cs="Times New Roman"/>
                      <w:color w:val="000000"/>
                      <w:kern w:val="0"/>
                      <w:sz w:val="21"/>
                      <w:szCs w:val="21"/>
                      <w:highlight w:val="none"/>
                      <w:lang w:val="en-US" w:eastAsia="zh-CN" w:bidi="zh-CN"/>
                    </w:rPr>
                    <w:t>符合性</w:t>
                  </w:r>
                  <w:r>
                    <w:rPr>
                      <w:rFonts w:hint="eastAsia" w:ascii="Times New Roman" w:hAnsi="Times New Roman" w:eastAsia="宋体" w:cs="Times New Roman"/>
                      <w:color w:val="000000"/>
                      <w:kern w:val="0"/>
                      <w:sz w:val="21"/>
                      <w:szCs w:val="21"/>
                      <w:highlight w:val="none"/>
                      <w:lang w:val="en-US" w:eastAsia="zh-CN" w:bidi="zh-CN"/>
                    </w:rPr>
                    <w:t>分析</w:t>
                  </w:r>
                </w:p>
              </w:tc>
            </w:tr>
            <w:tr w14:paraId="1BE8E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36" w:type="pct"/>
                  <w:vMerge w:val="restart"/>
                  <w:tcBorders>
                    <w:tl2br w:val="nil"/>
                    <w:tr2bl w:val="nil"/>
                  </w:tcBorders>
                  <w:shd w:val="clear" w:color="auto" w:fill="auto"/>
                  <w:noWrap w:val="0"/>
                  <w:vAlign w:val="center"/>
                </w:tcPr>
                <w:p w14:paraId="1873DAA6">
                  <w:pPr>
                    <w:pStyle w:val="198"/>
                    <w:shd w:val="clear" w:color="auto" w:fill="auto"/>
                    <w:kinsoku w:val="0"/>
                    <w:overflowPunct w:val="0"/>
                    <w:autoSpaceDE w:val="0"/>
                    <w:autoSpaceDN w:val="0"/>
                    <w:adjustRightInd w:val="0"/>
                    <w:snapToGrid w:val="0"/>
                    <w:jc w:val="center"/>
                    <w:rPr>
                      <w:rFonts w:hint="default" w:ascii="Times New Roman" w:hAnsi="Times New Roman" w:eastAsia="宋体" w:cs="Times New Roman"/>
                      <w:color w:val="000000"/>
                      <w:kern w:val="0"/>
                      <w:sz w:val="21"/>
                      <w:szCs w:val="21"/>
                      <w:highlight w:val="none"/>
                      <w:lang w:val="en-US" w:eastAsia="zh-CN" w:bidi="zh-CN"/>
                    </w:rPr>
                  </w:pPr>
                  <w:r>
                    <w:rPr>
                      <w:rFonts w:hint="eastAsia" w:ascii="Times New Roman" w:hAnsi="Times New Roman" w:eastAsia="宋体" w:cs="Times New Roman"/>
                      <w:color w:val="000000"/>
                      <w:kern w:val="0"/>
                      <w:sz w:val="21"/>
                      <w:szCs w:val="21"/>
                      <w:highlight w:val="none"/>
                      <w:lang w:val="en-US" w:eastAsia="zh-CN" w:bidi="zh-CN"/>
                    </w:rPr>
                    <w:t>陕西省宝鸡市凤翔区一般管控单元</w:t>
                  </w:r>
                </w:p>
              </w:tc>
              <w:tc>
                <w:tcPr>
                  <w:tcW w:w="507" w:type="pct"/>
                  <w:vMerge w:val="restart"/>
                  <w:tcBorders>
                    <w:tl2br w:val="nil"/>
                    <w:tr2bl w:val="nil"/>
                  </w:tcBorders>
                  <w:shd w:val="clear" w:color="auto" w:fill="auto"/>
                  <w:noWrap w:val="0"/>
                  <w:vAlign w:val="center"/>
                </w:tcPr>
                <w:p w14:paraId="76522CD2">
                  <w:pPr>
                    <w:keepNext w:val="0"/>
                    <w:keepLines w:val="0"/>
                    <w:widowControl/>
                    <w:suppressLineNumbers w:val="0"/>
                    <w:shd w:val="clear" w:color="auto" w:fill="auto"/>
                    <w:jc w:val="center"/>
                    <w:rPr>
                      <w:rFonts w:hint="default" w:ascii="Times New Roman" w:hAnsi="Times New Roman" w:eastAsia="宋体" w:cs="Times New Roman"/>
                      <w:color w:val="000000"/>
                      <w:kern w:val="0"/>
                      <w:sz w:val="21"/>
                      <w:szCs w:val="21"/>
                      <w:highlight w:val="none"/>
                      <w:lang w:val="en-US" w:eastAsia="zh-CN" w:bidi="zh-CN"/>
                    </w:rPr>
                  </w:pPr>
                  <w:r>
                    <w:rPr>
                      <w:rFonts w:hint="eastAsia" w:ascii="Times New Roman" w:hAnsi="Times New Roman" w:eastAsia="宋体" w:cs="Times New Roman"/>
                      <w:color w:val="000000"/>
                      <w:kern w:val="0"/>
                      <w:sz w:val="21"/>
                      <w:szCs w:val="21"/>
                      <w:highlight w:val="none"/>
                      <w:lang w:val="en-US" w:eastAsia="zh-CN" w:bidi="zh-CN"/>
                    </w:rPr>
                    <w:t>无</w:t>
                  </w:r>
                </w:p>
              </w:tc>
              <w:tc>
                <w:tcPr>
                  <w:tcW w:w="612" w:type="pct"/>
                  <w:tcBorders>
                    <w:tl2br w:val="nil"/>
                    <w:tr2bl w:val="nil"/>
                  </w:tcBorders>
                  <w:shd w:val="clear" w:color="auto" w:fill="auto"/>
                  <w:noWrap w:val="0"/>
                  <w:vAlign w:val="center"/>
                </w:tcPr>
                <w:p w14:paraId="08936030">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空间布局约束</w:t>
                  </w:r>
                </w:p>
              </w:tc>
              <w:tc>
                <w:tcPr>
                  <w:tcW w:w="1561" w:type="pct"/>
                  <w:tcBorders>
                    <w:tl2br w:val="nil"/>
                    <w:tr2bl w:val="nil"/>
                  </w:tcBorders>
                  <w:shd w:val="clear" w:color="auto" w:fill="auto"/>
                  <w:noWrap w:val="0"/>
                  <w:vAlign w:val="center"/>
                </w:tcPr>
                <w:p w14:paraId="47280952">
                  <w:pPr>
                    <w:shd w:val="clear" w:color="auto" w:fill="auto"/>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执行宝鸡市生态环境要素分区总体准入清单中“6.1一般管控单元的总体要求”；2.执行宝鸡市生态环境要素分区总体准入清单中“5.8农用地污染风险重点管控区的污染物排放管控”；3.农用地优先保护区执行宝鸡市生态环境要素分区总体准入清单中“4.2农用地优先保护区的空间布局约束</w:t>
                  </w:r>
                  <w:r>
                    <w:rPr>
                      <w:rFonts w:hint="eastAsia"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w:t>
                  </w:r>
                </w:p>
              </w:tc>
              <w:tc>
                <w:tcPr>
                  <w:tcW w:w="1438" w:type="pct"/>
                  <w:tcBorders>
                    <w:tl2br w:val="nil"/>
                    <w:tr2bl w:val="nil"/>
                  </w:tcBorders>
                  <w:shd w:val="clear" w:color="auto" w:fill="auto"/>
                  <w:noWrap w:val="0"/>
                  <w:vAlign w:val="center"/>
                </w:tcPr>
                <w:p w14:paraId="64F5077F">
                  <w:pPr>
                    <w:keepNext w:val="0"/>
                    <w:keepLines w:val="0"/>
                    <w:widowControl/>
                    <w:suppressLineNumbers w:val="0"/>
                    <w:shd w:val="clear" w:color="auto" w:fill="auto"/>
                    <w:jc w:val="center"/>
                    <w:rPr>
                      <w:rFonts w:hint="eastAsia" w:ascii="Times New Roman" w:hAnsi="Times New Roman" w:eastAsia="宋体" w:cs="Times New Roman"/>
                      <w:color w:val="000000"/>
                      <w:kern w:val="0"/>
                      <w:sz w:val="21"/>
                      <w:szCs w:val="21"/>
                      <w:highlight w:val="none"/>
                      <w:lang w:val="en-US" w:eastAsia="zh-CN" w:bidi="zh-CN"/>
                    </w:rPr>
                  </w:pPr>
                  <w:r>
                    <w:rPr>
                      <w:rFonts w:hint="eastAsia" w:cs="Times New Roman"/>
                      <w:color w:val="000000"/>
                      <w:sz w:val="21"/>
                      <w:szCs w:val="21"/>
                      <w:highlight w:val="none"/>
                      <w:lang w:val="en-US" w:eastAsia="zh-CN"/>
                    </w:rPr>
                    <w:t>对照</w:t>
                  </w:r>
                  <w:r>
                    <w:rPr>
                      <w:rFonts w:hint="eastAsia" w:ascii="Times New Roman" w:hAnsi="Times New Roman" w:eastAsia="宋体" w:cs="Times New Roman"/>
                      <w:color w:val="000000"/>
                      <w:sz w:val="21"/>
                      <w:szCs w:val="21"/>
                      <w:highlight w:val="none"/>
                      <w:lang w:val="en-US" w:eastAsia="zh-CN"/>
                    </w:rPr>
                    <w:t>宝鸡市生态环境要素分区总体准入清单，本项目建设满足清单中“6.1一般管控单元的总体要求”</w:t>
                  </w:r>
                  <w:r>
                    <w:rPr>
                      <w:rFonts w:hint="eastAsia" w:cs="Times New Roman"/>
                      <w:color w:val="000000"/>
                      <w:sz w:val="21"/>
                      <w:szCs w:val="21"/>
                      <w:highlight w:val="none"/>
                      <w:lang w:val="en-US" w:eastAsia="zh-CN"/>
                    </w:rPr>
                    <w:t xml:space="preserve"> </w:t>
                  </w:r>
                  <w:r>
                    <w:rPr>
                      <w:rFonts w:hint="eastAsia" w:ascii="Times New Roman" w:hAnsi="Times New Roman" w:eastAsia="宋体" w:cs="Times New Roman"/>
                      <w:color w:val="000000"/>
                      <w:sz w:val="21"/>
                      <w:szCs w:val="21"/>
                      <w:highlight w:val="none"/>
                      <w:lang w:val="en-US" w:eastAsia="zh-CN"/>
                    </w:rPr>
                    <w:t>“5.8农用地污染风险重点管控区的污染物排放管控”及“4.2农用地优先保护区的空间布局约束要求</w:t>
                  </w:r>
                  <w:r>
                    <w:rPr>
                      <w:rFonts w:hint="eastAsia"/>
                      <w:lang w:eastAsia="zh-CN"/>
                    </w:rPr>
                    <w:t>。</w:t>
                  </w:r>
                </w:p>
              </w:tc>
              <w:tc>
                <w:tcPr>
                  <w:tcW w:w="445" w:type="pct"/>
                  <w:tcBorders>
                    <w:tl2br w:val="nil"/>
                    <w:tr2bl w:val="nil"/>
                  </w:tcBorders>
                  <w:shd w:val="clear" w:color="auto" w:fill="auto"/>
                  <w:noWrap w:val="0"/>
                  <w:vAlign w:val="center"/>
                </w:tcPr>
                <w:p w14:paraId="0B69F912">
                  <w:pPr>
                    <w:pStyle w:val="198"/>
                    <w:shd w:val="clear" w:color="auto" w:fill="auto"/>
                    <w:kinsoku w:val="0"/>
                    <w:overflowPunct w:val="0"/>
                    <w:autoSpaceDE w:val="0"/>
                    <w:autoSpaceDN w:val="0"/>
                    <w:adjustRightInd w:val="0"/>
                    <w:snapToGrid w:val="0"/>
                    <w:jc w:val="center"/>
                    <w:rPr>
                      <w:rFonts w:hint="default" w:ascii="Times New Roman" w:hAnsi="Times New Roman" w:eastAsia="宋体" w:cs="Times New Roman"/>
                      <w:color w:val="000000"/>
                      <w:kern w:val="0"/>
                      <w:sz w:val="21"/>
                      <w:szCs w:val="21"/>
                      <w:highlight w:val="none"/>
                      <w:lang w:val="en-US" w:eastAsia="zh-CN" w:bidi="zh-CN"/>
                    </w:rPr>
                  </w:pPr>
                  <w:r>
                    <w:rPr>
                      <w:rFonts w:hint="eastAsia" w:ascii="Times New Roman" w:hAnsi="Times New Roman" w:eastAsia="宋体" w:cs="Times New Roman"/>
                      <w:color w:val="000000"/>
                      <w:kern w:val="0"/>
                      <w:sz w:val="21"/>
                      <w:szCs w:val="21"/>
                      <w:highlight w:val="none"/>
                      <w:lang w:val="en-US" w:eastAsia="zh-CN" w:bidi="zh-CN"/>
                    </w:rPr>
                    <w:t>符合</w:t>
                  </w:r>
                </w:p>
              </w:tc>
            </w:tr>
            <w:tr w14:paraId="041A3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436" w:type="pct"/>
                  <w:vMerge w:val="continue"/>
                  <w:tcBorders>
                    <w:tl2br w:val="nil"/>
                    <w:tr2bl w:val="nil"/>
                  </w:tcBorders>
                  <w:shd w:val="clear" w:color="auto" w:fill="auto"/>
                  <w:noWrap w:val="0"/>
                  <w:vAlign w:val="top"/>
                </w:tcPr>
                <w:p w14:paraId="2EDA0F82">
                  <w:pPr>
                    <w:pStyle w:val="198"/>
                    <w:shd w:val="clear" w:color="auto" w:fill="auto"/>
                    <w:kinsoku w:val="0"/>
                    <w:overflowPunct w:val="0"/>
                    <w:autoSpaceDE w:val="0"/>
                    <w:autoSpaceDN w:val="0"/>
                    <w:adjustRightInd w:val="0"/>
                    <w:snapToGrid w:val="0"/>
                    <w:jc w:val="center"/>
                    <w:rPr>
                      <w:rFonts w:hint="default" w:ascii="Times New Roman" w:hAnsi="Times New Roman" w:eastAsia="宋体" w:cs="Times New Roman"/>
                      <w:color w:val="000000"/>
                      <w:kern w:val="0"/>
                      <w:sz w:val="21"/>
                      <w:szCs w:val="21"/>
                      <w:highlight w:val="none"/>
                      <w:lang w:val="en-US" w:eastAsia="zh-CN" w:bidi="zh-CN"/>
                    </w:rPr>
                  </w:pPr>
                </w:p>
              </w:tc>
              <w:tc>
                <w:tcPr>
                  <w:tcW w:w="507" w:type="pct"/>
                  <w:vMerge w:val="continue"/>
                  <w:tcBorders>
                    <w:tl2br w:val="nil"/>
                    <w:tr2bl w:val="nil"/>
                  </w:tcBorders>
                  <w:shd w:val="clear" w:color="auto" w:fill="auto"/>
                  <w:noWrap w:val="0"/>
                  <w:vAlign w:val="center"/>
                </w:tcPr>
                <w:p w14:paraId="156F1072">
                  <w:pPr>
                    <w:pStyle w:val="198"/>
                    <w:shd w:val="clear" w:color="auto" w:fill="auto"/>
                    <w:kinsoku w:val="0"/>
                    <w:overflowPunct w:val="0"/>
                    <w:autoSpaceDE w:val="0"/>
                    <w:autoSpaceDN w:val="0"/>
                    <w:adjustRightInd w:val="0"/>
                    <w:snapToGrid w:val="0"/>
                    <w:jc w:val="center"/>
                    <w:rPr>
                      <w:rFonts w:hint="default" w:ascii="Times New Roman" w:hAnsi="Times New Roman" w:eastAsia="宋体" w:cs="Times New Roman"/>
                      <w:color w:val="000000"/>
                      <w:kern w:val="0"/>
                      <w:sz w:val="21"/>
                      <w:szCs w:val="21"/>
                      <w:highlight w:val="none"/>
                      <w:lang w:val="en-US" w:eastAsia="zh-CN" w:bidi="zh-CN"/>
                    </w:rPr>
                  </w:pPr>
                </w:p>
              </w:tc>
              <w:tc>
                <w:tcPr>
                  <w:tcW w:w="612" w:type="pct"/>
                  <w:tcBorders>
                    <w:tl2br w:val="nil"/>
                    <w:tr2bl w:val="nil"/>
                  </w:tcBorders>
                  <w:shd w:val="clear" w:color="auto" w:fill="auto"/>
                  <w:noWrap w:val="0"/>
                  <w:vAlign w:val="center"/>
                </w:tcPr>
                <w:p w14:paraId="40CB6DB9">
                  <w:pPr>
                    <w:pStyle w:val="198"/>
                    <w:shd w:val="clear" w:color="auto" w:fill="auto"/>
                    <w:kinsoku w:val="0"/>
                    <w:overflowPunct w:val="0"/>
                    <w:autoSpaceDE w:val="0"/>
                    <w:autoSpaceDN w:val="0"/>
                    <w:adjustRightInd w:val="0"/>
                    <w:snapToGrid w:val="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污染物排放管控</w:t>
                  </w:r>
                </w:p>
              </w:tc>
              <w:tc>
                <w:tcPr>
                  <w:tcW w:w="1561" w:type="pct"/>
                  <w:tcBorders>
                    <w:tl2br w:val="nil"/>
                    <w:tr2bl w:val="nil"/>
                  </w:tcBorders>
                  <w:shd w:val="clear" w:color="auto" w:fill="auto"/>
                  <w:noWrap w:val="0"/>
                  <w:vAlign w:val="center"/>
                </w:tcPr>
                <w:p w14:paraId="1E2B4A08">
                  <w:pPr>
                    <w:keepNext w:val="0"/>
                    <w:keepLines w:val="0"/>
                    <w:widowControl/>
                    <w:suppressLineNumbers w:val="0"/>
                    <w:shd w:val="clear" w:color="auto" w:fill="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1.执行宝鸡市生态环境要素分区总体准入清单中“5.8农用地污染风险重点管控区的污染物排放管控”。</w:t>
                  </w:r>
                </w:p>
              </w:tc>
              <w:tc>
                <w:tcPr>
                  <w:tcW w:w="1438" w:type="pct"/>
                  <w:tcBorders>
                    <w:tl2br w:val="nil"/>
                    <w:tr2bl w:val="nil"/>
                  </w:tcBorders>
                  <w:shd w:val="clear" w:color="auto" w:fill="auto"/>
                  <w:noWrap w:val="0"/>
                  <w:vAlign w:val="center"/>
                </w:tcPr>
                <w:p w14:paraId="10AC2E83">
                  <w:pPr>
                    <w:pStyle w:val="198"/>
                    <w:shd w:val="clear" w:color="auto" w:fill="auto"/>
                    <w:kinsoku w:val="0"/>
                    <w:overflowPunct w:val="0"/>
                    <w:autoSpaceDE w:val="0"/>
                    <w:autoSpaceDN w:val="0"/>
                    <w:adjustRightInd w:val="0"/>
                    <w:snapToGrid w:val="0"/>
                    <w:jc w:val="center"/>
                    <w:rPr>
                      <w:rFonts w:hint="eastAsia" w:ascii="Times New Roman" w:hAnsi="Times New Roman" w:eastAsia="宋体" w:cs="Times New Roman"/>
                      <w:color w:val="000000"/>
                      <w:kern w:val="0"/>
                      <w:sz w:val="21"/>
                      <w:szCs w:val="21"/>
                      <w:highlight w:val="none"/>
                      <w:lang w:val="en-US" w:eastAsia="zh-CN" w:bidi="zh-CN"/>
                    </w:rPr>
                  </w:pPr>
                  <w:r>
                    <w:rPr>
                      <w:rFonts w:hint="eastAsia" w:ascii="Times New Roman" w:hAnsi="Times New Roman" w:eastAsia="宋体" w:cs="Times New Roman"/>
                      <w:color w:val="000000"/>
                      <w:kern w:val="2"/>
                      <w:sz w:val="21"/>
                      <w:szCs w:val="21"/>
                      <w:highlight w:val="none"/>
                      <w:lang w:val="en-US" w:eastAsia="zh-CN" w:bidi="ar-SA"/>
                    </w:rPr>
                    <w:t>对照宝鸡市生态环境要素分区总体准入清单，本项目建设满足清单中“5.8农用地污染风险重点管控区的污染物排放管控”要求</w:t>
                  </w:r>
                  <w:r>
                    <w:rPr>
                      <w:rFonts w:hint="eastAsia"/>
                      <w:lang w:eastAsia="zh-CN"/>
                    </w:rPr>
                    <w:t>。</w:t>
                  </w:r>
                </w:p>
              </w:tc>
              <w:tc>
                <w:tcPr>
                  <w:tcW w:w="445" w:type="pct"/>
                  <w:tcBorders>
                    <w:tl2br w:val="nil"/>
                    <w:tr2bl w:val="nil"/>
                  </w:tcBorders>
                  <w:shd w:val="clear" w:color="auto" w:fill="auto"/>
                  <w:noWrap w:val="0"/>
                  <w:vAlign w:val="center"/>
                </w:tcPr>
                <w:p w14:paraId="2AE858B9">
                  <w:pPr>
                    <w:pStyle w:val="198"/>
                    <w:shd w:val="clear" w:color="auto" w:fill="auto"/>
                    <w:kinsoku w:val="0"/>
                    <w:overflowPunct w:val="0"/>
                    <w:autoSpaceDE w:val="0"/>
                    <w:autoSpaceDN w:val="0"/>
                    <w:adjustRightInd w:val="0"/>
                    <w:snapToGrid w:val="0"/>
                    <w:jc w:val="center"/>
                    <w:rPr>
                      <w:rFonts w:hint="default" w:ascii="Times New Roman" w:hAnsi="Times New Roman" w:eastAsia="宋体" w:cs="Times New Roman"/>
                      <w:color w:val="000000"/>
                      <w:kern w:val="0"/>
                      <w:sz w:val="21"/>
                      <w:szCs w:val="21"/>
                      <w:highlight w:val="none"/>
                      <w:lang w:val="en-US" w:eastAsia="zh-CN" w:bidi="zh-CN"/>
                    </w:rPr>
                  </w:pPr>
                  <w:r>
                    <w:rPr>
                      <w:rFonts w:hint="eastAsia" w:ascii="Times New Roman" w:hAnsi="Times New Roman" w:eastAsia="宋体" w:cs="Times New Roman"/>
                      <w:color w:val="000000"/>
                      <w:kern w:val="0"/>
                      <w:sz w:val="21"/>
                      <w:szCs w:val="21"/>
                      <w:highlight w:val="none"/>
                      <w:lang w:val="en-US" w:eastAsia="zh-CN" w:bidi="zh-CN"/>
                    </w:rPr>
                    <w:t>符合</w:t>
                  </w:r>
                </w:p>
              </w:tc>
            </w:tr>
            <w:tr w14:paraId="24DAD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436" w:type="pct"/>
                  <w:vMerge w:val="continue"/>
                  <w:tcBorders>
                    <w:tl2br w:val="nil"/>
                    <w:tr2bl w:val="nil"/>
                  </w:tcBorders>
                  <w:shd w:val="clear" w:color="auto" w:fill="auto"/>
                  <w:noWrap w:val="0"/>
                  <w:vAlign w:val="top"/>
                </w:tcPr>
                <w:p w14:paraId="1C9165F8">
                  <w:pPr>
                    <w:pStyle w:val="198"/>
                    <w:shd w:val="clear" w:color="auto" w:fill="auto"/>
                    <w:kinsoku w:val="0"/>
                    <w:overflowPunct w:val="0"/>
                    <w:autoSpaceDE w:val="0"/>
                    <w:autoSpaceDN w:val="0"/>
                    <w:adjustRightInd w:val="0"/>
                    <w:snapToGrid w:val="0"/>
                    <w:jc w:val="center"/>
                    <w:rPr>
                      <w:rFonts w:hint="default" w:ascii="Times New Roman" w:hAnsi="Times New Roman" w:eastAsia="宋体" w:cs="Times New Roman"/>
                      <w:color w:val="000000"/>
                      <w:kern w:val="0"/>
                      <w:sz w:val="21"/>
                      <w:szCs w:val="21"/>
                      <w:highlight w:val="none"/>
                      <w:lang w:val="en-US" w:eastAsia="zh-CN" w:bidi="zh-CN"/>
                    </w:rPr>
                  </w:pPr>
                </w:p>
              </w:tc>
              <w:tc>
                <w:tcPr>
                  <w:tcW w:w="507" w:type="pct"/>
                  <w:vMerge w:val="continue"/>
                  <w:tcBorders>
                    <w:tl2br w:val="nil"/>
                    <w:tr2bl w:val="nil"/>
                  </w:tcBorders>
                  <w:shd w:val="clear" w:color="auto" w:fill="auto"/>
                  <w:noWrap w:val="0"/>
                  <w:vAlign w:val="center"/>
                </w:tcPr>
                <w:p w14:paraId="52F42FC9">
                  <w:pPr>
                    <w:pStyle w:val="198"/>
                    <w:shd w:val="clear" w:color="auto" w:fill="auto"/>
                    <w:kinsoku w:val="0"/>
                    <w:overflowPunct w:val="0"/>
                    <w:autoSpaceDE w:val="0"/>
                    <w:autoSpaceDN w:val="0"/>
                    <w:adjustRightInd w:val="0"/>
                    <w:snapToGrid w:val="0"/>
                    <w:jc w:val="center"/>
                    <w:rPr>
                      <w:rFonts w:hint="default" w:ascii="Times New Roman" w:hAnsi="Times New Roman" w:eastAsia="宋体" w:cs="Times New Roman"/>
                      <w:color w:val="000000"/>
                      <w:kern w:val="0"/>
                      <w:sz w:val="21"/>
                      <w:szCs w:val="21"/>
                      <w:highlight w:val="none"/>
                      <w:lang w:val="en-US" w:eastAsia="zh-CN" w:bidi="zh-CN"/>
                    </w:rPr>
                  </w:pPr>
                </w:p>
              </w:tc>
              <w:tc>
                <w:tcPr>
                  <w:tcW w:w="612" w:type="pct"/>
                  <w:tcBorders>
                    <w:tl2br w:val="nil"/>
                    <w:tr2bl w:val="nil"/>
                  </w:tcBorders>
                  <w:shd w:val="clear" w:color="auto" w:fill="auto"/>
                  <w:noWrap w:val="0"/>
                  <w:vAlign w:val="center"/>
                </w:tcPr>
                <w:p w14:paraId="3378B95A">
                  <w:pPr>
                    <w:pStyle w:val="198"/>
                    <w:shd w:val="clear" w:color="auto" w:fill="auto"/>
                    <w:kinsoku w:val="0"/>
                    <w:overflowPunct w:val="0"/>
                    <w:autoSpaceDE w:val="0"/>
                    <w:autoSpaceDN w:val="0"/>
                    <w:adjustRightInd w:val="0"/>
                    <w:snapToGrid w:val="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环境风险防控</w:t>
                  </w:r>
                </w:p>
              </w:tc>
              <w:tc>
                <w:tcPr>
                  <w:tcW w:w="1561" w:type="pct"/>
                  <w:tcBorders>
                    <w:tl2br w:val="nil"/>
                    <w:tr2bl w:val="nil"/>
                  </w:tcBorders>
                  <w:shd w:val="clear" w:color="auto" w:fill="auto"/>
                  <w:noWrap w:val="0"/>
                  <w:vAlign w:val="center"/>
                </w:tcPr>
                <w:p w14:paraId="1EB900E8">
                  <w:pPr>
                    <w:keepNext w:val="0"/>
                    <w:keepLines w:val="0"/>
                    <w:widowControl/>
                    <w:suppressLineNumbers w:val="0"/>
                    <w:shd w:val="clear" w:color="auto" w:fill="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1.执行宝鸡市生态环境要素分区总体准入清单中“5.8农用地污染风险重点管控区的环境风险防控”。</w:t>
                  </w:r>
                </w:p>
              </w:tc>
              <w:tc>
                <w:tcPr>
                  <w:tcW w:w="1438" w:type="pct"/>
                  <w:tcBorders>
                    <w:tl2br w:val="nil"/>
                    <w:tr2bl w:val="nil"/>
                  </w:tcBorders>
                  <w:shd w:val="clear" w:color="auto" w:fill="auto"/>
                  <w:noWrap w:val="0"/>
                  <w:vAlign w:val="center"/>
                </w:tcPr>
                <w:p w14:paraId="1ADE2FBA">
                  <w:pPr>
                    <w:pStyle w:val="198"/>
                    <w:shd w:val="clear" w:color="auto" w:fill="auto"/>
                    <w:kinsoku w:val="0"/>
                    <w:overflowPunct w:val="0"/>
                    <w:autoSpaceDE w:val="0"/>
                    <w:autoSpaceDN w:val="0"/>
                    <w:adjustRightInd w:val="0"/>
                    <w:snapToGrid w:val="0"/>
                    <w:jc w:val="center"/>
                    <w:rPr>
                      <w:rFonts w:hint="eastAsia" w:ascii="Times New Roman" w:hAnsi="Times New Roman" w:eastAsia="宋体" w:cs="Times New Roman"/>
                      <w:color w:val="000000"/>
                      <w:kern w:val="0"/>
                      <w:sz w:val="21"/>
                      <w:szCs w:val="21"/>
                      <w:highlight w:val="none"/>
                      <w:lang w:val="en-US" w:eastAsia="zh-CN" w:bidi="zh-CN"/>
                    </w:rPr>
                  </w:pPr>
                  <w:r>
                    <w:rPr>
                      <w:rFonts w:hint="eastAsia" w:ascii="Times New Roman" w:hAnsi="Times New Roman" w:eastAsia="宋体" w:cs="Times New Roman"/>
                      <w:color w:val="000000"/>
                      <w:kern w:val="2"/>
                      <w:sz w:val="21"/>
                      <w:szCs w:val="21"/>
                      <w:highlight w:val="none"/>
                      <w:lang w:val="en-US" w:eastAsia="zh-CN" w:bidi="ar-SA"/>
                    </w:rPr>
                    <w:t>对照宝鸡市生态环境要素分区总体准入清单，本项目建设满足清单中“5.8农用地污染风险重点管控区的环境风险防控”要求</w:t>
                  </w:r>
                  <w:r>
                    <w:rPr>
                      <w:rFonts w:hint="eastAsia"/>
                      <w:lang w:eastAsia="zh-CN"/>
                    </w:rPr>
                    <w:t>。</w:t>
                  </w:r>
                </w:p>
              </w:tc>
              <w:tc>
                <w:tcPr>
                  <w:tcW w:w="445" w:type="pct"/>
                  <w:tcBorders>
                    <w:tl2br w:val="nil"/>
                    <w:tr2bl w:val="nil"/>
                  </w:tcBorders>
                  <w:shd w:val="clear" w:color="auto" w:fill="auto"/>
                  <w:noWrap w:val="0"/>
                  <w:vAlign w:val="center"/>
                </w:tcPr>
                <w:p w14:paraId="00DF658D">
                  <w:pPr>
                    <w:pStyle w:val="198"/>
                    <w:shd w:val="clear" w:color="auto" w:fill="auto"/>
                    <w:kinsoku w:val="0"/>
                    <w:overflowPunct w:val="0"/>
                    <w:autoSpaceDE w:val="0"/>
                    <w:autoSpaceDN w:val="0"/>
                    <w:adjustRightInd w:val="0"/>
                    <w:snapToGrid w:val="0"/>
                    <w:jc w:val="center"/>
                    <w:rPr>
                      <w:rFonts w:hint="default" w:ascii="Times New Roman" w:hAnsi="Times New Roman" w:eastAsia="宋体" w:cs="Times New Roman"/>
                      <w:color w:val="000000"/>
                      <w:kern w:val="0"/>
                      <w:sz w:val="21"/>
                      <w:szCs w:val="21"/>
                      <w:highlight w:val="none"/>
                      <w:lang w:val="en-US" w:eastAsia="zh-CN" w:bidi="zh-CN"/>
                    </w:rPr>
                  </w:pPr>
                  <w:r>
                    <w:rPr>
                      <w:rFonts w:hint="eastAsia" w:ascii="Times New Roman" w:hAnsi="Times New Roman" w:eastAsia="宋体" w:cs="Times New Roman"/>
                      <w:color w:val="000000"/>
                      <w:kern w:val="0"/>
                      <w:sz w:val="21"/>
                      <w:szCs w:val="21"/>
                      <w:highlight w:val="none"/>
                      <w:lang w:val="en-US" w:eastAsia="zh-CN" w:bidi="zh-CN"/>
                    </w:rPr>
                    <w:t>符合</w:t>
                  </w:r>
                </w:p>
              </w:tc>
            </w:tr>
          </w:tbl>
          <w:p w14:paraId="19AF37FB">
            <w:pPr>
              <w:shd w:val="clear" w:color="auto" w:fill="auto"/>
              <w:autoSpaceDE w:val="0"/>
              <w:autoSpaceDN w:val="0"/>
              <w:spacing w:line="360" w:lineRule="auto"/>
              <w:ind w:firstLine="480"/>
              <w:rPr>
                <w:rFonts w:hint="default" w:ascii="Times New Roman" w:hAnsi="Times New Roman" w:cs="Times New Roman"/>
                <w:b/>
                <w:color w:val="000000"/>
                <w:highlight w:val="none"/>
              </w:rPr>
            </w:pPr>
            <w:r>
              <w:rPr>
                <w:rFonts w:hint="default" w:ascii="Times New Roman" w:hAnsi="Times New Roman" w:cs="Times New Roman"/>
                <w:color w:val="000000"/>
                <w:szCs w:val="21"/>
                <w:highlight w:val="none"/>
              </w:rPr>
              <w:t>综上所述，本项目建设符合</w:t>
            </w:r>
            <w:r>
              <w:rPr>
                <w:rFonts w:hint="default" w:ascii="Times New Roman" w:hAnsi="Times New Roman" w:eastAsia="宋体" w:cs="Times New Roman"/>
                <w:color w:val="000000"/>
                <w:highlight w:val="none"/>
                <w:lang w:val="en-US" w:eastAsia="zh-CN"/>
              </w:rPr>
              <w:t>《关于加快实施</w:t>
            </w:r>
            <w:r>
              <w:rPr>
                <w:rFonts w:hint="eastAsia" w:ascii="Times New Roman" w:hAnsi="Times New Roman"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三线一单</w:t>
            </w:r>
            <w:r>
              <w:rPr>
                <w:rFonts w:hint="eastAsia" w:ascii="Times New Roman" w:hAnsi="Times New Roman"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生态环境分区管控的意见》（陕政发〔2020〕11号）以及《宝鸡市人民政府关于印发宝鸡市</w:t>
            </w:r>
            <w:r>
              <w:rPr>
                <w:rFonts w:hint="eastAsia" w:ascii="Times New Roman" w:hAnsi="Times New Roman"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三线一单</w:t>
            </w:r>
            <w:r>
              <w:rPr>
                <w:rFonts w:hint="eastAsia" w:ascii="Times New Roman" w:hAnsi="Times New Roman"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生态环境分区管控方案的通知》</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宝政发</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2021</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19号</w:t>
            </w:r>
            <w:r>
              <w:rPr>
                <w:rFonts w:hint="eastAsia" w:ascii="Times New Roman" w:hAnsi="Times New Roman" w:eastAsia="宋体"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文件</w:t>
            </w:r>
            <w:r>
              <w:rPr>
                <w:rFonts w:hint="default" w:ascii="Times New Roman" w:hAnsi="Times New Roman" w:cs="Times New Roman"/>
                <w:color w:val="000000"/>
                <w:highlight w:val="none"/>
              </w:rPr>
              <w:t>的要求。</w:t>
            </w:r>
          </w:p>
          <w:p w14:paraId="20DA6E3D">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auto"/>
              <w:ind w:firstLine="422" w:firstLineChars="200"/>
              <w:jc w:val="left"/>
              <w:textAlignment w:val="auto"/>
              <w:rPr>
                <w:rFonts w:hint="default" w:ascii="Times New Roman" w:hAnsi="Times New Roman" w:eastAsia="宋体" w:cs="Times New Roman"/>
                <w:b/>
                <w:bCs/>
                <w:snapToGrid w:val="0"/>
                <w:color w:val="000000"/>
                <w:sz w:val="21"/>
                <w:szCs w:val="21"/>
                <w:highlight w:val="none"/>
                <w:lang w:val="en-US" w:eastAsia="zh-CN"/>
              </w:rPr>
            </w:pPr>
            <w:r>
              <w:rPr>
                <w:rFonts w:hint="eastAsia" w:cs="Times New Roman"/>
                <w:b/>
                <w:bCs/>
                <w:snapToGrid w:val="0"/>
                <w:color w:val="000000"/>
                <w:sz w:val="21"/>
                <w:szCs w:val="21"/>
                <w:highlight w:val="none"/>
                <w:lang w:val="en-US" w:eastAsia="zh-CN"/>
              </w:rPr>
              <w:t>2.</w:t>
            </w:r>
            <w:r>
              <w:rPr>
                <w:rFonts w:hint="default" w:ascii="Times New Roman" w:hAnsi="Times New Roman" w:eastAsia="宋体" w:cs="Times New Roman"/>
                <w:b/>
                <w:bCs/>
                <w:snapToGrid w:val="0"/>
                <w:color w:val="000000"/>
                <w:sz w:val="21"/>
                <w:szCs w:val="21"/>
                <w:highlight w:val="none"/>
                <w:lang w:val="en-US" w:eastAsia="zh-CN"/>
              </w:rPr>
              <w:t>项目</w:t>
            </w:r>
            <w:r>
              <w:rPr>
                <w:rFonts w:hint="eastAsia" w:ascii="Times New Roman" w:hAnsi="Times New Roman" w:eastAsia="宋体" w:cs="Times New Roman"/>
                <w:b/>
                <w:bCs/>
                <w:snapToGrid w:val="0"/>
                <w:color w:val="000000"/>
                <w:sz w:val="21"/>
                <w:szCs w:val="21"/>
                <w:highlight w:val="none"/>
                <w:lang w:val="en-US" w:eastAsia="zh-CN"/>
              </w:rPr>
              <w:t>与生态环境保护法律法规的</w:t>
            </w:r>
            <w:r>
              <w:rPr>
                <w:rFonts w:hint="default" w:ascii="Times New Roman" w:hAnsi="Times New Roman" w:eastAsia="宋体" w:cs="Times New Roman"/>
                <w:b/>
                <w:bCs/>
                <w:snapToGrid w:val="0"/>
                <w:color w:val="000000"/>
                <w:sz w:val="21"/>
                <w:szCs w:val="21"/>
                <w:highlight w:val="none"/>
                <w:lang w:val="en-US" w:eastAsia="zh-CN"/>
              </w:rPr>
              <w:t>符合性</w:t>
            </w:r>
          </w:p>
          <w:p w14:paraId="7ED7FEDF">
            <w:pPr>
              <w:widowControl/>
              <w:shd w:val="clear" w:color="auto" w:fill="auto"/>
              <w:adjustRightInd w:val="0"/>
              <w:snapToGrid w:val="0"/>
              <w:spacing w:line="360" w:lineRule="auto"/>
              <w:ind w:firstLine="420" w:firstLineChars="200"/>
              <w:jc w:val="both"/>
              <w:rPr>
                <w:rFonts w:ascii="Times New Roman" w:hAnsi="Times New Roman" w:eastAsia="宋体" w:cs="Times New Roman"/>
                <w:bCs/>
                <w:color w:val="000000"/>
                <w:sz w:val="21"/>
                <w:szCs w:val="21"/>
                <w:highlight w:val="none"/>
              </w:rPr>
            </w:pPr>
            <w:r>
              <w:rPr>
                <w:rFonts w:hint="eastAsia" w:ascii="Times New Roman" w:hAnsi="Times New Roman" w:eastAsia="宋体" w:cs="Times New Roman"/>
                <w:bCs/>
                <w:color w:val="000000"/>
                <w:sz w:val="21"/>
                <w:szCs w:val="21"/>
                <w:highlight w:val="none"/>
                <w:lang w:val="en-US" w:eastAsia="zh-CN"/>
              </w:rPr>
              <w:t>本项目与相关生态环境保护法律法规政策的符合性分析详见下表。</w:t>
            </w:r>
          </w:p>
          <w:p w14:paraId="1272B1EA">
            <w:pPr>
              <w:keepNext w:val="0"/>
              <w:keepLines w:val="0"/>
              <w:pageBreakBefore w:val="0"/>
              <w:widowControl w:val="0"/>
              <w:shd w:val="clear" w:color="auto" w:fill="auto"/>
              <w:kinsoku/>
              <w:wordWrap/>
              <w:overflowPunct/>
              <w:topLinePunct w:val="0"/>
              <w:bidi w:val="0"/>
              <w:adjustRightInd w:val="0"/>
              <w:snapToGrid w:val="0"/>
              <w:spacing w:line="240" w:lineRule="auto"/>
              <w:ind w:firstLine="422" w:firstLineChars="200"/>
              <w:jc w:val="center"/>
              <w:textAlignment w:val="auto"/>
              <w:rPr>
                <w:b/>
                <w:color w:val="000000"/>
                <w:sz w:val="21"/>
                <w:szCs w:val="21"/>
                <w:highlight w:val="none"/>
              </w:rPr>
            </w:pPr>
            <w:r>
              <w:rPr>
                <w:b/>
                <w:color w:val="000000"/>
                <w:sz w:val="21"/>
                <w:szCs w:val="21"/>
                <w:highlight w:val="none"/>
              </w:rPr>
              <w:t>表1</w:t>
            </w:r>
            <w:r>
              <w:rPr>
                <w:rFonts w:hint="eastAsia"/>
                <w:b/>
                <w:color w:val="000000"/>
                <w:sz w:val="21"/>
                <w:szCs w:val="21"/>
                <w:highlight w:val="none"/>
              </w:rPr>
              <w:t>-</w:t>
            </w:r>
            <w:r>
              <w:rPr>
                <w:rFonts w:hint="eastAsia"/>
                <w:b/>
                <w:color w:val="000000"/>
                <w:sz w:val="21"/>
                <w:szCs w:val="21"/>
                <w:highlight w:val="none"/>
                <w:lang w:val="en-US" w:eastAsia="zh-CN"/>
              </w:rPr>
              <w:t>2</w:t>
            </w:r>
            <w:r>
              <w:rPr>
                <w:b/>
                <w:color w:val="000000"/>
                <w:sz w:val="21"/>
                <w:szCs w:val="21"/>
                <w:highlight w:val="none"/>
              </w:rPr>
              <w:t xml:space="preserve">  项目与</w:t>
            </w:r>
            <w:r>
              <w:rPr>
                <w:rFonts w:hint="eastAsia"/>
                <w:b/>
                <w:color w:val="000000"/>
                <w:sz w:val="21"/>
                <w:szCs w:val="21"/>
                <w:highlight w:val="none"/>
              </w:rPr>
              <w:t>生态环境保护法律法规</w:t>
            </w:r>
            <w:r>
              <w:rPr>
                <w:b/>
                <w:color w:val="000000"/>
                <w:sz w:val="21"/>
                <w:szCs w:val="21"/>
                <w:highlight w:val="none"/>
              </w:rPr>
              <w:t>相符性分析一览表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283"/>
              <w:gridCol w:w="2902"/>
              <w:gridCol w:w="2881"/>
              <w:gridCol w:w="508"/>
            </w:tblGrid>
            <w:tr w14:paraId="442B8B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40" w:hRule="atLeast"/>
                <w:jc w:val="center"/>
              </w:trPr>
              <w:tc>
                <w:tcPr>
                  <w:tcW w:w="847" w:type="pct"/>
                  <w:tcBorders>
                    <w:tl2br w:val="nil"/>
                    <w:tr2bl w:val="nil"/>
                  </w:tcBorders>
                  <w:shd w:val="clear" w:color="auto" w:fill="auto"/>
                  <w:noWrap w:val="0"/>
                  <w:vAlign w:val="center"/>
                </w:tcPr>
                <w:p w14:paraId="70EDD4AB">
                  <w:pPr>
                    <w:shd w:val="clear" w:color="auto" w:fill="auto"/>
                    <w:adjustRightInd w:val="0"/>
                    <w:snapToGrid w:val="0"/>
                    <w:jc w:val="center"/>
                    <w:rPr>
                      <w:b/>
                      <w:bCs/>
                      <w:color w:val="000000"/>
                      <w:sz w:val="21"/>
                      <w:szCs w:val="21"/>
                      <w:highlight w:val="none"/>
                    </w:rPr>
                  </w:pPr>
                  <w:r>
                    <w:rPr>
                      <w:b/>
                      <w:bCs/>
                      <w:color w:val="000000"/>
                      <w:sz w:val="21"/>
                      <w:szCs w:val="21"/>
                      <w:highlight w:val="none"/>
                    </w:rPr>
                    <w:t>文件名称</w:t>
                  </w:r>
                </w:p>
              </w:tc>
              <w:tc>
                <w:tcPr>
                  <w:tcW w:w="1915" w:type="pct"/>
                  <w:tcBorders>
                    <w:tl2br w:val="nil"/>
                    <w:tr2bl w:val="nil"/>
                  </w:tcBorders>
                  <w:shd w:val="clear" w:color="auto" w:fill="auto"/>
                  <w:noWrap w:val="0"/>
                  <w:vAlign w:val="center"/>
                </w:tcPr>
                <w:p w14:paraId="3045081B">
                  <w:pPr>
                    <w:shd w:val="clear" w:color="auto" w:fill="auto"/>
                    <w:adjustRightInd w:val="0"/>
                    <w:snapToGrid w:val="0"/>
                    <w:jc w:val="center"/>
                    <w:rPr>
                      <w:b/>
                      <w:bCs/>
                      <w:color w:val="000000"/>
                      <w:sz w:val="21"/>
                      <w:szCs w:val="21"/>
                      <w:highlight w:val="none"/>
                    </w:rPr>
                  </w:pPr>
                  <w:r>
                    <w:rPr>
                      <w:b/>
                      <w:bCs/>
                      <w:color w:val="000000"/>
                      <w:sz w:val="21"/>
                      <w:szCs w:val="21"/>
                      <w:highlight w:val="none"/>
                    </w:rPr>
                    <w:t>文件内容</w:t>
                  </w:r>
                </w:p>
              </w:tc>
              <w:tc>
                <w:tcPr>
                  <w:tcW w:w="1901" w:type="pct"/>
                  <w:tcBorders>
                    <w:tl2br w:val="nil"/>
                    <w:tr2bl w:val="nil"/>
                  </w:tcBorders>
                  <w:shd w:val="clear" w:color="auto" w:fill="auto"/>
                  <w:noWrap w:val="0"/>
                  <w:vAlign w:val="center"/>
                </w:tcPr>
                <w:p w14:paraId="78B6D897">
                  <w:pPr>
                    <w:shd w:val="clear" w:color="auto" w:fill="auto"/>
                    <w:adjustRightInd w:val="0"/>
                    <w:snapToGrid w:val="0"/>
                    <w:jc w:val="center"/>
                    <w:rPr>
                      <w:b/>
                      <w:bCs/>
                      <w:color w:val="000000"/>
                      <w:sz w:val="21"/>
                      <w:szCs w:val="21"/>
                      <w:highlight w:val="none"/>
                    </w:rPr>
                  </w:pPr>
                  <w:r>
                    <w:rPr>
                      <w:b/>
                      <w:bCs/>
                      <w:color w:val="000000"/>
                      <w:sz w:val="21"/>
                      <w:szCs w:val="21"/>
                      <w:highlight w:val="none"/>
                    </w:rPr>
                    <w:t>本项目</w:t>
                  </w:r>
                </w:p>
              </w:tc>
              <w:tc>
                <w:tcPr>
                  <w:tcW w:w="335" w:type="pct"/>
                  <w:tcBorders>
                    <w:tl2br w:val="nil"/>
                    <w:tr2bl w:val="nil"/>
                  </w:tcBorders>
                  <w:shd w:val="clear" w:color="auto" w:fill="auto"/>
                  <w:noWrap w:val="0"/>
                  <w:vAlign w:val="center"/>
                </w:tcPr>
                <w:p w14:paraId="0DC07FC7">
                  <w:pPr>
                    <w:shd w:val="clear" w:color="auto" w:fill="auto"/>
                    <w:adjustRightInd w:val="0"/>
                    <w:snapToGrid w:val="0"/>
                    <w:jc w:val="center"/>
                    <w:rPr>
                      <w:b/>
                      <w:bCs/>
                      <w:color w:val="000000"/>
                      <w:sz w:val="21"/>
                      <w:szCs w:val="21"/>
                      <w:highlight w:val="none"/>
                    </w:rPr>
                  </w:pPr>
                  <w:r>
                    <w:rPr>
                      <w:b/>
                      <w:bCs/>
                      <w:color w:val="000000"/>
                      <w:sz w:val="21"/>
                      <w:szCs w:val="21"/>
                      <w:highlight w:val="none"/>
                    </w:rPr>
                    <w:t>符合性</w:t>
                  </w:r>
                </w:p>
              </w:tc>
            </w:tr>
            <w:tr w14:paraId="2B0505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jc w:val="center"/>
              </w:trPr>
              <w:tc>
                <w:tcPr>
                  <w:tcW w:w="847" w:type="pct"/>
                  <w:vMerge w:val="restart"/>
                  <w:tcBorders>
                    <w:tl2br w:val="nil"/>
                    <w:tr2bl w:val="nil"/>
                  </w:tcBorders>
                  <w:shd w:val="clear" w:color="auto" w:fill="auto"/>
                  <w:noWrap w:val="0"/>
                  <w:vAlign w:val="center"/>
                </w:tcPr>
                <w:p w14:paraId="551E167A">
                  <w:pPr>
                    <w:shd w:val="clear" w:color="auto" w:fill="auto"/>
                    <w:adjustRightInd w:val="0"/>
                    <w:snapToGrid w:val="0"/>
                    <w:jc w:val="center"/>
                    <w:rPr>
                      <w:b/>
                      <w:bCs/>
                      <w:color w:val="000000"/>
                      <w:sz w:val="21"/>
                      <w:szCs w:val="21"/>
                      <w:highlight w:val="none"/>
                    </w:rPr>
                  </w:pPr>
                  <w:r>
                    <w:rPr>
                      <w:rFonts w:hint="eastAsia" w:ascii="Times New Roman" w:hAnsi="Times New Roman" w:eastAsia="宋体" w:cs="Times New Roman"/>
                      <w:color w:val="000000"/>
                      <w:sz w:val="21"/>
                      <w:szCs w:val="21"/>
                      <w:highlight w:val="none"/>
                      <w:lang w:val="en-US" w:eastAsia="zh-CN"/>
                    </w:rPr>
                    <w:t>《陕西省“十四五”节能减排综合工作实施方案》</w:t>
                  </w:r>
                </w:p>
              </w:tc>
              <w:tc>
                <w:tcPr>
                  <w:tcW w:w="1915" w:type="pct"/>
                  <w:tcBorders>
                    <w:tl2br w:val="nil"/>
                    <w:tr2bl w:val="nil"/>
                  </w:tcBorders>
                  <w:shd w:val="clear" w:color="auto" w:fill="auto"/>
                  <w:noWrap w:val="0"/>
                  <w:vAlign w:val="center"/>
                </w:tcPr>
                <w:p w14:paraId="0B4C1163">
                  <w:pPr>
                    <w:shd w:val="clear" w:color="auto" w:fill="auto"/>
                    <w:adjustRightInd w:val="0"/>
                    <w:snapToGrid w:val="0"/>
                    <w:jc w:val="center"/>
                    <w:rPr>
                      <w:b/>
                      <w:bCs/>
                      <w:color w:val="000000"/>
                      <w:sz w:val="21"/>
                      <w:szCs w:val="21"/>
                      <w:highlight w:val="none"/>
                    </w:rPr>
                  </w:pPr>
                  <w:r>
                    <w:rPr>
                      <w:rFonts w:hint="eastAsia" w:ascii="Times New Roman" w:hAnsi="Times New Roman" w:eastAsia="宋体" w:cs="Times New Roman"/>
                      <w:color w:val="000000"/>
                      <w:sz w:val="21"/>
                      <w:szCs w:val="21"/>
                      <w:highlight w:val="none"/>
                      <w:lang w:val="en-US" w:eastAsia="zh-CN"/>
                    </w:rPr>
                    <w:t>实施传统产业节能降碳改造升级。以钢铁、有色金属、建材、石化化工等行业为重点</w:t>
                  </w:r>
                  <w:r>
                    <w:rPr>
                      <w:rFonts w:hint="eastAsia"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扎实推进节能降碳改造和污染物深度治理。依法依规淘汰落后产能、落后工艺、落后产品，持续化解过剩产能，鼓励重点行业和重点企业通过多种措施提高能效水平。加强绿色低碳工艺技术装备推广应用，加快推进水泥、钢铁、焦化行业及燃煤锅炉超低排放改造，到2025年，全面完成钢铁行业超低排放改造，关中地区燃煤机组、燃煤锅炉全面完成超低排放改造。加强行业工艺革新，实施涂装类、化工类等产业集群分类治理，开展重点行业清洁生产和工业废水资源化利用改造。</w:t>
                  </w:r>
                </w:p>
              </w:tc>
              <w:tc>
                <w:tcPr>
                  <w:tcW w:w="1901" w:type="pct"/>
                  <w:tcBorders>
                    <w:tl2br w:val="nil"/>
                    <w:tr2bl w:val="nil"/>
                  </w:tcBorders>
                  <w:shd w:val="clear" w:color="auto" w:fill="auto"/>
                  <w:noWrap w:val="0"/>
                  <w:vAlign w:val="center"/>
                </w:tcPr>
                <w:p w14:paraId="63180C57">
                  <w:pPr>
                    <w:shd w:val="clear" w:color="auto" w:fill="auto"/>
                    <w:adjustRightInd w:val="0"/>
                    <w:snapToGrid w:val="0"/>
                    <w:jc w:val="center"/>
                    <w:rPr>
                      <w:rFonts w:hint="default" w:eastAsia="宋体"/>
                      <w:b/>
                      <w:bCs/>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本项目不属于钢铁、有色金属、建材、石化化工等需要节能降碳改造和污染物深度治理的行业；根据《产业结构调整指导目录（2024年本）》，项目不涉及淘汰落后产能、落后工艺、落后产品；项目生产使用</w:t>
                  </w:r>
                  <w:r>
                    <w:rPr>
                      <w:rFonts w:hint="eastAsia" w:cs="Times New Roman"/>
                      <w:color w:val="000000"/>
                      <w:sz w:val="21"/>
                      <w:szCs w:val="21"/>
                      <w:highlight w:val="none"/>
                      <w:lang w:val="en-US" w:eastAsia="zh-CN"/>
                    </w:rPr>
                    <w:t>天然气锅炉</w:t>
                  </w:r>
                  <w:r>
                    <w:rPr>
                      <w:rFonts w:hint="eastAsia" w:ascii="Times New Roman" w:hAnsi="Times New Roman" w:eastAsia="宋体" w:cs="Times New Roman"/>
                      <w:color w:val="000000"/>
                      <w:sz w:val="21"/>
                      <w:szCs w:val="21"/>
                      <w:highlight w:val="none"/>
                      <w:lang w:val="en-US" w:eastAsia="zh-CN"/>
                    </w:rPr>
                    <w:t>；项目不涉及涂装类、化工类等产业</w:t>
                  </w:r>
                  <w:r>
                    <w:rPr>
                      <w:rFonts w:hint="eastAsia" w:cs="Times New Roman"/>
                      <w:color w:val="000000"/>
                      <w:sz w:val="21"/>
                      <w:szCs w:val="21"/>
                      <w:highlight w:val="none"/>
                      <w:lang w:val="en-US" w:eastAsia="zh-CN"/>
                    </w:rPr>
                    <w:t>。</w:t>
                  </w:r>
                </w:p>
              </w:tc>
              <w:tc>
                <w:tcPr>
                  <w:tcW w:w="335" w:type="pct"/>
                  <w:tcBorders>
                    <w:tl2br w:val="nil"/>
                    <w:tr2bl w:val="nil"/>
                  </w:tcBorders>
                  <w:shd w:val="clear" w:color="auto" w:fill="auto"/>
                  <w:noWrap w:val="0"/>
                  <w:vAlign w:val="center"/>
                </w:tcPr>
                <w:p w14:paraId="273485B4">
                  <w:pPr>
                    <w:shd w:val="clear" w:color="auto" w:fill="auto"/>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符合</w:t>
                  </w:r>
                </w:p>
              </w:tc>
            </w:tr>
            <w:tr w14:paraId="1D2EC0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7" w:type="pct"/>
                  <w:vMerge w:val="continue"/>
                  <w:tcBorders>
                    <w:tl2br w:val="nil"/>
                    <w:tr2bl w:val="nil"/>
                  </w:tcBorders>
                  <w:shd w:val="clear" w:color="auto" w:fill="auto"/>
                  <w:noWrap w:val="0"/>
                  <w:vAlign w:val="center"/>
                </w:tcPr>
                <w:p w14:paraId="2F73D75B">
                  <w:pPr>
                    <w:shd w:val="clear" w:color="auto" w:fill="auto"/>
                    <w:adjustRightInd w:val="0"/>
                    <w:snapToGrid w:val="0"/>
                    <w:jc w:val="center"/>
                    <w:rPr>
                      <w:rFonts w:hint="eastAsia" w:ascii="Times New Roman" w:hAnsi="Times New Roman" w:eastAsia="宋体" w:cs="Times New Roman"/>
                      <w:color w:val="000000"/>
                      <w:sz w:val="21"/>
                      <w:szCs w:val="21"/>
                      <w:highlight w:val="none"/>
                      <w:lang w:val="en-US" w:eastAsia="zh-CN"/>
                    </w:rPr>
                  </w:pPr>
                </w:p>
              </w:tc>
              <w:tc>
                <w:tcPr>
                  <w:tcW w:w="1915" w:type="pct"/>
                  <w:tcBorders>
                    <w:tl2br w:val="nil"/>
                    <w:tr2bl w:val="nil"/>
                  </w:tcBorders>
                  <w:shd w:val="clear" w:color="auto" w:fill="auto"/>
                  <w:noWrap w:val="0"/>
                  <w:vAlign w:val="center"/>
                </w:tcPr>
                <w:p w14:paraId="746FE529">
                  <w:pPr>
                    <w:shd w:val="clear" w:color="auto" w:fill="auto"/>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协同推进重点区域污染物减排。持续推进大气污染防治重点区域秋冬季攻坚行动，加强重点行业结构调整和污染治理，采取清洁能源替代、依法关停淘汰、深度治理提升、转型升级等措施，加大工业窑炉综合整治力度，加快不符合产业政策的燃煤工业窑炉和煤气发生炉淘汰进度。积极推进汾渭平原大气污染防治工作，深化联防联控工作机制。</w:t>
                  </w:r>
                </w:p>
              </w:tc>
              <w:tc>
                <w:tcPr>
                  <w:tcW w:w="1901" w:type="pct"/>
                  <w:tcBorders>
                    <w:tl2br w:val="nil"/>
                    <w:tr2bl w:val="nil"/>
                  </w:tcBorders>
                  <w:shd w:val="clear" w:color="auto" w:fill="auto"/>
                  <w:noWrap w:val="0"/>
                  <w:vAlign w:val="center"/>
                </w:tcPr>
                <w:p w14:paraId="5D778CEA">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本项目为白酒制造行业，不属于需要进行结构调整和污染治理的重点行业，项目锅炉使用清洁能源</w:t>
                  </w:r>
                  <w:r>
                    <w:rPr>
                      <w:rFonts w:hint="eastAsia" w:cs="Times New Roman"/>
                      <w:color w:val="000000"/>
                      <w:sz w:val="21"/>
                      <w:szCs w:val="21"/>
                      <w:highlight w:val="none"/>
                      <w:lang w:val="en-US" w:eastAsia="zh-CN"/>
                    </w:rPr>
                    <w:t>天然气</w:t>
                  </w:r>
                  <w:r>
                    <w:rPr>
                      <w:rFonts w:hint="eastAsia" w:ascii="Times New Roman" w:hAnsi="Times New Roman" w:eastAsia="宋体" w:cs="Times New Roman"/>
                      <w:color w:val="000000"/>
                      <w:sz w:val="21"/>
                      <w:szCs w:val="21"/>
                      <w:highlight w:val="none"/>
                      <w:lang w:val="en-US" w:eastAsia="zh-CN"/>
                    </w:rPr>
                    <w:t>作为燃料，对锅炉产生的烟气采用袋式除尘+SCNR治理措施，符合协同推进重点区域污染物减排的要求</w:t>
                  </w:r>
                  <w:r>
                    <w:rPr>
                      <w:rFonts w:hint="eastAsia" w:cs="Times New Roman"/>
                      <w:color w:val="000000"/>
                      <w:sz w:val="21"/>
                      <w:szCs w:val="21"/>
                      <w:highlight w:val="none"/>
                      <w:lang w:val="en-US" w:eastAsia="zh-CN"/>
                    </w:rPr>
                    <w:t>。</w:t>
                  </w:r>
                </w:p>
              </w:tc>
              <w:tc>
                <w:tcPr>
                  <w:tcW w:w="335" w:type="pct"/>
                  <w:tcBorders>
                    <w:tl2br w:val="nil"/>
                    <w:tr2bl w:val="nil"/>
                  </w:tcBorders>
                  <w:shd w:val="clear" w:color="auto" w:fill="auto"/>
                  <w:noWrap w:val="0"/>
                  <w:vAlign w:val="center"/>
                </w:tcPr>
                <w:p w14:paraId="5AC9DC0D">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符合</w:t>
                  </w:r>
                </w:p>
              </w:tc>
            </w:tr>
            <w:tr w14:paraId="5715FB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7" w:type="pct"/>
                  <w:tcBorders>
                    <w:tl2br w:val="nil"/>
                    <w:tr2bl w:val="nil"/>
                  </w:tcBorders>
                  <w:shd w:val="clear" w:color="auto" w:fill="auto"/>
                  <w:noWrap w:val="0"/>
                  <w:vAlign w:val="center"/>
                </w:tcPr>
                <w:p w14:paraId="70E030E0">
                  <w:pPr>
                    <w:shd w:val="clear" w:color="auto" w:fill="auto"/>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《宝鸡市“十四五”生态环境保护规划</w:t>
                  </w:r>
                </w:p>
                <w:p w14:paraId="4216F2DB">
                  <w:pPr>
                    <w:shd w:val="clear" w:color="auto" w:fill="auto"/>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1915" w:type="pct"/>
                  <w:tcBorders>
                    <w:tl2br w:val="nil"/>
                    <w:tr2bl w:val="nil"/>
                  </w:tcBorders>
                  <w:shd w:val="clear" w:color="auto" w:fill="auto"/>
                  <w:noWrap w:val="0"/>
                  <w:vAlign w:val="center"/>
                </w:tcPr>
                <w:p w14:paraId="2FE59DB6">
                  <w:pPr>
                    <w:shd w:val="clear" w:color="auto" w:fill="auto"/>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实行锅炉和工业窑炉全面管控。持续巩固燃煤锅炉拆改成效，严格控制新建燃煤锅炉，全面淘汰分散燃煤设施，新建生产经营性锅炉全部使用天然气或其他清洁能源。</w:t>
                  </w:r>
                </w:p>
              </w:tc>
              <w:tc>
                <w:tcPr>
                  <w:tcW w:w="1901" w:type="pct"/>
                  <w:tcBorders>
                    <w:tl2br w:val="nil"/>
                    <w:tr2bl w:val="nil"/>
                  </w:tcBorders>
                  <w:shd w:val="clear" w:color="auto" w:fill="auto"/>
                  <w:noWrap w:val="0"/>
                  <w:vAlign w:val="center"/>
                </w:tcPr>
                <w:p w14:paraId="41654355">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本项目新建生产用锅炉燃料为清洁能源</w:t>
                  </w:r>
                  <w:r>
                    <w:rPr>
                      <w:rFonts w:hint="eastAsia" w:cs="Times New Roman"/>
                      <w:color w:val="000000"/>
                      <w:sz w:val="21"/>
                      <w:szCs w:val="21"/>
                      <w:highlight w:val="none"/>
                      <w:lang w:val="en-US" w:eastAsia="zh-CN"/>
                    </w:rPr>
                    <w:t>天然气。</w:t>
                  </w:r>
                </w:p>
              </w:tc>
              <w:tc>
                <w:tcPr>
                  <w:tcW w:w="335" w:type="pct"/>
                  <w:tcBorders>
                    <w:tl2br w:val="nil"/>
                    <w:tr2bl w:val="nil"/>
                  </w:tcBorders>
                  <w:shd w:val="clear" w:color="auto" w:fill="auto"/>
                  <w:noWrap w:val="0"/>
                  <w:vAlign w:val="center"/>
                </w:tcPr>
                <w:p w14:paraId="010B92A9">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符合</w:t>
                  </w:r>
                </w:p>
              </w:tc>
            </w:tr>
            <w:tr w14:paraId="7A999DE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867" w:hRule="atLeast"/>
                <w:jc w:val="center"/>
              </w:trPr>
              <w:tc>
                <w:tcPr>
                  <w:tcW w:w="847" w:type="pct"/>
                  <w:tcBorders>
                    <w:tl2br w:val="nil"/>
                    <w:tr2bl w:val="nil"/>
                  </w:tcBorders>
                  <w:shd w:val="clear" w:color="auto" w:fill="auto"/>
                  <w:noWrap w:val="0"/>
                  <w:vAlign w:val="center"/>
                </w:tcPr>
                <w:p w14:paraId="5ABCE28C">
                  <w:pPr>
                    <w:shd w:val="clear" w:color="auto" w:fill="auto"/>
                    <w:adjustRightInd w:val="0"/>
                    <w:snapToGrid w:val="0"/>
                    <w:jc w:val="center"/>
                    <w:rPr>
                      <w:rFonts w:hint="eastAsia"/>
                      <w:color w:val="000000"/>
                      <w:kern w:val="2"/>
                      <w:sz w:val="21"/>
                      <w:szCs w:val="21"/>
                      <w:highlight w:val="none"/>
                      <w:lang w:val="en-US" w:eastAsia="zh-CN" w:bidi="ar-SA"/>
                    </w:rPr>
                  </w:pPr>
                  <w:r>
                    <w:rPr>
                      <w:snapToGrid w:val="0"/>
                      <w:color w:val="000000"/>
                      <w:sz w:val="21"/>
                      <w:szCs w:val="21"/>
                      <w:highlight w:val="none"/>
                    </w:rPr>
                    <w:t>《</w:t>
                  </w:r>
                  <w:r>
                    <w:rPr>
                      <w:rFonts w:hint="eastAsia"/>
                      <w:snapToGrid w:val="0"/>
                      <w:color w:val="000000"/>
                      <w:sz w:val="21"/>
                      <w:szCs w:val="21"/>
                      <w:highlight w:val="none"/>
                    </w:rPr>
                    <w:t>宝鸡市大气污染防治条例</w:t>
                  </w:r>
                  <w:r>
                    <w:rPr>
                      <w:snapToGrid w:val="0"/>
                      <w:color w:val="000000"/>
                      <w:sz w:val="21"/>
                      <w:szCs w:val="21"/>
                      <w:highlight w:val="none"/>
                    </w:rPr>
                    <w:t>》</w:t>
                  </w:r>
                </w:p>
              </w:tc>
              <w:tc>
                <w:tcPr>
                  <w:tcW w:w="1915" w:type="pct"/>
                  <w:tcBorders>
                    <w:tl2br w:val="nil"/>
                    <w:tr2bl w:val="nil"/>
                  </w:tcBorders>
                  <w:shd w:val="clear" w:color="auto" w:fill="auto"/>
                  <w:noWrap w:val="0"/>
                  <w:vAlign w:val="center"/>
                </w:tcPr>
                <w:p w14:paraId="2C66716D">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bCs/>
                      <w:color w:val="000000"/>
                      <w:kern w:val="2"/>
                      <w:sz w:val="21"/>
                      <w:szCs w:val="21"/>
                      <w:highlight w:val="none"/>
                      <w:lang w:val="en-US" w:eastAsia="zh-CN" w:bidi="ar-SA"/>
                    </w:rPr>
                  </w:pPr>
                  <w:r>
                    <w:rPr>
                      <w:rFonts w:hint="default" w:ascii="Times New Roman" w:hAnsi="Times New Roman" w:cs="Times New Roman"/>
                      <w:color w:val="000000"/>
                      <w:sz w:val="21"/>
                      <w:szCs w:val="21"/>
                      <w:highlight w:val="none"/>
                    </w:rPr>
                    <w:t>①向大气排放污染物的，应当符合大气污染物排放标准，遵守重点大气污染物排放总量控制要求；②钢铁、建材、有色金属、石油、化工、制药、矿产开采等企业，应当加强精细化管理，采取集中收集处理等措施，严格控制粉尘和气态污染物的排放。</w:t>
                  </w:r>
                </w:p>
              </w:tc>
              <w:tc>
                <w:tcPr>
                  <w:tcW w:w="1901" w:type="pct"/>
                  <w:tcBorders>
                    <w:tl2br w:val="nil"/>
                    <w:tr2bl w:val="nil"/>
                  </w:tcBorders>
                  <w:shd w:val="clear" w:color="auto" w:fill="auto"/>
                  <w:noWrap w:val="0"/>
                  <w:vAlign w:val="center"/>
                </w:tcPr>
                <w:p w14:paraId="0EE79D4B">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eastAsia="宋体"/>
                      <w:bCs/>
                      <w:color w:val="000000"/>
                      <w:kern w:val="2"/>
                      <w:sz w:val="21"/>
                      <w:szCs w:val="21"/>
                      <w:highlight w:val="none"/>
                      <w:lang w:val="en-US" w:eastAsia="zh-CN" w:bidi="ar-SA"/>
                    </w:rPr>
                  </w:pPr>
                  <w:r>
                    <w:rPr>
                      <w:rFonts w:hint="eastAsia"/>
                      <w:bCs/>
                      <w:color w:val="000000"/>
                      <w:kern w:val="2"/>
                      <w:sz w:val="21"/>
                      <w:szCs w:val="21"/>
                      <w:highlight w:val="none"/>
                      <w:lang w:val="en-US" w:eastAsia="zh-CN" w:bidi="ar-SA"/>
                    </w:rPr>
                    <w:t>根据源强核算结果，本项目粮食、大曲粉碎粉尘排放浓度满足</w:t>
                  </w:r>
                  <w:r>
                    <w:rPr>
                      <w:rFonts w:hint="default" w:ascii="Times New Roman" w:hAnsi="Times New Roman" w:eastAsia="宋体" w:cs="Times New Roman"/>
                      <w:color w:val="000000"/>
                      <w:sz w:val="21"/>
                      <w:szCs w:val="21"/>
                      <w:highlight w:val="none"/>
                    </w:rPr>
                    <w:t>《大气污染物综合排放标准》（GB16297-1996）</w:t>
                  </w:r>
                  <w:r>
                    <w:rPr>
                      <w:rFonts w:hint="eastAsia" w:ascii="Times New Roman" w:hAnsi="Times New Roman" w:eastAsia="宋体" w:cs="Times New Roman"/>
                      <w:color w:val="000000"/>
                      <w:sz w:val="21"/>
                      <w:szCs w:val="21"/>
                      <w:highlight w:val="none"/>
                      <w:lang w:val="en-US" w:eastAsia="zh-CN"/>
                    </w:rPr>
                    <w:t>相关排放限值；锅炉烟气中颗粒物、二氧化硫、氮氧化物排放浓度均满足</w:t>
                  </w:r>
                  <w:r>
                    <w:rPr>
                      <w:rFonts w:ascii="Times New Roman" w:hAnsi="Times New Roman" w:eastAsia="宋体" w:cs="Times New Roman"/>
                      <w:color w:val="000000"/>
                      <w:szCs w:val="21"/>
                      <w:highlight w:val="none"/>
                    </w:rPr>
                    <w:t>《锅炉大气污染物排放标准》（DB61/1226-2018）</w:t>
                  </w:r>
                  <w:r>
                    <w:rPr>
                      <w:rFonts w:hint="eastAsia" w:ascii="Times New Roman" w:hAnsi="Times New Roman" w:eastAsia="宋体" w:cs="Times New Roman"/>
                      <w:color w:val="000000"/>
                      <w:szCs w:val="21"/>
                      <w:highlight w:val="none"/>
                      <w:lang w:val="en-US" w:eastAsia="zh-CN"/>
                    </w:rPr>
                    <w:t>相关标准限值；污水处理站恶臭气体硫化氢、氨气排放速率均满足</w:t>
                  </w:r>
                  <w:r>
                    <w:rPr>
                      <w:rFonts w:hint="eastAsia" w:ascii="Times New Roman" w:hAnsi="Times New Roman" w:eastAsia="宋体" w:cs="Times New Roman"/>
                      <w:color w:val="000000"/>
                      <w:sz w:val="21"/>
                      <w:szCs w:val="21"/>
                      <w:highlight w:val="none"/>
                      <w:lang w:val="en-US" w:eastAsia="zh-CN"/>
                    </w:rPr>
                    <w:t>《恶臭污染物排放标准》（GB14554-93）相关标准限值；项目不属于</w:t>
                  </w:r>
                  <w:r>
                    <w:rPr>
                      <w:rFonts w:hint="default" w:ascii="Times New Roman" w:hAnsi="Times New Roman" w:cs="Times New Roman"/>
                      <w:color w:val="000000"/>
                      <w:sz w:val="21"/>
                      <w:szCs w:val="21"/>
                      <w:highlight w:val="none"/>
                    </w:rPr>
                    <w:t>钢铁、建材、有色金属、石油、化工、制药、矿产开采等</w:t>
                  </w:r>
                  <w:r>
                    <w:rPr>
                      <w:rFonts w:hint="eastAsia" w:ascii="Times New Roman" w:hAnsi="Times New Roman" w:cs="Times New Roman"/>
                      <w:color w:val="000000"/>
                      <w:sz w:val="21"/>
                      <w:szCs w:val="21"/>
                      <w:highlight w:val="none"/>
                      <w:lang w:val="en-US" w:eastAsia="zh-CN"/>
                    </w:rPr>
                    <w:t>行业</w:t>
                  </w:r>
                  <w:r>
                    <w:rPr>
                      <w:rFonts w:hint="eastAsia" w:cs="Times New Roman"/>
                      <w:color w:val="000000"/>
                      <w:sz w:val="21"/>
                      <w:szCs w:val="21"/>
                      <w:highlight w:val="none"/>
                      <w:lang w:val="en-US" w:eastAsia="zh-CN"/>
                    </w:rPr>
                    <w:t>。</w:t>
                  </w:r>
                </w:p>
              </w:tc>
              <w:tc>
                <w:tcPr>
                  <w:tcW w:w="335" w:type="pct"/>
                  <w:tcBorders>
                    <w:tl2br w:val="nil"/>
                    <w:tr2bl w:val="nil"/>
                  </w:tcBorders>
                  <w:shd w:val="clear" w:color="auto" w:fill="auto"/>
                  <w:noWrap w:val="0"/>
                  <w:vAlign w:val="center"/>
                </w:tcPr>
                <w:p w14:paraId="1185A497">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符合</w:t>
                  </w:r>
                </w:p>
              </w:tc>
            </w:tr>
            <w:tr w14:paraId="4276E3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284" w:hRule="atLeast"/>
                <w:jc w:val="center"/>
              </w:trPr>
              <w:tc>
                <w:tcPr>
                  <w:tcW w:w="847" w:type="pct"/>
                  <w:vMerge w:val="restart"/>
                  <w:tcBorders>
                    <w:tl2br w:val="nil"/>
                    <w:tr2bl w:val="nil"/>
                  </w:tcBorders>
                  <w:shd w:val="clear" w:color="auto" w:fill="auto"/>
                  <w:noWrap w:val="0"/>
                  <w:vAlign w:val="center"/>
                </w:tcPr>
                <w:p w14:paraId="67441CDB">
                  <w:pPr>
                    <w:shd w:val="clear" w:color="auto" w:fill="auto"/>
                    <w:adjustRightInd w:val="0"/>
                    <w:snapToGrid w:val="0"/>
                    <w:jc w:val="center"/>
                    <w:rPr>
                      <w:rFonts w:hint="eastAsia" w:ascii="Times New Roman" w:hAnsi="Times New Roman" w:eastAsia="宋体" w:cs="Times New Roman"/>
                      <w:color w:val="000000"/>
                      <w:sz w:val="21"/>
                      <w:szCs w:val="21"/>
                      <w:highlight w:val="none"/>
                      <w:lang w:eastAsia="zh-CN"/>
                    </w:rPr>
                  </w:pPr>
                  <w:r>
                    <w:rPr>
                      <w:rFonts w:hint="default" w:ascii="Times New Roman" w:hAnsi="Times New Roman" w:cs="Times New Roman"/>
                      <w:color w:val="000000"/>
                      <w:sz w:val="21"/>
                      <w:szCs w:val="21"/>
                      <w:highlight w:val="none"/>
                      <w:lang w:val="en-US" w:eastAsia="zh-CN"/>
                    </w:rPr>
                    <w:t>《</w:t>
                  </w:r>
                  <w:r>
                    <w:rPr>
                      <w:rFonts w:hint="eastAsia" w:ascii="Times New Roman" w:hAnsi="Times New Roman" w:cs="Times New Roman"/>
                      <w:color w:val="000000"/>
                      <w:sz w:val="21"/>
                      <w:szCs w:val="21"/>
                      <w:highlight w:val="none"/>
                      <w:lang w:val="en-US" w:eastAsia="zh-CN"/>
                    </w:rPr>
                    <w:t>宝鸡市</w:t>
                  </w:r>
                  <w:r>
                    <w:rPr>
                      <w:rFonts w:hint="default" w:ascii="Times New Roman" w:hAnsi="Times New Roman" w:cs="Times New Roman"/>
                      <w:color w:val="000000"/>
                      <w:sz w:val="21"/>
                      <w:szCs w:val="21"/>
                      <w:highlight w:val="none"/>
                      <w:lang w:val="en-US" w:eastAsia="zh-CN"/>
                    </w:rPr>
                    <w:t>大气污染治理专项行动方</w:t>
                  </w:r>
                  <w:r>
                    <w:rPr>
                      <w:rFonts w:hint="eastAsia" w:ascii="Times New Roman" w:hAnsi="Times New Roman" w:cs="Times New Roman"/>
                      <w:color w:val="000000"/>
                      <w:sz w:val="21"/>
                      <w:szCs w:val="21"/>
                      <w:highlight w:val="none"/>
                      <w:lang w:val="en-US" w:eastAsia="zh-CN"/>
                    </w:rPr>
                    <w:t>案</w:t>
                  </w:r>
                  <w:r>
                    <w:rPr>
                      <w:rFonts w:hint="default" w:ascii="Times New Roman" w:hAnsi="Times New Roman" w:cs="Times New Roman"/>
                      <w:color w:val="000000"/>
                      <w:sz w:val="21"/>
                      <w:szCs w:val="21"/>
                      <w:highlight w:val="none"/>
                      <w:lang w:val="en-US" w:eastAsia="zh-CN"/>
                    </w:rPr>
                    <w:t>（2023</w:t>
                  </w:r>
                  <w:r>
                    <w:rPr>
                      <w:rFonts w:hint="eastAsia" w:ascii="Times New Roman" w:hAnsi="Times New Roman" w:cs="Times New Roman"/>
                      <w:color w:val="000000"/>
                      <w:sz w:val="21"/>
                      <w:szCs w:val="21"/>
                      <w:highlight w:val="none"/>
                      <w:lang w:val="en-US" w:eastAsia="zh-CN"/>
                    </w:rPr>
                    <w:t>-</w:t>
                  </w:r>
                  <w:r>
                    <w:rPr>
                      <w:rFonts w:hint="default" w:ascii="Times New Roman" w:hAnsi="Times New Roman" w:cs="Times New Roman"/>
                      <w:color w:val="000000"/>
                      <w:sz w:val="21"/>
                      <w:szCs w:val="21"/>
                      <w:highlight w:val="none"/>
                      <w:lang w:val="en-US" w:eastAsia="zh-CN"/>
                    </w:rPr>
                    <w:t>2027</w:t>
                  </w:r>
                  <w:r>
                    <w:rPr>
                      <w:rFonts w:hint="eastAsia" w:ascii="Times New Roman" w:hAnsi="Times New Roman" w:cs="Times New Roman"/>
                      <w:color w:val="000000"/>
                      <w:sz w:val="21"/>
                      <w:szCs w:val="21"/>
                      <w:highlight w:val="none"/>
                      <w:lang w:val="en-US" w:eastAsia="zh-CN"/>
                    </w:rPr>
                    <w:t>年）</w:t>
                  </w:r>
                </w:p>
              </w:tc>
              <w:tc>
                <w:tcPr>
                  <w:tcW w:w="1915" w:type="pct"/>
                  <w:tcBorders>
                    <w:tl2br w:val="nil"/>
                    <w:tr2bl w:val="nil"/>
                  </w:tcBorders>
                  <w:shd w:val="clear" w:color="auto" w:fill="auto"/>
                  <w:noWrap w:val="0"/>
                  <w:vAlign w:val="center"/>
                </w:tcPr>
                <w:p w14:paraId="5E5D35FE">
                  <w:pPr>
                    <w:shd w:val="clear" w:color="auto" w:fill="auto"/>
                    <w:adjustRightInd w:val="0"/>
                    <w:snapToGrid w:val="0"/>
                    <w:jc w:val="center"/>
                    <w:rPr>
                      <w:rFonts w:hint="eastAsia"/>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产业发展结构调整</w:t>
                  </w:r>
                  <w:r>
                    <w:rPr>
                      <w:rFonts w:hint="eastAsia" w:cs="Times New Roman"/>
                      <w:color w:val="000000"/>
                      <w:sz w:val="21"/>
                      <w:szCs w:val="21"/>
                      <w:highlight w:val="none"/>
                      <w:lang w:val="en-US" w:eastAsia="zh-CN"/>
                    </w:rPr>
                    <w:t>的条</w:t>
                  </w:r>
                  <w:r>
                    <w:rPr>
                      <w:rFonts w:hint="eastAsia" w:ascii="Times New Roman" w:hAnsi="Times New Roman" w:cs="Times New Roman"/>
                      <w:color w:val="000000"/>
                      <w:sz w:val="21"/>
                      <w:szCs w:val="21"/>
                      <w:highlight w:val="none"/>
                      <w:lang w:val="en-US" w:eastAsia="zh-CN"/>
                    </w:rPr>
                    <w:t>件。</w:t>
                  </w:r>
                  <w:r>
                    <w:rPr>
                      <w:rFonts w:hint="default" w:ascii="Times New Roman" w:hAnsi="Times New Roman" w:cs="Times New Roman"/>
                      <w:color w:val="000000"/>
                      <w:sz w:val="21"/>
                      <w:szCs w:val="21"/>
                      <w:highlight w:val="none"/>
                      <w:lang w:val="en-US" w:eastAsia="zh-CN"/>
                    </w:rPr>
                    <w:t>严禁新增钢铁、焦化、水泥熟</w:t>
                  </w:r>
                  <w:r>
                    <w:rPr>
                      <w:rFonts w:hint="eastAsia" w:ascii="Times New Roman" w:hAnsi="Times New Roman" w:cs="Times New Roman"/>
                      <w:color w:val="000000"/>
                      <w:sz w:val="21"/>
                      <w:szCs w:val="21"/>
                      <w:highlight w:val="none"/>
                      <w:lang w:val="en-US" w:eastAsia="zh-CN"/>
                    </w:rPr>
                    <w:t>料、</w:t>
                  </w:r>
                  <w:r>
                    <w:rPr>
                      <w:rFonts w:hint="default" w:ascii="Times New Roman" w:hAnsi="Times New Roman" w:cs="Times New Roman"/>
                      <w:color w:val="000000"/>
                      <w:sz w:val="21"/>
                      <w:szCs w:val="21"/>
                      <w:highlight w:val="none"/>
                      <w:lang w:val="en-US" w:eastAsia="zh-CN"/>
                    </w:rPr>
                    <w:t>平板玻璃、电解铝、氧化铝、煤化工</w:t>
                  </w:r>
                  <w:r>
                    <w:rPr>
                      <w:rFonts w:hint="eastAsia" w:cs="Times New Roman"/>
                      <w:color w:val="000000"/>
                      <w:sz w:val="21"/>
                      <w:szCs w:val="21"/>
                      <w:highlight w:val="none"/>
                      <w:lang w:val="en-US" w:eastAsia="zh-CN"/>
                    </w:rPr>
                    <w:t>等</w:t>
                  </w:r>
                  <w:r>
                    <w:rPr>
                      <w:rFonts w:hint="default" w:ascii="Times New Roman" w:hAnsi="Times New Roman" w:cs="Times New Roman"/>
                      <w:color w:val="000000"/>
                      <w:sz w:val="21"/>
                      <w:szCs w:val="21"/>
                      <w:highlight w:val="none"/>
                      <w:lang w:val="en-US" w:eastAsia="zh-CN"/>
                    </w:rPr>
                    <w:t>产能</w:t>
                  </w:r>
                  <w:r>
                    <w:rPr>
                      <w:rFonts w:hint="eastAsia" w:ascii="Times New Roman" w:hAnsi="Times New Roman" w:cs="Times New Roman"/>
                      <w:color w:val="000000"/>
                      <w:sz w:val="21"/>
                      <w:szCs w:val="21"/>
                      <w:highlight w:val="none"/>
                      <w:lang w:val="en-US" w:eastAsia="zh-CN"/>
                    </w:rPr>
                    <w:t>，</w:t>
                  </w:r>
                  <w:r>
                    <w:rPr>
                      <w:rFonts w:hint="default" w:ascii="Times New Roman" w:hAnsi="Times New Roman" w:cs="Times New Roman"/>
                      <w:color w:val="000000"/>
                      <w:sz w:val="21"/>
                      <w:szCs w:val="21"/>
                      <w:highlight w:val="none"/>
                      <w:lang w:val="en-US" w:eastAsia="zh-CN"/>
                    </w:rPr>
                    <w:t>合理控制煤制油气产能规模</w:t>
                  </w:r>
                  <w:r>
                    <w:rPr>
                      <w:rFonts w:hint="eastAsia" w:ascii="Times New Roman" w:hAnsi="Times New Roman" w:cs="Times New Roman"/>
                      <w:color w:val="000000"/>
                      <w:sz w:val="21"/>
                      <w:szCs w:val="21"/>
                      <w:highlight w:val="none"/>
                      <w:lang w:val="en-US" w:eastAsia="zh-CN"/>
                    </w:rPr>
                    <w:t>，</w:t>
                  </w:r>
                  <w:r>
                    <w:rPr>
                      <w:rFonts w:hint="default" w:ascii="Times New Roman" w:hAnsi="Times New Roman" w:cs="Times New Roman"/>
                      <w:color w:val="000000"/>
                      <w:sz w:val="21"/>
                      <w:szCs w:val="21"/>
                      <w:highlight w:val="none"/>
                      <w:lang w:val="en-US" w:eastAsia="zh-CN"/>
                    </w:rPr>
                    <w:t>严控新增炼油产能。不得违规新增化工园区。严格执行《产业结构调整指导目录》</w:t>
                  </w:r>
                  <w:r>
                    <w:rPr>
                      <w:rFonts w:hint="eastAsia" w:ascii="Times New Roman" w:hAnsi="Times New Roman" w:cs="Times New Roman"/>
                      <w:color w:val="000000"/>
                      <w:sz w:val="21"/>
                      <w:szCs w:val="21"/>
                      <w:highlight w:val="none"/>
                      <w:lang w:val="en-US" w:eastAsia="zh-CN"/>
                    </w:rPr>
                    <w:t>，</w:t>
                  </w:r>
                  <w:r>
                    <w:rPr>
                      <w:rFonts w:hint="default" w:ascii="Times New Roman" w:hAnsi="Times New Roman" w:cs="Times New Roman"/>
                      <w:color w:val="000000"/>
                      <w:sz w:val="21"/>
                      <w:szCs w:val="21"/>
                      <w:highlight w:val="none"/>
                      <w:lang w:val="en-US" w:eastAsia="zh-CN"/>
                    </w:rPr>
                    <w:t>坚决遏制“两高”项目盲目发展</w:t>
                  </w:r>
                  <w:r>
                    <w:rPr>
                      <w:rFonts w:hint="eastAsia" w:ascii="Times New Roman" w:hAnsi="Times New Roman" w:cs="Times New Roman"/>
                      <w:color w:val="000000"/>
                      <w:sz w:val="21"/>
                      <w:szCs w:val="21"/>
                      <w:highlight w:val="none"/>
                      <w:lang w:val="en-US" w:eastAsia="zh-CN"/>
                    </w:rPr>
                    <w:t>，</w:t>
                  </w:r>
                  <w:r>
                    <w:rPr>
                      <w:rFonts w:hint="default" w:ascii="Times New Roman" w:hAnsi="Times New Roman" w:cs="Times New Roman"/>
                      <w:color w:val="000000"/>
                      <w:sz w:val="21"/>
                      <w:szCs w:val="21"/>
                      <w:highlight w:val="none"/>
                      <w:lang w:val="en-US" w:eastAsia="zh-CN"/>
                    </w:rPr>
                    <w:t>严格落实国家产业规划、产业政策、</w:t>
                  </w:r>
                  <w:r>
                    <w:rPr>
                      <w:rFonts w:hint="eastAsia" w:ascii="Times New Roman" w:hAnsi="Times New Roman" w:cs="Times New Roman"/>
                      <w:color w:val="000000"/>
                      <w:sz w:val="21"/>
                      <w:szCs w:val="21"/>
                      <w:highlight w:val="none"/>
                      <w:lang w:val="en-US" w:eastAsia="zh-CN"/>
                    </w:rPr>
                    <w:t>“</w:t>
                  </w:r>
                  <w:r>
                    <w:rPr>
                      <w:rFonts w:hint="default" w:ascii="Times New Roman" w:hAnsi="Times New Roman" w:cs="Times New Roman"/>
                      <w:color w:val="000000"/>
                      <w:sz w:val="21"/>
                      <w:szCs w:val="21"/>
                      <w:highlight w:val="none"/>
                      <w:lang w:val="en-US" w:eastAsia="zh-CN"/>
                    </w:rPr>
                    <w:t>三线一单</w:t>
                  </w:r>
                  <w:r>
                    <w:rPr>
                      <w:rFonts w:hint="eastAsia" w:ascii="Times New Roman" w:hAnsi="Times New Roman" w:cs="Times New Roman"/>
                      <w:color w:val="000000"/>
                      <w:sz w:val="21"/>
                      <w:szCs w:val="21"/>
                      <w:highlight w:val="none"/>
                      <w:lang w:val="en-US" w:eastAsia="zh-CN"/>
                    </w:rPr>
                    <w:t>”</w:t>
                  </w:r>
                  <w:r>
                    <w:rPr>
                      <w:rFonts w:hint="default" w:ascii="Times New Roman" w:hAnsi="Times New Roman" w:cs="Times New Roman"/>
                      <w:color w:val="000000"/>
                      <w:sz w:val="21"/>
                      <w:szCs w:val="21"/>
                      <w:highlight w:val="none"/>
                      <w:lang w:val="en-US" w:eastAsia="zh-CN"/>
                    </w:rPr>
                    <w:t>、规划环评以及产能置换、煤炭消费减量替代、区域污染物削减等要求</w:t>
                  </w:r>
                  <w:r>
                    <w:rPr>
                      <w:rFonts w:hint="eastAsia" w:ascii="Times New Roman" w:hAnsi="Times New Roman" w:cs="Times New Roman"/>
                      <w:color w:val="000000"/>
                      <w:sz w:val="21"/>
                      <w:szCs w:val="21"/>
                      <w:highlight w:val="none"/>
                      <w:lang w:val="en-US" w:eastAsia="zh-CN"/>
                    </w:rPr>
                    <w:t>，</w:t>
                  </w:r>
                  <w:r>
                    <w:rPr>
                      <w:rFonts w:hint="default" w:ascii="Times New Roman" w:hAnsi="Times New Roman" w:cs="Times New Roman"/>
                      <w:color w:val="000000"/>
                      <w:sz w:val="21"/>
                      <w:szCs w:val="21"/>
                      <w:highlight w:val="none"/>
                      <w:lang w:val="en-US" w:eastAsia="zh-CN"/>
                    </w:rPr>
                    <w:t>严禁不符合规定的项目建设。</w:t>
                  </w:r>
                </w:p>
              </w:tc>
              <w:tc>
                <w:tcPr>
                  <w:tcW w:w="1901" w:type="pct"/>
                  <w:tcBorders>
                    <w:tl2br w:val="nil"/>
                    <w:tr2bl w:val="nil"/>
                  </w:tcBorders>
                  <w:shd w:val="clear" w:color="auto" w:fill="auto"/>
                  <w:noWrap w:val="0"/>
                  <w:vAlign w:val="center"/>
                </w:tcPr>
                <w:p w14:paraId="7C87A562">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shd w:val="clear" w:color="auto" w:fill="FFFFFF"/>
                      <w:lang w:val="en-US" w:eastAsia="zh-CN"/>
                    </w:rPr>
                    <w:t>本项目为白酒制造业，不属于严禁新增行业及“两高”项目；项目建设符合</w:t>
                  </w:r>
                  <w:r>
                    <w:rPr>
                      <w:rFonts w:hint="default" w:ascii="Times New Roman" w:hAnsi="Times New Roman" w:cs="Times New Roman"/>
                      <w:color w:val="000000"/>
                      <w:sz w:val="21"/>
                      <w:szCs w:val="21"/>
                      <w:highlight w:val="none"/>
                      <w:lang w:val="en-US" w:eastAsia="zh-CN"/>
                    </w:rPr>
                    <w:t>国家产业规划、产业政策、</w:t>
                  </w:r>
                  <w:r>
                    <w:rPr>
                      <w:rFonts w:hint="eastAsia" w:ascii="Times New Roman" w:hAnsi="Times New Roman" w:cs="Times New Roman"/>
                      <w:color w:val="000000"/>
                      <w:sz w:val="21"/>
                      <w:szCs w:val="21"/>
                      <w:highlight w:val="none"/>
                      <w:lang w:val="en-US" w:eastAsia="zh-CN"/>
                    </w:rPr>
                    <w:t>“</w:t>
                  </w:r>
                  <w:r>
                    <w:rPr>
                      <w:rFonts w:hint="default" w:ascii="Times New Roman" w:hAnsi="Times New Roman" w:cs="Times New Roman"/>
                      <w:color w:val="000000"/>
                      <w:sz w:val="21"/>
                      <w:szCs w:val="21"/>
                      <w:highlight w:val="none"/>
                      <w:lang w:val="en-US" w:eastAsia="zh-CN"/>
                    </w:rPr>
                    <w:t>三线一单</w:t>
                  </w:r>
                  <w:r>
                    <w:rPr>
                      <w:rFonts w:hint="eastAsia" w:ascii="Times New Roman" w:hAnsi="Times New Roman" w:cs="Times New Roman"/>
                      <w:color w:val="000000"/>
                      <w:sz w:val="21"/>
                      <w:szCs w:val="21"/>
                      <w:highlight w:val="none"/>
                      <w:lang w:val="en-US" w:eastAsia="zh-CN"/>
                    </w:rPr>
                    <w:t>”的要求</w:t>
                  </w:r>
                  <w:r>
                    <w:rPr>
                      <w:rFonts w:hint="eastAsia" w:cs="Times New Roman"/>
                      <w:color w:val="000000"/>
                      <w:sz w:val="21"/>
                      <w:szCs w:val="21"/>
                      <w:highlight w:val="none"/>
                      <w:lang w:val="en-US" w:eastAsia="zh-CN"/>
                    </w:rPr>
                    <w:t>。</w:t>
                  </w:r>
                </w:p>
              </w:tc>
              <w:tc>
                <w:tcPr>
                  <w:tcW w:w="335" w:type="pct"/>
                  <w:tcBorders>
                    <w:tl2br w:val="nil"/>
                    <w:tr2bl w:val="nil"/>
                  </w:tcBorders>
                  <w:shd w:val="clear" w:color="auto" w:fill="auto"/>
                  <w:noWrap w:val="0"/>
                  <w:vAlign w:val="center"/>
                </w:tcPr>
                <w:p w14:paraId="238DC4BB">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符合</w:t>
                  </w:r>
                </w:p>
              </w:tc>
            </w:tr>
            <w:tr w14:paraId="3AB21B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34" w:hRule="atLeast"/>
                <w:jc w:val="center"/>
              </w:trPr>
              <w:tc>
                <w:tcPr>
                  <w:tcW w:w="847" w:type="pct"/>
                  <w:vMerge w:val="continue"/>
                  <w:tcBorders>
                    <w:tl2br w:val="nil"/>
                    <w:tr2bl w:val="nil"/>
                  </w:tcBorders>
                  <w:shd w:val="clear" w:color="auto" w:fill="auto"/>
                  <w:noWrap w:val="0"/>
                  <w:vAlign w:val="center"/>
                </w:tcPr>
                <w:p w14:paraId="0E00AFD8">
                  <w:pPr>
                    <w:shd w:val="clear" w:color="auto" w:fill="auto"/>
                    <w:adjustRightInd w:val="0"/>
                    <w:snapToGrid w:val="0"/>
                    <w:jc w:val="center"/>
                    <w:rPr>
                      <w:rFonts w:hint="default" w:ascii="Times New Roman" w:hAnsi="Times New Roman" w:cs="Times New Roman"/>
                      <w:color w:val="000000"/>
                      <w:sz w:val="21"/>
                      <w:szCs w:val="21"/>
                      <w:highlight w:val="none"/>
                      <w:lang w:val="en-US" w:eastAsia="zh-CN"/>
                    </w:rPr>
                  </w:pPr>
                </w:p>
              </w:tc>
              <w:tc>
                <w:tcPr>
                  <w:tcW w:w="1915" w:type="pct"/>
                  <w:tcBorders>
                    <w:tl2br w:val="nil"/>
                    <w:tr2bl w:val="nil"/>
                  </w:tcBorders>
                  <w:shd w:val="clear" w:color="auto" w:fill="auto"/>
                  <w:noWrap w:val="0"/>
                  <w:vAlign w:val="center"/>
                </w:tcPr>
                <w:p w14:paraId="17AC840C">
                  <w:pPr>
                    <w:shd w:val="clear" w:color="auto" w:fill="auto"/>
                    <w:adjustRightInd w:val="0"/>
                    <w:snapToGrid w:val="0"/>
                    <w:jc w:val="center"/>
                    <w:rPr>
                      <w:rFonts w:hint="eastAsia" w:ascii="Times New Roman" w:hAnsi="Times New Roman"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以城市建成区为重点</w:t>
                  </w:r>
                  <w:r>
                    <w:rPr>
                      <w:rFonts w:hint="eastAsia" w:ascii="Times New Roman" w:hAnsi="Times New Roman" w:eastAsia="宋体"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逐步扩大禁燃区范围。2024年底前</w:t>
                  </w:r>
                  <w:r>
                    <w:rPr>
                      <w:rFonts w:hint="eastAsia" w:ascii="Times New Roman" w:hAnsi="Times New Roman" w:eastAsia="宋体"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各县</w:t>
                  </w:r>
                  <w:r>
                    <w:rPr>
                      <w:rFonts w:hint="eastAsia"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区</w:t>
                  </w:r>
                  <w:r>
                    <w:rPr>
                      <w:rFonts w:hint="eastAsia"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应依法将平原地区划定为高污染燃料禁燃区。禁燃区禁止销售、使用高污染燃料</w:t>
                  </w:r>
                  <w:r>
                    <w:rPr>
                      <w:rFonts w:hint="eastAsia"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35蒸吨及以上锅炉、火力发电企业机组除外</w:t>
                  </w:r>
                  <w:r>
                    <w:rPr>
                      <w:rFonts w:hint="eastAsia"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w:t>
                  </w:r>
                </w:p>
              </w:tc>
              <w:tc>
                <w:tcPr>
                  <w:tcW w:w="1901" w:type="pct"/>
                  <w:tcBorders>
                    <w:tl2br w:val="nil"/>
                    <w:tr2bl w:val="nil"/>
                  </w:tcBorders>
                  <w:shd w:val="clear" w:color="auto" w:fill="auto"/>
                  <w:noWrap w:val="0"/>
                  <w:vAlign w:val="center"/>
                </w:tcPr>
                <w:p w14:paraId="60AF84B2">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shd w:val="clear" w:color="auto" w:fill="FFFFFF"/>
                      <w:lang w:val="en-US" w:eastAsia="zh-CN"/>
                    </w:rPr>
                    <w:t>本项目位于禁燃区范围内，项目使用的能源为电和天然气，不涉及煤炭等高污染燃料的使用。</w:t>
                  </w:r>
                </w:p>
              </w:tc>
              <w:tc>
                <w:tcPr>
                  <w:tcW w:w="335" w:type="pct"/>
                  <w:tcBorders>
                    <w:tl2br w:val="nil"/>
                    <w:tr2bl w:val="nil"/>
                  </w:tcBorders>
                  <w:shd w:val="clear" w:color="auto" w:fill="auto"/>
                  <w:noWrap w:val="0"/>
                  <w:vAlign w:val="center"/>
                </w:tcPr>
                <w:p w14:paraId="2ABFC5B9">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符合</w:t>
                  </w:r>
                </w:p>
              </w:tc>
            </w:tr>
            <w:tr w14:paraId="0F0725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PrEx>
              <w:trPr>
                <w:trHeight w:val="90" w:hRule="atLeast"/>
                <w:jc w:val="center"/>
              </w:trPr>
              <w:tc>
                <w:tcPr>
                  <w:tcW w:w="847" w:type="pct"/>
                  <w:tcBorders>
                    <w:tl2br w:val="nil"/>
                    <w:tr2bl w:val="nil"/>
                  </w:tcBorders>
                  <w:shd w:val="clear" w:color="auto" w:fill="auto"/>
                  <w:noWrap w:val="0"/>
                  <w:vAlign w:val="center"/>
                </w:tcPr>
                <w:p w14:paraId="75F601F8">
                  <w:pPr>
                    <w:pStyle w:val="61"/>
                    <w:shd w:val="clear" w:color="auto" w:fill="auto"/>
                    <w:adjustRightInd w:val="0"/>
                    <w:snapToGrid w:val="0"/>
                    <w:spacing w:line="240" w:lineRule="auto"/>
                    <w:ind w:left="0" w:leftChars="0" w:firstLine="0" w:firstLine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《宝鸡市环境空气质量限期达标规划》（2023-2030年）</w:t>
                  </w:r>
                </w:p>
              </w:tc>
              <w:tc>
                <w:tcPr>
                  <w:tcW w:w="1915" w:type="pct"/>
                  <w:tcBorders>
                    <w:tl2br w:val="nil"/>
                    <w:tr2bl w:val="nil"/>
                  </w:tcBorders>
                  <w:shd w:val="clear" w:color="auto" w:fill="auto"/>
                  <w:noWrap w:val="0"/>
                  <w:vAlign w:val="center"/>
                </w:tcPr>
                <w:p w14:paraId="7D93736F">
                  <w:pPr>
                    <w:pStyle w:val="112"/>
                    <w:shd w:val="clear" w:color="auto" w:fill="auto"/>
                    <w:adjustRightInd w:val="0"/>
                    <w:snapToGrid w:val="0"/>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坚决遏制“两高”项目盲目发展。严格能耗、环保、质量、安全、技术等综合标准，严禁新增钢铁、焦化、水泥熟料、平板玻璃、电解铝、氧化铝、煤化工</w:t>
                  </w:r>
                  <w:r>
                    <w:rPr>
                      <w:rFonts w:hint="eastAsia"/>
                      <w:lang w:val="en-US" w:eastAsia="zh-CN"/>
                    </w:rPr>
                    <w:t>等</w:t>
                  </w:r>
                  <w:r>
                    <w:rPr>
                      <w:rFonts w:hint="eastAsia" w:ascii="Times New Roman" w:hAnsi="Times New Roman" w:eastAsia="宋体" w:cs="Times New Roman"/>
                      <w:color w:val="000000"/>
                      <w:kern w:val="2"/>
                      <w:sz w:val="21"/>
                      <w:szCs w:val="21"/>
                      <w:highlight w:val="none"/>
                      <w:lang w:val="en-US" w:eastAsia="zh-CN" w:bidi="ar-SA"/>
                    </w:rPr>
                    <w:t>产能，合理控制煤制油气产能规模，严控新增炼油产能。不得违规新增化工园区</w:t>
                  </w:r>
                  <w:r>
                    <w:rPr>
                      <w:rFonts w:hint="eastAsia" w:cs="Times New Roman"/>
                      <w:color w:val="000000"/>
                      <w:kern w:val="2"/>
                      <w:sz w:val="21"/>
                      <w:szCs w:val="21"/>
                      <w:highlight w:val="none"/>
                      <w:lang w:val="en-US" w:eastAsia="zh-CN" w:bidi="ar-SA"/>
                    </w:rPr>
                    <w:t>项目</w:t>
                  </w:r>
                  <w:r>
                    <w:rPr>
                      <w:rFonts w:hint="eastAsia" w:ascii="Times New Roman" w:hAnsi="Times New Roman" w:eastAsia="宋体" w:cs="Times New Roman"/>
                      <w:color w:val="000000"/>
                      <w:kern w:val="2"/>
                      <w:sz w:val="21"/>
                      <w:szCs w:val="21"/>
                      <w:highlight w:val="none"/>
                      <w:lang w:val="en-US" w:eastAsia="zh-CN" w:bidi="ar-SA"/>
                    </w:rPr>
                    <w:t>。严格执行《产业结构调整指导目录》，坚决遏制“两高”项目盲目发展</w:t>
                  </w:r>
                  <w:r>
                    <w:rPr>
                      <w:rFonts w:hint="eastAsia"/>
                      <w:lang w:eastAsia="zh-CN"/>
                    </w:rPr>
                    <w:t>。</w:t>
                  </w:r>
                </w:p>
              </w:tc>
              <w:tc>
                <w:tcPr>
                  <w:tcW w:w="1901" w:type="pct"/>
                  <w:tcBorders>
                    <w:tl2br w:val="nil"/>
                    <w:tr2bl w:val="nil"/>
                  </w:tcBorders>
                  <w:shd w:val="clear" w:color="auto" w:fill="auto"/>
                  <w:noWrap w:val="0"/>
                  <w:vAlign w:val="center"/>
                </w:tcPr>
                <w:p w14:paraId="6DC73D9D">
                  <w:pPr>
                    <w:pStyle w:val="112"/>
                    <w:shd w:val="clear" w:color="auto" w:fill="auto"/>
                    <w:adjustRightInd w:val="0"/>
                    <w:snapToGrid w:val="0"/>
                    <w:rPr>
                      <w:rFonts w:hint="eastAsia"/>
                      <w:snapToGrid w:val="0"/>
                      <w:color w:val="000000"/>
                      <w:kern w:val="2"/>
                      <w:sz w:val="21"/>
                      <w:szCs w:val="21"/>
                      <w:highlight w:val="none"/>
                      <w:lang w:val="en-US" w:eastAsia="zh-CN" w:bidi="ar-SA"/>
                    </w:rPr>
                  </w:pPr>
                  <w:r>
                    <w:rPr>
                      <w:rFonts w:hint="eastAsia" w:ascii="Times New Roman" w:hAnsi="Times New Roman" w:cs="Times New Roman"/>
                      <w:bCs/>
                      <w:color w:val="000000"/>
                      <w:kern w:val="2"/>
                      <w:sz w:val="21"/>
                      <w:szCs w:val="21"/>
                      <w:highlight w:val="none"/>
                      <w:lang w:val="en-US" w:eastAsia="zh-CN" w:bidi="ar-SA"/>
                    </w:rPr>
                    <w:t>根据</w:t>
                  </w:r>
                  <w:r>
                    <w:rPr>
                      <w:rFonts w:hint="eastAsia"/>
                      <w:bCs/>
                      <w:color w:val="000000"/>
                      <w:highlight w:val="none"/>
                      <w:shd w:val="clear" w:color="auto" w:fill="auto"/>
                      <w:lang w:val="en-US" w:eastAsia="zh-CN"/>
                    </w:rPr>
                    <w:t>《陕西省“两高”项目管理暂行目录》（2022年版），本项目不属于</w:t>
                  </w:r>
                  <w:r>
                    <w:rPr>
                      <w:rFonts w:hint="eastAsia" w:ascii="Times New Roman" w:hAnsi="Times New Roman" w:eastAsia="宋体" w:cs="Times New Roman"/>
                      <w:color w:val="000000"/>
                      <w:kern w:val="2"/>
                      <w:sz w:val="21"/>
                      <w:szCs w:val="21"/>
                      <w:highlight w:val="none"/>
                      <w:lang w:val="en-US" w:eastAsia="zh-CN" w:bidi="ar-SA"/>
                    </w:rPr>
                    <w:t>“两高”</w:t>
                  </w:r>
                  <w:r>
                    <w:rPr>
                      <w:rFonts w:hint="eastAsia"/>
                      <w:bCs/>
                      <w:color w:val="000000"/>
                      <w:highlight w:val="none"/>
                      <w:shd w:val="clear" w:color="auto" w:fill="auto"/>
                      <w:lang w:val="en-US" w:eastAsia="zh-CN"/>
                    </w:rPr>
                    <w:t>行业，且根据《产业结构调整指导目录》（2024年版），本项目属于允许类</w:t>
                  </w:r>
                  <w:r>
                    <w:rPr>
                      <w:rFonts w:hint="eastAsia"/>
                      <w:bCs/>
                      <w:color w:val="0000FF"/>
                      <w:highlight w:val="none"/>
                      <w:shd w:val="clear" w:color="auto" w:fill="auto"/>
                      <w:lang w:val="en-US" w:eastAsia="zh-CN"/>
                    </w:rPr>
                    <w:t>项目</w:t>
                  </w:r>
                  <w:r>
                    <w:rPr>
                      <w:rFonts w:hint="eastAsia"/>
                      <w:bCs/>
                      <w:color w:val="000000"/>
                      <w:highlight w:val="none"/>
                      <w:shd w:val="clear" w:color="auto" w:fill="auto"/>
                      <w:lang w:val="en-US" w:eastAsia="zh-CN"/>
                    </w:rPr>
                    <w:t>。</w:t>
                  </w:r>
                </w:p>
              </w:tc>
              <w:tc>
                <w:tcPr>
                  <w:tcW w:w="335" w:type="pct"/>
                  <w:tcBorders>
                    <w:tl2br w:val="nil"/>
                    <w:tr2bl w:val="nil"/>
                  </w:tcBorders>
                  <w:shd w:val="clear" w:color="auto" w:fill="auto"/>
                  <w:noWrap w:val="0"/>
                  <w:vAlign w:val="center"/>
                </w:tcPr>
                <w:p w14:paraId="7E1B0665">
                  <w:pPr>
                    <w:pStyle w:val="112"/>
                    <w:shd w:val="clear" w:color="auto" w:fill="auto"/>
                    <w:adjustRightInd w:val="0"/>
                    <w:snapToGrid w:val="0"/>
                    <w:rPr>
                      <w:rFonts w:hint="eastAsia"/>
                      <w:color w:val="000000"/>
                      <w:kern w:val="2"/>
                      <w:sz w:val="21"/>
                      <w:szCs w:val="21"/>
                      <w:highlight w:val="none"/>
                      <w:lang w:val="en-US" w:eastAsia="zh-CN" w:bidi="ar-SA"/>
                    </w:rPr>
                  </w:pPr>
                  <w:r>
                    <w:rPr>
                      <w:rFonts w:hint="eastAsia"/>
                      <w:color w:val="000000"/>
                      <w:szCs w:val="21"/>
                      <w:highlight w:val="none"/>
                      <w:lang w:val="en-US" w:eastAsia="zh-CN"/>
                    </w:rPr>
                    <w:t>符合</w:t>
                  </w:r>
                </w:p>
              </w:tc>
            </w:tr>
            <w:tr w14:paraId="68F7F6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41" w:hRule="atLeast"/>
                <w:jc w:val="center"/>
              </w:trPr>
              <w:tc>
                <w:tcPr>
                  <w:tcW w:w="847" w:type="pct"/>
                  <w:tcBorders>
                    <w:tl2br w:val="nil"/>
                    <w:tr2bl w:val="nil"/>
                  </w:tcBorders>
                  <w:shd w:val="clear" w:color="auto" w:fill="auto"/>
                  <w:noWrap w:val="0"/>
                  <w:vAlign w:val="center"/>
                </w:tcPr>
                <w:p w14:paraId="1F1D5E7E">
                  <w:pPr>
                    <w:shd w:val="clear" w:color="auto" w:fill="auto"/>
                    <w:jc w:val="center"/>
                    <w:rPr>
                      <w:rFonts w:hint="eastAsia" w:ascii="Times New Roman" w:hAnsi="Times New Roman" w:eastAsia="宋体" w:cs="Times New Roman"/>
                      <w:color w:val="000000"/>
                      <w:kern w:val="2"/>
                      <w:sz w:val="21"/>
                      <w:szCs w:val="24"/>
                      <w:highlight w:val="none"/>
                      <w:lang w:val="en-US" w:eastAsia="zh-CN" w:bidi="ar-SA"/>
                    </w:rPr>
                  </w:pPr>
                  <w:r>
                    <w:rPr>
                      <w:rFonts w:hint="eastAsia" w:ascii="Times New Roman" w:hAnsi="Times New Roman" w:eastAsia="宋体"/>
                      <w:color w:val="000000"/>
                      <w:highlight w:val="none"/>
                    </w:rPr>
                    <w:t>《宝鸡市水污染防治工作方案》</w:t>
                  </w:r>
                </w:p>
              </w:tc>
              <w:tc>
                <w:tcPr>
                  <w:tcW w:w="1915" w:type="pct"/>
                  <w:tcBorders>
                    <w:tl2br w:val="nil"/>
                    <w:tr2bl w:val="nil"/>
                  </w:tcBorders>
                  <w:shd w:val="clear" w:color="auto" w:fill="auto"/>
                  <w:noWrap w:val="0"/>
                  <w:vAlign w:val="center"/>
                </w:tcPr>
                <w:p w14:paraId="6754A930">
                  <w:pPr>
                    <w:shd w:val="clear" w:color="auto" w:fill="auto"/>
                    <w:jc w:val="center"/>
                    <w:rPr>
                      <w:rFonts w:hint="eastAsia" w:ascii="Times New Roman" w:hAnsi="Times New Roman" w:eastAsia="宋体" w:cs="Times New Roman"/>
                      <w:color w:val="000000"/>
                      <w:kern w:val="2"/>
                      <w:sz w:val="21"/>
                      <w:szCs w:val="24"/>
                      <w:highlight w:val="none"/>
                      <w:lang w:val="en-US" w:eastAsia="zh-CN" w:bidi="ar-SA"/>
                    </w:rPr>
                  </w:pPr>
                  <w:r>
                    <w:rPr>
                      <w:rFonts w:ascii="Times New Roman" w:hAnsi="Times New Roman" w:eastAsia="宋体"/>
                      <w:color w:val="000000"/>
                      <w:highlight w:val="none"/>
                    </w:rPr>
                    <w:t>集中治理工业集聚区水污染。强化高新技术开发区、经济技术开发区、工业园区等工业集聚区污染治理。集聚区内工业废水必须经预处理达到集中处理要求后，方可进入污水集中处理设施</w:t>
                  </w:r>
                  <w:r>
                    <w:rPr>
                      <w:rFonts w:hint="eastAsia"/>
                      <w:color w:val="000000"/>
                      <w:highlight w:val="none"/>
                      <w:lang w:eastAsia="zh-CN"/>
                    </w:rPr>
                    <w:t>。</w:t>
                  </w:r>
                </w:p>
              </w:tc>
              <w:tc>
                <w:tcPr>
                  <w:tcW w:w="1901" w:type="pct"/>
                  <w:tcBorders>
                    <w:tl2br w:val="nil"/>
                    <w:tr2bl w:val="nil"/>
                  </w:tcBorders>
                  <w:shd w:val="clear" w:color="auto" w:fill="auto"/>
                  <w:noWrap w:val="0"/>
                  <w:vAlign w:val="center"/>
                </w:tcPr>
                <w:p w14:paraId="34CFCFD6">
                  <w:pPr>
                    <w:pStyle w:val="203"/>
                    <w:shd w:val="clear" w:color="auto" w:fill="auto"/>
                    <w:spacing w:line="240" w:lineRule="auto"/>
                    <w:ind w:left="0" w:leftChars="0" w:firstLine="0" w:firstLineChars="0"/>
                    <w:jc w:val="center"/>
                    <w:rPr>
                      <w:rFonts w:hint="default"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cs="Times New Roman"/>
                      <w:bCs/>
                      <w:color w:val="000000"/>
                      <w:kern w:val="2"/>
                      <w:sz w:val="21"/>
                      <w:szCs w:val="21"/>
                      <w:highlight w:val="none"/>
                      <w:shd w:val="clear" w:color="auto" w:fill="auto"/>
                      <w:lang w:val="en-US" w:eastAsia="zh-CN" w:bidi="ar-SA"/>
                    </w:rPr>
                    <w:t>本项目生活污水经隔油池和化粪池处理后拉运至宝鸡天龙污水处理有限公司，生产废水经厂区污水处理站处理达标后拉运至宝鸡天龙污水处理有限公司。</w:t>
                  </w:r>
                </w:p>
              </w:tc>
              <w:tc>
                <w:tcPr>
                  <w:tcW w:w="335" w:type="pct"/>
                  <w:tcBorders>
                    <w:tl2br w:val="nil"/>
                    <w:tr2bl w:val="nil"/>
                  </w:tcBorders>
                  <w:shd w:val="clear" w:color="auto" w:fill="auto"/>
                  <w:noWrap w:val="0"/>
                  <w:vAlign w:val="center"/>
                </w:tcPr>
                <w:p w14:paraId="4DF14AAE">
                  <w:pPr>
                    <w:shd w:val="clear" w:color="auto" w:fill="auto"/>
                    <w:adjustRightInd w:val="0"/>
                    <w:snapToGrid w:val="0"/>
                    <w:jc w:val="center"/>
                    <w:rPr>
                      <w:rFonts w:hint="eastAsia"/>
                      <w:color w:val="000000"/>
                      <w:sz w:val="21"/>
                      <w:szCs w:val="21"/>
                      <w:highlight w:val="none"/>
                      <w:lang w:val="en-US" w:eastAsia="zh-CN"/>
                    </w:rPr>
                  </w:pPr>
                  <w:r>
                    <w:rPr>
                      <w:rFonts w:hint="eastAsia"/>
                      <w:color w:val="000000"/>
                      <w:sz w:val="21"/>
                      <w:szCs w:val="21"/>
                      <w:highlight w:val="none"/>
                      <w:lang w:val="en-US" w:eastAsia="zh-CN"/>
                    </w:rPr>
                    <w:t>符合</w:t>
                  </w:r>
                </w:p>
              </w:tc>
            </w:tr>
            <w:tr w14:paraId="7FD5E3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41" w:hRule="atLeast"/>
                <w:jc w:val="center"/>
              </w:trPr>
              <w:tc>
                <w:tcPr>
                  <w:tcW w:w="847" w:type="pct"/>
                  <w:vMerge w:val="restart"/>
                  <w:tcBorders>
                    <w:tl2br w:val="nil"/>
                    <w:tr2bl w:val="nil"/>
                  </w:tcBorders>
                  <w:shd w:val="clear" w:color="auto" w:fill="auto"/>
                  <w:noWrap w:val="0"/>
                  <w:vAlign w:val="center"/>
                </w:tcPr>
                <w:p w14:paraId="32CAFB97">
                  <w:pPr>
                    <w:shd w:val="clear" w:color="auto" w:fill="auto"/>
                    <w:jc w:val="center"/>
                    <w:rPr>
                      <w:rFonts w:hint="eastAsia" w:ascii="Times New Roman" w:hAnsi="Times New Roman" w:eastAsia="宋体"/>
                      <w:color w:val="000000"/>
                      <w:highlight w:val="none"/>
                    </w:rPr>
                  </w:pPr>
                  <w:r>
                    <w:rPr>
                      <w:rFonts w:hint="eastAsia" w:ascii="Times New Roman" w:hAnsi="Times New Roman" w:eastAsia="宋体"/>
                      <w:color w:val="000000"/>
                      <w:highlight w:val="none"/>
                      <w:lang w:val="en-US" w:eastAsia="zh-CN"/>
                    </w:rPr>
                    <w:t>宝鸡市凤翔区人民政府《关于宝鸡市凤翔区高污染燃料禁燃区划定和管控工作的通知》（宝凤政函〔2023〕43号）</w:t>
                  </w:r>
                </w:p>
              </w:tc>
              <w:tc>
                <w:tcPr>
                  <w:tcW w:w="1915" w:type="pct"/>
                  <w:tcBorders>
                    <w:tl2br w:val="nil"/>
                    <w:tr2bl w:val="nil"/>
                  </w:tcBorders>
                  <w:shd w:val="clear" w:color="auto" w:fill="auto"/>
                  <w:noWrap w:val="0"/>
                  <w:vAlign w:val="center"/>
                </w:tcPr>
                <w:p w14:paraId="5E8896B4">
                  <w:pPr>
                    <w:shd w:val="clear" w:color="auto" w:fill="auto"/>
                    <w:jc w:val="center"/>
                    <w:rPr>
                      <w:rFonts w:hint="eastAsia" w:ascii="Times New Roman" w:hAnsi="Times New Roman" w:eastAsia="宋体"/>
                      <w:color w:val="000000"/>
                      <w:highlight w:val="none"/>
                      <w:lang w:eastAsia="zh-CN"/>
                    </w:rPr>
                  </w:pPr>
                  <w:r>
                    <w:rPr>
                      <w:rFonts w:ascii="Times New Roman" w:hAnsi="Times New Roman" w:eastAsia="宋体"/>
                      <w:color w:val="000000"/>
                      <w:highlight w:val="none"/>
                    </w:rPr>
                    <w:t>一</w:t>
                  </w:r>
                  <w:r>
                    <w:rPr>
                      <w:rFonts w:hint="default" w:ascii="Times New Roman" w:hAnsi="Times New Roman" w:eastAsia="宋体"/>
                      <w:color w:val="000000"/>
                      <w:highlight w:val="none"/>
                    </w:rPr>
                    <w:t>、禁燃区范围</w:t>
                  </w:r>
                  <w:r>
                    <w:rPr>
                      <w:rFonts w:hint="eastAsia" w:ascii="Times New Roman" w:hAnsi="Times New Roman" w:eastAsia="宋体"/>
                      <w:color w:val="000000"/>
                      <w:highlight w:val="none"/>
                      <w:lang w:eastAsia="zh-CN"/>
                    </w:rPr>
                    <w:t>：</w:t>
                  </w:r>
                  <w:r>
                    <w:rPr>
                      <w:rFonts w:hint="eastAsia" w:ascii="Times New Roman" w:hAnsi="Times New Roman" w:eastAsia="宋体"/>
                      <w:color w:val="000000"/>
                      <w:highlight w:val="none"/>
                      <w:lang w:val="en-US" w:eastAsia="zh-CN"/>
                    </w:rPr>
                    <w:t>全区除糜杆桥镇五曲湾村、范家寨镇老女沟村、陈村镇蔡阳山村、姚家沟镇全域4个村以及柳林镇北斗坊村、会山村、关村、汉封村、程家塬村、洛城村</w:t>
                  </w:r>
                  <w:r>
                    <w:rPr>
                      <w:rFonts w:hint="eastAsia"/>
                      <w:color w:val="000000"/>
                      <w:highlight w:val="none"/>
                      <w:lang w:val="en-US" w:eastAsia="zh-CN"/>
                    </w:rPr>
                    <w:t>等</w:t>
                  </w:r>
                  <w:r>
                    <w:rPr>
                      <w:rFonts w:hint="eastAsia" w:ascii="Times New Roman" w:hAnsi="Times New Roman" w:eastAsia="宋体"/>
                      <w:color w:val="000000"/>
                      <w:highlight w:val="none"/>
                      <w:lang w:val="en-US" w:eastAsia="zh-CN"/>
                    </w:rPr>
                    <w:t>总共13个山区行政村以外的147个平原行政村为禁燃区；东至横水镇尹稼坞村北至范家寨镇临阵坡村，西至长青镇长青村，南至虢王镇万丰村，不含糜杆桥镇西关村以北、省道S210东侧占地约180亩的储煤区和横水镇横水村占地100亩的凤翔县胜利煤业有限公司，禁燃区总面积610平方公里。</w:t>
                  </w:r>
                </w:p>
              </w:tc>
              <w:tc>
                <w:tcPr>
                  <w:tcW w:w="1901" w:type="pct"/>
                  <w:tcBorders>
                    <w:tl2br w:val="nil"/>
                    <w:tr2bl w:val="nil"/>
                  </w:tcBorders>
                  <w:shd w:val="clear" w:color="auto" w:fill="auto"/>
                  <w:noWrap w:val="0"/>
                  <w:vAlign w:val="center"/>
                </w:tcPr>
                <w:p w14:paraId="2C95B70C">
                  <w:pPr>
                    <w:pStyle w:val="203"/>
                    <w:shd w:val="clear" w:color="auto" w:fill="auto"/>
                    <w:spacing w:line="240" w:lineRule="auto"/>
                    <w:ind w:left="0" w:leftChars="0" w:firstLine="0" w:firstLineChars="0"/>
                    <w:jc w:val="center"/>
                    <w:rPr>
                      <w:rFonts w:hint="default" w:ascii="Times New Roman" w:hAnsi="Times New Roman" w:cs="Times New Roman"/>
                      <w:bCs/>
                      <w:color w:val="000000"/>
                      <w:kern w:val="2"/>
                      <w:sz w:val="21"/>
                      <w:szCs w:val="21"/>
                      <w:highlight w:val="none"/>
                      <w:lang w:val="en-US" w:eastAsia="zh-CN" w:bidi="ar-SA"/>
                    </w:rPr>
                  </w:pPr>
                  <w:r>
                    <w:rPr>
                      <w:rFonts w:hint="eastAsia"/>
                      <w:color w:val="auto"/>
                      <w:sz w:val="21"/>
                      <w:szCs w:val="21"/>
                      <w:highlight w:val="none"/>
                      <w:lang w:val="en-US" w:eastAsia="zh-CN"/>
                    </w:rPr>
                    <w:t>本项目位于宝鸡市凤翔区陈村镇尹家务供销社院内，在禁燃区范围内。</w:t>
                  </w:r>
                </w:p>
              </w:tc>
              <w:tc>
                <w:tcPr>
                  <w:tcW w:w="335" w:type="pct"/>
                  <w:tcBorders>
                    <w:tl2br w:val="nil"/>
                    <w:tr2bl w:val="nil"/>
                  </w:tcBorders>
                  <w:shd w:val="clear" w:color="auto" w:fill="auto"/>
                  <w:noWrap w:val="0"/>
                  <w:vAlign w:val="center"/>
                </w:tcPr>
                <w:p w14:paraId="1460B208">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符合</w:t>
                  </w:r>
                </w:p>
              </w:tc>
            </w:tr>
            <w:tr w14:paraId="544BA0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41" w:hRule="atLeast"/>
                <w:jc w:val="center"/>
              </w:trPr>
              <w:tc>
                <w:tcPr>
                  <w:tcW w:w="847" w:type="pct"/>
                  <w:vMerge w:val="continue"/>
                  <w:tcBorders>
                    <w:tl2br w:val="nil"/>
                    <w:tr2bl w:val="nil"/>
                  </w:tcBorders>
                  <w:shd w:val="clear" w:color="auto" w:fill="auto"/>
                  <w:noWrap w:val="0"/>
                  <w:vAlign w:val="center"/>
                </w:tcPr>
                <w:p w14:paraId="7CD196AD">
                  <w:pPr>
                    <w:shd w:val="clear" w:color="auto" w:fill="auto"/>
                    <w:jc w:val="center"/>
                    <w:rPr>
                      <w:rFonts w:hint="eastAsia" w:ascii="Times New Roman" w:hAnsi="Times New Roman" w:eastAsia="宋体"/>
                      <w:color w:val="000000"/>
                      <w:highlight w:val="none"/>
                      <w:lang w:val="en-US" w:eastAsia="zh-CN"/>
                    </w:rPr>
                  </w:pPr>
                </w:p>
              </w:tc>
              <w:tc>
                <w:tcPr>
                  <w:tcW w:w="1915" w:type="pct"/>
                  <w:tcBorders>
                    <w:tl2br w:val="nil"/>
                    <w:tr2bl w:val="nil"/>
                  </w:tcBorders>
                  <w:shd w:val="clear" w:color="auto" w:fill="auto"/>
                  <w:noWrap w:val="0"/>
                  <w:vAlign w:val="center"/>
                </w:tcPr>
                <w:p w14:paraId="23A490AA">
                  <w:pPr>
                    <w:shd w:val="clear" w:color="auto" w:fill="auto"/>
                    <w:jc w:val="center"/>
                    <w:rPr>
                      <w:rFonts w:hint="eastAsia" w:ascii="Times New Roman" w:hAnsi="Times New Roman" w:eastAsia="宋体"/>
                      <w:color w:val="000000"/>
                      <w:highlight w:val="none"/>
                      <w:lang w:val="en-US" w:eastAsia="zh-CN"/>
                    </w:rPr>
                  </w:pPr>
                  <w:r>
                    <w:rPr>
                      <w:rFonts w:hint="eastAsia" w:ascii="Times New Roman" w:hAnsi="Times New Roman" w:eastAsia="宋体"/>
                      <w:color w:val="000000"/>
                      <w:highlight w:val="none"/>
                      <w:lang w:val="en-US" w:eastAsia="zh-CN"/>
                    </w:rPr>
                    <w:t>二、高污染燃料范围：根据原环保部发布的《高污染燃料目录》，我区高污染燃料禁燃区执行Ⅲ类</w:t>
                  </w:r>
                  <w:r>
                    <w:rPr>
                      <w:rFonts w:hint="eastAsia"/>
                      <w:color w:val="000000"/>
                      <w:highlight w:val="none"/>
                      <w:lang w:val="en-US" w:eastAsia="zh-CN"/>
                    </w:rPr>
                    <w:t>（</w:t>
                  </w:r>
                  <w:r>
                    <w:rPr>
                      <w:rFonts w:hint="eastAsia" w:ascii="Times New Roman" w:hAnsi="Times New Roman" w:eastAsia="宋体"/>
                      <w:color w:val="000000"/>
                      <w:highlight w:val="none"/>
                      <w:lang w:val="en-US" w:eastAsia="zh-CN"/>
                    </w:rPr>
                    <w:t>严格</w:t>
                  </w:r>
                  <w:r>
                    <w:rPr>
                      <w:rFonts w:hint="eastAsia"/>
                      <w:color w:val="000000"/>
                      <w:highlight w:val="none"/>
                      <w:lang w:val="en-US" w:eastAsia="zh-CN"/>
                    </w:rPr>
                    <w:t>）</w:t>
                  </w:r>
                  <w:r>
                    <w:rPr>
                      <w:rFonts w:hint="eastAsia" w:ascii="Times New Roman" w:hAnsi="Times New Roman" w:eastAsia="宋体"/>
                      <w:color w:val="000000"/>
                      <w:highlight w:val="none"/>
                      <w:lang w:val="en-US" w:eastAsia="zh-CN"/>
                    </w:rPr>
                    <w:t>要求，禁止使用下列高污染燃料：</w:t>
                  </w:r>
                  <w:r>
                    <w:rPr>
                      <w:rFonts w:hint="eastAsia"/>
                      <w:color w:val="000000"/>
                      <w:highlight w:val="none"/>
                      <w:lang w:val="en-US" w:eastAsia="zh-CN"/>
                    </w:rPr>
                    <w:t>（</w:t>
                  </w:r>
                  <w:r>
                    <w:rPr>
                      <w:rFonts w:hint="eastAsia" w:ascii="Times New Roman" w:hAnsi="Times New Roman" w:eastAsia="宋体"/>
                      <w:color w:val="000000"/>
                      <w:highlight w:val="none"/>
                      <w:lang w:val="en-US" w:eastAsia="zh-CN"/>
                    </w:rPr>
                    <w:t>一</w:t>
                  </w:r>
                  <w:r>
                    <w:rPr>
                      <w:rFonts w:hint="eastAsia"/>
                      <w:color w:val="000000"/>
                      <w:highlight w:val="none"/>
                      <w:lang w:val="en-US" w:eastAsia="zh-CN"/>
                    </w:rPr>
                    <w:t>）</w:t>
                  </w:r>
                  <w:r>
                    <w:rPr>
                      <w:rFonts w:hint="eastAsia" w:ascii="Times New Roman" w:hAnsi="Times New Roman" w:eastAsia="宋体"/>
                      <w:color w:val="000000"/>
                      <w:highlight w:val="none"/>
                      <w:lang w:val="en-US" w:eastAsia="zh-CN"/>
                    </w:rPr>
                    <w:t>煤炭及其制品</w:t>
                  </w:r>
                  <w:r>
                    <w:rPr>
                      <w:rFonts w:hint="eastAsia"/>
                      <w:color w:val="000000"/>
                      <w:highlight w:val="none"/>
                      <w:lang w:val="en-US" w:eastAsia="zh-CN"/>
                    </w:rPr>
                    <w:t>（</w:t>
                  </w:r>
                  <w:r>
                    <w:rPr>
                      <w:rFonts w:hint="eastAsia" w:ascii="Times New Roman" w:hAnsi="Times New Roman" w:eastAsia="宋体"/>
                      <w:color w:val="000000"/>
                      <w:highlight w:val="none"/>
                      <w:lang w:val="en-US" w:eastAsia="zh-CN"/>
                    </w:rPr>
                    <w:t>包括原煤、散煤、煤矸石、煤泥、煤粉、水煤浆、型煤、焦炭、兰炭等</w:t>
                  </w:r>
                  <w:r>
                    <w:rPr>
                      <w:rFonts w:hint="eastAsia"/>
                      <w:color w:val="000000"/>
                      <w:highlight w:val="none"/>
                      <w:lang w:val="en-US" w:eastAsia="zh-CN"/>
                    </w:rPr>
                    <w:t>）</w:t>
                  </w:r>
                  <w:r>
                    <w:rPr>
                      <w:rFonts w:hint="eastAsia" w:ascii="Times New Roman" w:hAnsi="Times New Roman" w:eastAsia="宋体"/>
                      <w:color w:val="000000"/>
                      <w:highlight w:val="none"/>
                      <w:lang w:val="en-US" w:eastAsia="zh-CN"/>
                    </w:rPr>
                    <w:t>。</w:t>
                  </w:r>
                  <w:r>
                    <w:rPr>
                      <w:rFonts w:hint="eastAsia"/>
                      <w:color w:val="000000"/>
                      <w:highlight w:val="none"/>
                      <w:lang w:val="en-US" w:eastAsia="zh-CN"/>
                    </w:rPr>
                    <w:t>（</w:t>
                  </w:r>
                  <w:r>
                    <w:rPr>
                      <w:rFonts w:hint="eastAsia" w:ascii="Times New Roman" w:hAnsi="Times New Roman" w:eastAsia="宋体"/>
                      <w:color w:val="000000"/>
                      <w:highlight w:val="none"/>
                      <w:lang w:val="en-US" w:eastAsia="zh-CN"/>
                    </w:rPr>
                    <w:t>二</w:t>
                  </w:r>
                  <w:r>
                    <w:rPr>
                      <w:rFonts w:hint="eastAsia"/>
                      <w:color w:val="000000"/>
                      <w:highlight w:val="none"/>
                      <w:lang w:val="en-US" w:eastAsia="zh-CN"/>
                    </w:rPr>
                    <w:t>）</w:t>
                  </w:r>
                  <w:r>
                    <w:rPr>
                      <w:rFonts w:hint="eastAsia" w:ascii="Times New Roman" w:hAnsi="Times New Roman" w:eastAsia="宋体"/>
                      <w:color w:val="000000"/>
                      <w:highlight w:val="none"/>
                      <w:lang w:val="en-US" w:eastAsia="zh-CN"/>
                    </w:rPr>
                    <w:t>石油焦、油页岩、原油、重油、渣油、煤焦油</w:t>
                  </w:r>
                  <w:r>
                    <w:rPr>
                      <w:rFonts w:hint="eastAsia"/>
                      <w:color w:val="000000"/>
                      <w:highlight w:val="none"/>
                      <w:lang w:val="en-US" w:eastAsia="zh-CN"/>
                    </w:rPr>
                    <w:t>等</w:t>
                  </w:r>
                  <w:r>
                    <w:rPr>
                      <w:rFonts w:hint="eastAsia" w:ascii="Times New Roman" w:hAnsi="Times New Roman" w:eastAsia="宋体"/>
                      <w:color w:val="000000"/>
                      <w:highlight w:val="none"/>
                      <w:lang w:val="en-US" w:eastAsia="zh-CN"/>
                    </w:rPr>
                    <w:t>。</w:t>
                  </w:r>
                  <w:r>
                    <w:rPr>
                      <w:rFonts w:hint="eastAsia"/>
                      <w:color w:val="000000"/>
                      <w:highlight w:val="none"/>
                      <w:lang w:val="en-US" w:eastAsia="zh-CN"/>
                    </w:rPr>
                    <w:t>（</w:t>
                  </w:r>
                  <w:r>
                    <w:rPr>
                      <w:rFonts w:hint="eastAsia" w:ascii="Times New Roman" w:hAnsi="Times New Roman" w:eastAsia="宋体"/>
                      <w:color w:val="000000"/>
                      <w:highlight w:val="none"/>
                      <w:lang w:val="en-US" w:eastAsia="zh-CN"/>
                    </w:rPr>
                    <w:t>三</w:t>
                  </w:r>
                  <w:r>
                    <w:rPr>
                      <w:rFonts w:hint="eastAsia"/>
                      <w:color w:val="000000"/>
                      <w:highlight w:val="none"/>
                      <w:lang w:val="en-US" w:eastAsia="zh-CN"/>
                    </w:rPr>
                    <w:t>）</w:t>
                  </w:r>
                  <w:r>
                    <w:rPr>
                      <w:rFonts w:hint="eastAsia" w:ascii="Times New Roman" w:hAnsi="Times New Roman" w:eastAsia="宋体"/>
                      <w:color w:val="000000"/>
                      <w:highlight w:val="none"/>
                      <w:lang w:val="en-US" w:eastAsia="zh-CN"/>
                    </w:rPr>
                    <w:t>非专用锅炉或未配置高效除尘设施的专用锅炉燃用的</w:t>
                  </w:r>
                  <w:r>
                    <w:rPr>
                      <w:rFonts w:hint="eastAsia"/>
                      <w:color w:val="000000"/>
                      <w:highlight w:val="none"/>
                      <w:lang w:val="en-US" w:eastAsia="zh-CN"/>
                    </w:rPr>
                    <w:t>天然气</w:t>
                  </w:r>
                  <w:r>
                    <w:rPr>
                      <w:rFonts w:hint="eastAsia" w:ascii="Times New Roman" w:hAnsi="Times New Roman" w:eastAsia="宋体"/>
                      <w:color w:val="000000"/>
                      <w:highlight w:val="none"/>
                      <w:lang w:val="en-US" w:eastAsia="zh-CN"/>
                    </w:rPr>
                    <w:t>成型燃料。</w:t>
                  </w:r>
                </w:p>
              </w:tc>
              <w:tc>
                <w:tcPr>
                  <w:tcW w:w="1901" w:type="pct"/>
                  <w:tcBorders>
                    <w:tl2br w:val="nil"/>
                    <w:tr2bl w:val="nil"/>
                  </w:tcBorders>
                  <w:shd w:val="clear" w:color="auto" w:fill="auto"/>
                  <w:noWrap w:val="0"/>
                  <w:vAlign w:val="center"/>
                </w:tcPr>
                <w:p w14:paraId="4B0F2906">
                  <w:pPr>
                    <w:pStyle w:val="203"/>
                    <w:shd w:val="clear" w:color="auto" w:fill="auto"/>
                    <w:spacing w:line="240" w:lineRule="auto"/>
                    <w:ind w:left="0" w:leftChars="0" w:firstLine="0" w:firstLineChars="0"/>
                    <w:jc w:val="center"/>
                    <w:rPr>
                      <w:rFonts w:hint="default" w:ascii="Times New Roman" w:hAnsi="Times New Roman" w:cs="Times New Roman"/>
                      <w:bCs/>
                      <w:color w:val="000000"/>
                      <w:kern w:val="2"/>
                      <w:sz w:val="21"/>
                      <w:szCs w:val="21"/>
                      <w:highlight w:val="none"/>
                      <w:lang w:val="en-US" w:eastAsia="zh-CN" w:bidi="ar-SA"/>
                    </w:rPr>
                  </w:pPr>
                  <w:r>
                    <w:rPr>
                      <w:rFonts w:hint="eastAsia" w:ascii="Times New Roman" w:hAnsi="Times New Roman" w:cs="Times New Roman"/>
                      <w:bCs/>
                      <w:color w:val="000000"/>
                      <w:kern w:val="2"/>
                      <w:sz w:val="21"/>
                      <w:szCs w:val="21"/>
                      <w:highlight w:val="none"/>
                      <w:lang w:val="en-US" w:eastAsia="zh-CN" w:bidi="ar-SA"/>
                    </w:rPr>
                    <w:t>本项目锅炉使用燃料为天然气，不属于高污染燃料。</w:t>
                  </w:r>
                </w:p>
              </w:tc>
              <w:tc>
                <w:tcPr>
                  <w:tcW w:w="335" w:type="pct"/>
                  <w:tcBorders>
                    <w:tl2br w:val="nil"/>
                    <w:tr2bl w:val="nil"/>
                  </w:tcBorders>
                  <w:shd w:val="clear" w:color="auto" w:fill="auto"/>
                  <w:noWrap w:val="0"/>
                  <w:vAlign w:val="center"/>
                </w:tcPr>
                <w:p w14:paraId="0EC8518C">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符合</w:t>
                  </w:r>
                </w:p>
              </w:tc>
            </w:tr>
            <w:tr w14:paraId="504A4BB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47" w:type="pct"/>
                  <w:vMerge w:val="continue"/>
                  <w:tcBorders>
                    <w:tl2br w:val="nil"/>
                    <w:tr2bl w:val="nil"/>
                  </w:tcBorders>
                  <w:shd w:val="clear" w:color="auto" w:fill="auto"/>
                  <w:noWrap w:val="0"/>
                  <w:vAlign w:val="center"/>
                </w:tcPr>
                <w:p w14:paraId="60385A47">
                  <w:pPr>
                    <w:shd w:val="clear" w:color="auto" w:fill="auto"/>
                    <w:jc w:val="center"/>
                    <w:rPr>
                      <w:rFonts w:hint="eastAsia" w:ascii="Times New Roman" w:hAnsi="Times New Roman" w:eastAsia="宋体"/>
                      <w:color w:val="000000"/>
                      <w:highlight w:val="none"/>
                      <w:lang w:val="en-US" w:eastAsia="zh-CN"/>
                    </w:rPr>
                  </w:pPr>
                </w:p>
              </w:tc>
              <w:tc>
                <w:tcPr>
                  <w:tcW w:w="1915" w:type="pct"/>
                  <w:tcBorders>
                    <w:tl2br w:val="nil"/>
                    <w:tr2bl w:val="nil"/>
                  </w:tcBorders>
                  <w:shd w:val="clear" w:color="auto" w:fill="auto"/>
                  <w:noWrap w:val="0"/>
                  <w:vAlign w:val="center"/>
                </w:tcPr>
                <w:p w14:paraId="5B917F83">
                  <w:pPr>
                    <w:shd w:val="clear" w:color="auto" w:fill="auto"/>
                    <w:jc w:val="center"/>
                    <w:rPr>
                      <w:rFonts w:hint="eastAsia" w:ascii="Times New Roman" w:hAnsi="Times New Roman" w:eastAsia="宋体"/>
                      <w:color w:val="000000"/>
                      <w:highlight w:val="none"/>
                      <w:lang w:val="en-US" w:eastAsia="zh-CN"/>
                    </w:rPr>
                  </w:pPr>
                  <w:r>
                    <w:rPr>
                      <w:rFonts w:hint="eastAsia" w:ascii="Times New Roman" w:hAnsi="Times New Roman" w:eastAsia="宋体"/>
                      <w:color w:val="000000"/>
                      <w:highlight w:val="none"/>
                      <w:lang w:val="en-US" w:eastAsia="zh-CN"/>
                    </w:rPr>
                    <w:t>三、工作要求：</w:t>
                  </w:r>
                  <w:r>
                    <w:rPr>
                      <w:rFonts w:hint="eastAsia"/>
                      <w:color w:val="000000"/>
                      <w:highlight w:val="none"/>
                      <w:lang w:val="en-US" w:eastAsia="zh-CN"/>
                    </w:rPr>
                    <w:t>（</w:t>
                  </w:r>
                  <w:r>
                    <w:rPr>
                      <w:rFonts w:hint="eastAsia" w:ascii="Times New Roman" w:hAnsi="Times New Roman" w:eastAsia="宋体"/>
                      <w:color w:val="000000"/>
                      <w:highlight w:val="none"/>
                      <w:lang w:val="en-US" w:eastAsia="zh-CN"/>
                    </w:rPr>
                    <w:t>一</w:t>
                  </w:r>
                  <w:r>
                    <w:rPr>
                      <w:rFonts w:hint="eastAsia"/>
                      <w:color w:val="000000"/>
                      <w:highlight w:val="none"/>
                      <w:lang w:val="en-US" w:eastAsia="zh-CN"/>
                    </w:rPr>
                    <w:t>）</w:t>
                  </w:r>
                  <w:r>
                    <w:rPr>
                      <w:rFonts w:hint="eastAsia" w:ascii="Times New Roman" w:hAnsi="Times New Roman" w:eastAsia="宋体"/>
                      <w:color w:val="000000"/>
                      <w:highlight w:val="none"/>
                      <w:lang w:val="en-US" w:eastAsia="zh-CN"/>
                    </w:rPr>
                    <w:t>禁燃区内禁止新建、扩建燃用高污染燃料的锅炉、窑炉、炉灶等设施，不得将其他燃料燃用设施改造为高污染燃料燃用设施；禁燃区内使用高污染燃料的锅炉、窑炉、炉灶等燃烧设施</w:t>
                  </w:r>
                  <w:r>
                    <w:rPr>
                      <w:rFonts w:hint="eastAsia"/>
                      <w:color w:val="000000"/>
                      <w:highlight w:val="none"/>
                      <w:lang w:val="en-US" w:eastAsia="zh-CN"/>
                    </w:rPr>
                    <w:t>（</w:t>
                  </w:r>
                  <w:r>
                    <w:rPr>
                      <w:rFonts w:hint="eastAsia" w:ascii="Times New Roman" w:hAnsi="Times New Roman" w:eastAsia="宋体"/>
                      <w:color w:val="000000"/>
                      <w:highlight w:val="none"/>
                      <w:lang w:val="en-US" w:eastAsia="zh-CN"/>
                    </w:rPr>
                    <w:t>集中供热、热电联产燃煤锅炉除外</w:t>
                  </w:r>
                  <w:r>
                    <w:rPr>
                      <w:rFonts w:hint="eastAsia"/>
                      <w:color w:val="000000"/>
                      <w:highlight w:val="none"/>
                      <w:lang w:val="en-US" w:eastAsia="zh-CN"/>
                    </w:rPr>
                    <w:t>）</w:t>
                  </w:r>
                  <w:r>
                    <w:rPr>
                      <w:rFonts w:hint="eastAsia" w:ascii="Times New Roman" w:hAnsi="Times New Roman" w:eastAsia="宋体"/>
                      <w:color w:val="000000"/>
                      <w:highlight w:val="none"/>
                      <w:lang w:val="en-US" w:eastAsia="zh-CN"/>
                    </w:rPr>
                    <w:t>应在2023年年底前改用天然气、液化石油气、电或者其他清洁能源，逾期未改用的，不得继续使用。</w:t>
                  </w:r>
                  <w:r>
                    <w:rPr>
                      <w:rFonts w:hint="eastAsia"/>
                      <w:color w:val="000000"/>
                      <w:highlight w:val="none"/>
                      <w:lang w:val="en-US" w:eastAsia="zh-CN"/>
                    </w:rPr>
                    <w:t>（</w:t>
                  </w:r>
                  <w:r>
                    <w:rPr>
                      <w:rFonts w:hint="eastAsia" w:ascii="Times New Roman" w:hAnsi="Times New Roman" w:eastAsia="宋体"/>
                      <w:color w:val="000000"/>
                      <w:highlight w:val="none"/>
                      <w:lang w:val="en-US" w:eastAsia="zh-CN"/>
                    </w:rPr>
                    <w:t>三</w:t>
                  </w:r>
                  <w:r>
                    <w:rPr>
                      <w:rFonts w:hint="eastAsia"/>
                      <w:color w:val="000000"/>
                      <w:highlight w:val="none"/>
                      <w:lang w:val="en-US" w:eastAsia="zh-CN"/>
                    </w:rPr>
                    <w:t>）</w:t>
                  </w:r>
                  <w:r>
                    <w:rPr>
                      <w:rFonts w:hint="eastAsia" w:ascii="Times New Roman" w:hAnsi="Times New Roman" w:eastAsia="宋体"/>
                      <w:color w:val="000000"/>
                      <w:highlight w:val="none"/>
                      <w:lang w:val="en-US" w:eastAsia="zh-CN"/>
                    </w:rPr>
                    <w:t>禁燃区内禁止生产、销售和使用高污染燃料。</w:t>
                  </w:r>
                </w:p>
              </w:tc>
              <w:tc>
                <w:tcPr>
                  <w:tcW w:w="1901" w:type="pct"/>
                  <w:tcBorders>
                    <w:tl2br w:val="nil"/>
                    <w:tr2bl w:val="nil"/>
                  </w:tcBorders>
                  <w:shd w:val="clear" w:color="auto" w:fill="auto"/>
                  <w:noWrap w:val="0"/>
                  <w:vAlign w:val="center"/>
                </w:tcPr>
                <w:p w14:paraId="4CB43D01">
                  <w:pPr>
                    <w:pStyle w:val="203"/>
                    <w:shd w:val="clear" w:color="auto" w:fill="auto"/>
                    <w:spacing w:line="240" w:lineRule="auto"/>
                    <w:ind w:left="0" w:leftChars="0" w:firstLine="0" w:firstLineChars="0"/>
                    <w:jc w:val="center"/>
                    <w:rPr>
                      <w:rFonts w:hint="default" w:ascii="Times New Roman" w:hAnsi="Times New Roman" w:cs="Times New Roman"/>
                      <w:bCs/>
                      <w:color w:val="000000"/>
                      <w:kern w:val="2"/>
                      <w:sz w:val="21"/>
                      <w:szCs w:val="21"/>
                      <w:highlight w:val="none"/>
                      <w:lang w:val="en-US" w:eastAsia="zh-CN" w:bidi="ar-SA"/>
                    </w:rPr>
                  </w:pPr>
                  <w:r>
                    <w:rPr>
                      <w:rFonts w:hint="eastAsia" w:ascii="Times New Roman" w:hAnsi="Times New Roman" w:cs="Times New Roman"/>
                      <w:bCs/>
                      <w:color w:val="000000"/>
                      <w:kern w:val="2"/>
                      <w:sz w:val="21"/>
                      <w:szCs w:val="21"/>
                      <w:highlight w:val="none"/>
                      <w:lang w:val="en-US" w:eastAsia="zh-CN" w:bidi="ar-SA"/>
                    </w:rPr>
                    <w:t>本项目属于新建项目，建设2t/h天然气锅炉2台（1备1用</w:t>
                  </w:r>
                  <w:r>
                    <w:rPr>
                      <w:rFonts w:hint="eastAsia" w:ascii="Times New Roman" w:hAnsi="Times New Roman" w:eastAsia="宋体" w:cs="Times New Roman"/>
                      <w:bCs/>
                      <w:color w:val="000000"/>
                      <w:kern w:val="2"/>
                      <w:sz w:val="21"/>
                      <w:szCs w:val="21"/>
                      <w:highlight w:val="none"/>
                      <w:lang w:val="en-US" w:eastAsia="zh-CN" w:bidi="ar-SA"/>
                    </w:rPr>
                    <w:t>），不属于禁燃区内禁止新建燃用高污染燃料的锅炉，且项目不涉及生产、销售和使用高污染燃料</w:t>
                  </w:r>
                  <w:r>
                    <w:rPr>
                      <w:rFonts w:hint="eastAsia" w:ascii="Times New Roman" w:hAnsi="Times New Roman" w:cs="Times New Roman"/>
                      <w:bCs/>
                      <w:color w:val="000000"/>
                      <w:kern w:val="2"/>
                      <w:sz w:val="21"/>
                      <w:szCs w:val="21"/>
                      <w:highlight w:val="none"/>
                      <w:lang w:val="en-US" w:eastAsia="zh-CN" w:bidi="ar-SA"/>
                    </w:rPr>
                    <w:t>。</w:t>
                  </w:r>
                </w:p>
              </w:tc>
              <w:tc>
                <w:tcPr>
                  <w:tcW w:w="335" w:type="pct"/>
                  <w:tcBorders>
                    <w:tl2br w:val="nil"/>
                    <w:tr2bl w:val="nil"/>
                  </w:tcBorders>
                  <w:shd w:val="clear" w:color="auto" w:fill="auto"/>
                  <w:noWrap w:val="0"/>
                  <w:vAlign w:val="center"/>
                </w:tcPr>
                <w:p w14:paraId="15E97F93">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符合</w:t>
                  </w:r>
                </w:p>
              </w:tc>
            </w:tr>
            <w:tr w14:paraId="63D28E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47" w:type="pct"/>
                  <w:vMerge w:val="restart"/>
                  <w:tcBorders>
                    <w:tl2br w:val="nil"/>
                    <w:tr2bl w:val="nil"/>
                  </w:tcBorders>
                  <w:shd w:val="clear" w:color="auto" w:fill="auto"/>
                  <w:noWrap w:val="0"/>
                  <w:vAlign w:val="center"/>
                </w:tcPr>
                <w:p w14:paraId="58A4E348">
                  <w:pPr>
                    <w:keepNext w:val="0"/>
                    <w:keepLines w:val="0"/>
                    <w:widowControl/>
                    <w:suppressLineNumbers w:val="0"/>
                    <w:shd w:val="clear" w:color="auto" w:fill="auto"/>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highlight w:val="none"/>
                      <w:lang w:val="en-US" w:eastAsia="zh-CN"/>
                    </w:rPr>
                    <w:t>《饮料酒制造业污染防治技术政策》</w:t>
                  </w:r>
                </w:p>
              </w:tc>
              <w:tc>
                <w:tcPr>
                  <w:tcW w:w="1915" w:type="pct"/>
                  <w:tcBorders>
                    <w:tl2br w:val="nil"/>
                    <w:tr2bl w:val="nil"/>
                  </w:tcBorders>
                  <w:shd w:val="clear" w:color="auto" w:fill="auto"/>
                  <w:noWrap w:val="0"/>
                  <w:vAlign w:val="center"/>
                </w:tcPr>
                <w:p w14:paraId="7DD109E1">
                  <w:pPr>
                    <w:shd w:val="clear" w:color="auto" w:fill="auto"/>
                    <w:jc w:val="center"/>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（一）源头控制：白酒、啤酒、黄酒制造业应加强原料储存与输送过程的污染控制，原料宜采用标准化仓储、密闭输送。</w:t>
                  </w:r>
                </w:p>
              </w:tc>
              <w:tc>
                <w:tcPr>
                  <w:tcW w:w="1901" w:type="pct"/>
                  <w:tcBorders>
                    <w:tl2br w:val="nil"/>
                    <w:tr2bl w:val="nil"/>
                  </w:tcBorders>
                  <w:shd w:val="clear" w:color="auto" w:fill="auto"/>
                  <w:noWrap w:val="0"/>
                  <w:vAlign w:val="center"/>
                </w:tcPr>
                <w:p w14:paraId="4054EE71">
                  <w:pPr>
                    <w:shd w:val="clear" w:color="auto" w:fill="auto"/>
                    <w:autoSpaceDE w:val="0"/>
                    <w:autoSpaceDN w:val="0"/>
                    <w:adjustRightInd w:val="0"/>
                    <w:snapToGrid w:val="0"/>
                    <w:jc w:val="center"/>
                    <w:rPr>
                      <w:rFonts w:hint="default"/>
                      <w:bCs/>
                      <w:color w:val="000000"/>
                      <w:kern w:val="0"/>
                      <w:sz w:val="21"/>
                      <w:szCs w:val="21"/>
                      <w:highlight w:val="none"/>
                      <w:lang w:val="en-US" w:eastAsia="zh-CN" w:bidi="ar-SA"/>
                    </w:rPr>
                  </w:pPr>
                  <w:r>
                    <w:rPr>
                      <w:rFonts w:hint="eastAsia"/>
                      <w:bCs/>
                      <w:color w:val="000000"/>
                      <w:kern w:val="0"/>
                      <w:sz w:val="21"/>
                      <w:szCs w:val="21"/>
                      <w:highlight w:val="none"/>
                      <w:lang w:val="en-US" w:eastAsia="zh-CN" w:bidi="ar-SA"/>
                    </w:rPr>
                    <w:t>本项目为白酒制造，</w:t>
                  </w:r>
                  <w:r>
                    <w:rPr>
                      <w:rFonts w:hint="eastAsia" w:ascii="Times New Roman" w:hAnsi="Times New Roman" w:eastAsia="宋体" w:cs="Times New Roman"/>
                      <w:color w:val="000000"/>
                      <w:highlight w:val="none"/>
                      <w:lang w:val="en-US" w:eastAsia="zh-CN"/>
                    </w:rPr>
                    <w:t>原料采用标准化仓储、密闭输送</w:t>
                  </w:r>
                  <w:r>
                    <w:rPr>
                      <w:rFonts w:hint="eastAsia" w:cs="Times New Roman"/>
                      <w:color w:val="000000"/>
                      <w:highlight w:val="none"/>
                      <w:lang w:val="en-US" w:eastAsia="zh-CN"/>
                    </w:rPr>
                    <w:t>。</w:t>
                  </w:r>
                </w:p>
              </w:tc>
              <w:tc>
                <w:tcPr>
                  <w:tcW w:w="335" w:type="pct"/>
                  <w:tcBorders>
                    <w:tl2br w:val="nil"/>
                    <w:tr2bl w:val="nil"/>
                  </w:tcBorders>
                  <w:shd w:val="clear" w:color="auto" w:fill="auto"/>
                  <w:noWrap w:val="0"/>
                  <w:vAlign w:val="center"/>
                </w:tcPr>
                <w:p w14:paraId="2D59261A">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符合</w:t>
                  </w:r>
                </w:p>
              </w:tc>
            </w:tr>
            <w:tr w14:paraId="5AE3E6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41" w:hRule="atLeast"/>
                <w:jc w:val="center"/>
              </w:trPr>
              <w:tc>
                <w:tcPr>
                  <w:tcW w:w="847" w:type="pct"/>
                  <w:vMerge w:val="continue"/>
                  <w:tcBorders>
                    <w:tl2br w:val="nil"/>
                    <w:tr2bl w:val="nil"/>
                  </w:tcBorders>
                  <w:shd w:val="clear" w:color="auto" w:fill="auto"/>
                  <w:noWrap w:val="0"/>
                  <w:vAlign w:val="center"/>
                </w:tcPr>
                <w:p w14:paraId="263480F2">
                  <w:pPr>
                    <w:keepNext w:val="0"/>
                    <w:keepLines w:val="0"/>
                    <w:widowControl/>
                    <w:suppressLineNumbers w:val="0"/>
                    <w:shd w:val="clear" w:color="auto" w:fill="auto"/>
                    <w:jc w:val="left"/>
                    <w:rPr>
                      <w:rFonts w:hint="eastAsia" w:ascii="Times New Roman" w:hAnsi="Times New Roman" w:eastAsia="宋体" w:cs="Times New Roman"/>
                      <w:color w:val="000000"/>
                      <w:highlight w:val="none"/>
                      <w:lang w:val="en-US" w:eastAsia="zh-CN"/>
                    </w:rPr>
                  </w:pPr>
                </w:p>
              </w:tc>
              <w:tc>
                <w:tcPr>
                  <w:tcW w:w="1915" w:type="pct"/>
                  <w:tcBorders>
                    <w:tl2br w:val="nil"/>
                    <w:tr2bl w:val="nil"/>
                  </w:tcBorders>
                  <w:shd w:val="clear" w:color="auto" w:fill="auto"/>
                  <w:noWrap w:val="0"/>
                  <w:vAlign w:val="center"/>
                </w:tcPr>
                <w:p w14:paraId="1694F8D0">
                  <w:pPr>
                    <w:shd w:val="clear" w:color="auto" w:fill="auto"/>
                    <w:jc w:val="both"/>
                    <w:rPr>
                      <w:rFonts w:hint="eastAsia" w:ascii="Times New Roman" w:hAnsi="Times New Roman" w:eastAsia="宋体" w:cs="Times New Roman"/>
                      <w:color w:val="000000"/>
                      <w:highlight w:val="none"/>
                    </w:rPr>
                  </w:pPr>
                  <w:r>
                    <w:rPr>
                      <w:rFonts w:hint="eastAsia" w:ascii="Times New Roman" w:hAnsi="Times New Roman" w:eastAsia="宋体" w:cs="Times New Roman"/>
                      <w:color w:val="000000"/>
                      <w:highlight w:val="none"/>
                      <w:lang w:val="en-US" w:eastAsia="zh-CN"/>
                    </w:rPr>
                    <w:t>（二）生产</w:t>
                  </w:r>
                  <w:r>
                    <w:t>过程中</w:t>
                  </w:r>
                  <w:r>
                    <w:rPr>
                      <w:rFonts w:hint="eastAsia" w:ascii="Times New Roman" w:hAnsi="Times New Roman" w:eastAsia="宋体" w:cs="Times New Roman"/>
                      <w:color w:val="000000"/>
                      <w:highlight w:val="none"/>
                      <w:lang w:val="en-US" w:eastAsia="zh-CN"/>
                    </w:rPr>
                    <w:t>污染防控：</w:t>
                  </w:r>
                </w:p>
                <w:p w14:paraId="6F4D7C66">
                  <w:pPr>
                    <w:shd w:val="clear" w:color="auto" w:fill="auto"/>
                    <w:jc w:val="center"/>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1.白酒制造业：（1）鼓励蒸馏冷却系统以风冷代替水冷，降低耗水量。（2）提高生产用水的重复利用率。蒸馏用冷却水应封闭循环利用，洗瓶水单独净化后</w:t>
                  </w:r>
                  <w:r>
                    <w:rPr>
                      <w:rFonts w:hint="eastAsia" w:cs="Times New Roman"/>
                      <w:color w:val="000000"/>
                      <w:highlight w:val="none"/>
                      <w:lang w:val="en-US" w:eastAsia="zh-CN"/>
                    </w:rPr>
                    <w:t>收集后再</w:t>
                  </w:r>
                  <w:r>
                    <w:rPr>
                      <w:rFonts w:hint="eastAsia" w:ascii="Times New Roman" w:hAnsi="Times New Roman" w:eastAsia="宋体" w:cs="Times New Roman"/>
                      <w:color w:val="000000"/>
                      <w:highlight w:val="none"/>
                      <w:lang w:val="en-US" w:eastAsia="zh-CN"/>
                    </w:rPr>
                    <w:t>回用。（3）鼓励</w:t>
                  </w:r>
                  <w:r>
                    <w:rPr>
                      <w:rFonts w:hint="eastAsia" w:cs="Times New Roman"/>
                      <w:color w:val="000000"/>
                      <w:highlight w:val="none"/>
                      <w:lang w:val="en-US" w:eastAsia="zh-CN"/>
                    </w:rPr>
                    <w:t>在</w:t>
                  </w:r>
                  <w:r>
                    <w:rPr>
                      <w:rFonts w:hint="eastAsia" w:ascii="Times New Roman" w:hAnsi="Times New Roman" w:eastAsia="宋体" w:cs="Times New Roman"/>
                      <w:color w:val="000000"/>
                      <w:highlight w:val="none"/>
                      <w:lang w:val="en-US" w:eastAsia="zh-CN"/>
                    </w:rPr>
                    <w:t>蒸粮车间安装集气排气系统，实现蒸粮、馏酒及摊晾过程中废气的集中收集、处理和排放。（4）应</w:t>
                  </w:r>
                  <w:r>
                    <w:rPr>
                      <w:rFonts w:hint="eastAsia" w:cs="Times New Roman"/>
                      <w:color w:val="000000"/>
                      <w:highlight w:val="none"/>
                      <w:lang w:val="en-US" w:eastAsia="zh-CN"/>
                    </w:rPr>
                    <w:t>推动</w:t>
                  </w:r>
                  <w:r>
                    <w:rPr>
                      <w:rFonts w:hint="eastAsia" w:ascii="Times New Roman" w:hAnsi="Times New Roman" w:eastAsia="宋体" w:cs="Times New Roman"/>
                      <w:color w:val="000000"/>
                      <w:highlight w:val="none"/>
                      <w:lang w:val="en-US" w:eastAsia="zh-CN"/>
                    </w:rPr>
                    <w:t>粉碎车间采用大功率、低能耗的新型制粉成套设备，并安装高效的除尘设备及降噪系统。</w:t>
                  </w:r>
                </w:p>
              </w:tc>
              <w:tc>
                <w:tcPr>
                  <w:tcW w:w="1901" w:type="pct"/>
                  <w:tcBorders>
                    <w:tl2br w:val="nil"/>
                    <w:tr2bl w:val="nil"/>
                  </w:tcBorders>
                  <w:shd w:val="clear" w:color="auto" w:fill="auto"/>
                  <w:noWrap w:val="0"/>
                  <w:vAlign w:val="center"/>
                </w:tcPr>
                <w:p w14:paraId="5D55DA47">
                  <w:pPr>
                    <w:shd w:val="clear" w:color="auto" w:fill="auto"/>
                    <w:autoSpaceDE w:val="0"/>
                    <w:autoSpaceDN w:val="0"/>
                    <w:adjustRightInd w:val="0"/>
                    <w:snapToGrid w:val="0"/>
                    <w:jc w:val="center"/>
                    <w:rPr>
                      <w:rFonts w:hint="default"/>
                      <w:bCs/>
                      <w:color w:val="000000"/>
                      <w:kern w:val="0"/>
                      <w:sz w:val="21"/>
                      <w:szCs w:val="21"/>
                      <w:highlight w:val="none"/>
                      <w:lang w:val="en-US" w:eastAsia="zh-CN" w:bidi="ar-SA"/>
                    </w:rPr>
                  </w:pPr>
                  <w:r>
                    <w:rPr>
                      <w:rFonts w:hint="eastAsia"/>
                      <w:bCs/>
                      <w:color w:val="000000"/>
                      <w:kern w:val="0"/>
                      <w:sz w:val="21"/>
                      <w:szCs w:val="21"/>
                      <w:highlight w:val="none"/>
                      <w:lang w:val="en-US" w:eastAsia="zh-CN" w:bidi="ar-SA"/>
                    </w:rPr>
                    <w:t>本项目</w:t>
                  </w:r>
                  <w:r>
                    <w:rPr>
                      <w:rFonts w:hint="eastAsia" w:ascii="Times New Roman" w:hAnsi="Times New Roman" w:eastAsia="宋体" w:cs="Times New Roman"/>
                      <w:color w:val="000000"/>
                      <w:highlight w:val="none"/>
                      <w:lang w:val="en-US" w:eastAsia="zh-CN"/>
                    </w:rPr>
                    <w:t>蒸馏冷却系统为风冷；大曲粮食粉碎粉尘采用集气罩收集</w:t>
                  </w:r>
                  <w:r>
                    <w:rPr>
                      <w:rFonts w:hint="eastAsia" w:cs="Times New Roman"/>
                      <w:color w:val="000000"/>
                      <w:highlight w:val="none"/>
                      <w:lang w:val="en-US" w:eastAsia="zh-CN"/>
                    </w:rPr>
                    <w:t>，</w:t>
                  </w:r>
                  <w:r>
                    <w:rPr>
                      <w:rFonts w:hint="eastAsia" w:ascii="Times New Roman" w:hAnsi="Times New Roman" w:eastAsia="宋体" w:cs="Times New Roman"/>
                      <w:color w:val="000000"/>
                      <w:highlight w:val="none"/>
                      <w:lang w:val="en-US" w:eastAsia="zh-CN"/>
                    </w:rPr>
                    <w:t>经布袋除尘器处理后通过1根20m高排气筒排放；粉碎设备采用基础减振、厂房隔声的措施进行降噪</w:t>
                  </w:r>
                  <w:r>
                    <w:rPr>
                      <w:rFonts w:hint="eastAsia" w:cs="Times New Roman"/>
                      <w:color w:val="000000"/>
                      <w:highlight w:val="none"/>
                      <w:lang w:val="en-US" w:eastAsia="zh-CN"/>
                    </w:rPr>
                    <w:t>。</w:t>
                  </w:r>
                </w:p>
              </w:tc>
              <w:tc>
                <w:tcPr>
                  <w:tcW w:w="335" w:type="pct"/>
                  <w:tcBorders>
                    <w:tl2br w:val="nil"/>
                    <w:tr2bl w:val="nil"/>
                  </w:tcBorders>
                  <w:shd w:val="clear" w:color="auto" w:fill="auto"/>
                  <w:noWrap w:val="0"/>
                  <w:vAlign w:val="center"/>
                </w:tcPr>
                <w:p w14:paraId="41D850A5">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符合</w:t>
                  </w:r>
                </w:p>
              </w:tc>
            </w:tr>
            <w:tr w14:paraId="3033E1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766" w:hRule="atLeast"/>
                <w:jc w:val="center"/>
              </w:trPr>
              <w:tc>
                <w:tcPr>
                  <w:tcW w:w="847" w:type="pct"/>
                  <w:vMerge w:val="continue"/>
                  <w:tcBorders>
                    <w:tl2br w:val="nil"/>
                    <w:tr2bl w:val="nil"/>
                  </w:tcBorders>
                  <w:shd w:val="clear" w:color="auto" w:fill="auto"/>
                  <w:noWrap w:val="0"/>
                  <w:vAlign w:val="center"/>
                </w:tcPr>
                <w:p w14:paraId="643C4C25">
                  <w:pPr>
                    <w:keepNext w:val="0"/>
                    <w:keepLines w:val="0"/>
                    <w:widowControl/>
                    <w:suppressLineNumbers w:val="0"/>
                    <w:shd w:val="clear" w:color="auto" w:fill="auto"/>
                    <w:jc w:val="left"/>
                    <w:rPr>
                      <w:rFonts w:hint="eastAsia" w:ascii="Times New Roman" w:hAnsi="Times New Roman" w:eastAsia="宋体" w:cs="Times New Roman"/>
                      <w:color w:val="000000"/>
                      <w:highlight w:val="none"/>
                      <w:lang w:val="en-US" w:eastAsia="zh-CN"/>
                    </w:rPr>
                  </w:pPr>
                </w:p>
              </w:tc>
              <w:tc>
                <w:tcPr>
                  <w:tcW w:w="1915" w:type="pct"/>
                  <w:tcBorders>
                    <w:tl2br w:val="nil"/>
                    <w:tr2bl w:val="nil"/>
                  </w:tcBorders>
                  <w:shd w:val="clear" w:color="auto" w:fill="auto"/>
                  <w:noWrap w:val="0"/>
                  <w:vAlign w:val="center"/>
                </w:tcPr>
                <w:p w14:paraId="51CD9969">
                  <w:pPr>
                    <w:shd w:val="clear" w:color="auto" w:fill="auto"/>
                    <w:jc w:val="both"/>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一）大气污染治理：1.原料输送、粉碎工序产生的粉尘应采用封闭粉碎、袋式除尘或喷水降尘等方法与技术进行收集与处理。2.酒糟、滤渣堆场应采取封闭措施对产生废气进行收集，采用化学吸收法或活性炭吸附法等技术对收集废气进行处理。</w:t>
                  </w:r>
                </w:p>
              </w:tc>
              <w:tc>
                <w:tcPr>
                  <w:tcW w:w="1901" w:type="pct"/>
                  <w:tcBorders>
                    <w:tl2br w:val="nil"/>
                    <w:tr2bl w:val="nil"/>
                  </w:tcBorders>
                  <w:shd w:val="clear" w:color="auto" w:fill="auto"/>
                  <w:noWrap w:val="0"/>
                  <w:vAlign w:val="center"/>
                </w:tcPr>
                <w:p w14:paraId="2DBE2796">
                  <w:pPr>
                    <w:shd w:val="clear" w:color="auto" w:fill="auto"/>
                    <w:autoSpaceDE w:val="0"/>
                    <w:autoSpaceDN w:val="0"/>
                    <w:adjustRightInd w:val="0"/>
                    <w:snapToGrid w:val="0"/>
                    <w:jc w:val="center"/>
                    <w:rPr>
                      <w:rFonts w:hint="eastAsia" w:eastAsia="宋体"/>
                      <w:bCs/>
                      <w:color w:val="000000"/>
                      <w:kern w:val="0"/>
                      <w:sz w:val="21"/>
                      <w:szCs w:val="21"/>
                      <w:highlight w:val="none"/>
                      <w:lang w:val="en-US" w:eastAsia="zh-CN" w:bidi="ar-SA"/>
                    </w:rPr>
                  </w:pPr>
                  <w:r>
                    <w:rPr>
                      <w:rFonts w:hint="eastAsia"/>
                      <w:bCs/>
                      <w:color w:val="000000"/>
                      <w:kern w:val="0"/>
                      <w:sz w:val="21"/>
                      <w:szCs w:val="21"/>
                      <w:highlight w:val="none"/>
                      <w:lang w:val="en-US" w:eastAsia="zh-CN" w:bidi="ar-SA"/>
                    </w:rPr>
                    <w:t>本项目</w:t>
                  </w:r>
                  <w:r>
                    <w:rPr>
                      <w:rFonts w:hint="eastAsia" w:ascii="Times New Roman" w:hAnsi="Times New Roman" w:eastAsia="宋体" w:cs="Times New Roman"/>
                      <w:color w:val="000000"/>
                      <w:highlight w:val="none"/>
                      <w:lang w:val="en-US" w:eastAsia="zh-CN"/>
                    </w:rPr>
                    <w:t>输送、</w:t>
                  </w:r>
                  <w:r>
                    <w:rPr>
                      <w:rFonts w:hint="eastAsia"/>
                      <w:bCs/>
                      <w:color w:val="000000"/>
                      <w:kern w:val="0"/>
                      <w:sz w:val="21"/>
                      <w:szCs w:val="21"/>
                      <w:highlight w:val="none"/>
                      <w:lang w:val="en-US" w:eastAsia="zh-CN" w:bidi="ar-SA"/>
                    </w:rPr>
                    <w:t>粉碎工序产生的粉尘采用封闭粉碎、袋式除尘的方式进行收集处理</w:t>
                  </w:r>
                  <w:r>
                    <w:rPr>
                      <w:rFonts w:hint="eastAsia"/>
                      <w:lang w:eastAsia="zh-CN"/>
                    </w:rPr>
                    <w:t>。</w:t>
                  </w:r>
                </w:p>
              </w:tc>
              <w:tc>
                <w:tcPr>
                  <w:tcW w:w="335" w:type="pct"/>
                  <w:tcBorders>
                    <w:tl2br w:val="nil"/>
                    <w:tr2bl w:val="nil"/>
                  </w:tcBorders>
                  <w:shd w:val="clear" w:color="auto" w:fill="auto"/>
                  <w:noWrap w:val="0"/>
                  <w:vAlign w:val="center"/>
                </w:tcPr>
                <w:p w14:paraId="5BB1302F">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符合</w:t>
                  </w:r>
                </w:p>
              </w:tc>
            </w:tr>
            <w:tr w14:paraId="2B02D9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847" w:type="pct"/>
                  <w:vMerge w:val="continue"/>
                  <w:tcBorders>
                    <w:tl2br w:val="nil"/>
                    <w:tr2bl w:val="nil"/>
                  </w:tcBorders>
                  <w:shd w:val="clear" w:color="auto" w:fill="auto"/>
                  <w:noWrap w:val="0"/>
                  <w:vAlign w:val="center"/>
                </w:tcPr>
                <w:p w14:paraId="6BA5B7EA">
                  <w:pPr>
                    <w:keepNext w:val="0"/>
                    <w:keepLines w:val="0"/>
                    <w:widowControl/>
                    <w:suppressLineNumbers w:val="0"/>
                    <w:shd w:val="clear" w:color="auto" w:fill="auto"/>
                    <w:jc w:val="left"/>
                    <w:rPr>
                      <w:rFonts w:hint="eastAsia" w:ascii="Times New Roman" w:hAnsi="Times New Roman" w:eastAsia="宋体" w:cs="Times New Roman"/>
                      <w:color w:val="000000"/>
                      <w:highlight w:val="none"/>
                      <w:lang w:val="en-US" w:eastAsia="zh-CN"/>
                    </w:rPr>
                  </w:pPr>
                </w:p>
              </w:tc>
              <w:tc>
                <w:tcPr>
                  <w:tcW w:w="1915" w:type="pct"/>
                  <w:tcBorders>
                    <w:tl2br w:val="nil"/>
                    <w:tr2bl w:val="nil"/>
                  </w:tcBorders>
                  <w:shd w:val="clear" w:color="auto" w:fill="auto"/>
                  <w:noWrap w:val="0"/>
                  <w:vAlign w:val="center"/>
                </w:tcPr>
                <w:p w14:paraId="5182AC9B">
                  <w:pPr>
                    <w:shd w:val="clear" w:color="auto" w:fill="auto"/>
                    <w:jc w:val="both"/>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二）水污染治理：1.高浓度废水（锅底水、黄酒水、废糟液、麦糟滤液、酵母滤洗水、洗糟水、米浆水、酒糟堆存场地渗滤液等）宜单独收集进行预处理，再与中低浓度工艺废水（冲洗水、洗涤水、冷却水等）混合处理。2.鼓励白酒企业提取锅底水中的乳酸和乳酸钙，黄酒水中的酸、酯、醇类物质；3.综合废水宜采取“预处理+（厌氧）好氧”的废水处理工艺技术路线。对于排放标准要求高的区域或需废水回用的企业，废水应进行深度处理，宜在生物处理后再增加混凝沉淀、过滤或膜分离等处理单元。</w:t>
                  </w:r>
                </w:p>
              </w:tc>
              <w:tc>
                <w:tcPr>
                  <w:tcW w:w="1901" w:type="pct"/>
                  <w:tcBorders>
                    <w:tl2br w:val="nil"/>
                    <w:tr2bl w:val="nil"/>
                  </w:tcBorders>
                  <w:shd w:val="clear" w:color="auto" w:fill="auto"/>
                  <w:noWrap w:val="0"/>
                  <w:vAlign w:val="center"/>
                </w:tcPr>
                <w:p w14:paraId="3B060452">
                  <w:pPr>
                    <w:shd w:val="clear" w:color="auto" w:fill="auto"/>
                    <w:autoSpaceDE w:val="0"/>
                    <w:autoSpaceDN w:val="0"/>
                    <w:adjustRightInd w:val="0"/>
                    <w:snapToGrid w:val="0"/>
                    <w:jc w:val="center"/>
                    <w:rPr>
                      <w:rFonts w:hint="default"/>
                      <w:bCs/>
                      <w:color w:val="000000"/>
                      <w:kern w:val="0"/>
                      <w:sz w:val="21"/>
                      <w:szCs w:val="21"/>
                      <w:highlight w:val="none"/>
                      <w:lang w:val="en-US" w:eastAsia="zh-CN" w:bidi="ar-SA"/>
                    </w:rPr>
                  </w:pPr>
                  <w:r>
                    <w:rPr>
                      <w:rFonts w:hint="eastAsia"/>
                      <w:bCs/>
                      <w:color w:val="000000"/>
                      <w:kern w:val="0"/>
                      <w:sz w:val="21"/>
                      <w:szCs w:val="21"/>
                      <w:highlight w:val="none"/>
                      <w:lang w:val="en-US" w:eastAsia="zh-CN" w:bidi="ar-SA"/>
                    </w:rPr>
                    <w:t>本项目</w:t>
                  </w:r>
                  <w:r>
                    <w:rPr>
                      <w:rFonts w:hint="eastAsia" w:ascii="Times New Roman" w:hAnsi="Times New Roman" w:eastAsia="宋体" w:cs="Times New Roman"/>
                      <w:color w:val="000000"/>
                      <w:highlight w:val="none"/>
                      <w:lang w:val="en-US" w:eastAsia="zh-CN"/>
                    </w:rPr>
                    <w:t>高浓度废水单独收集进行预处理，再与中低浓度工艺废水混合处理；</w:t>
                  </w:r>
                  <w:r>
                    <w:rPr>
                      <w:rFonts w:hint="eastAsia"/>
                      <w:bCs/>
                      <w:color w:val="000000"/>
                      <w:kern w:val="0"/>
                      <w:sz w:val="21"/>
                      <w:szCs w:val="21"/>
                      <w:highlight w:val="none"/>
                      <w:lang w:val="en-US" w:eastAsia="zh-CN" w:bidi="ar-SA"/>
                    </w:rPr>
                    <w:t>生产过程中产生的</w:t>
                  </w:r>
                  <w:r>
                    <w:rPr>
                      <w:rFonts w:hint="eastAsia" w:ascii="Times New Roman" w:hAnsi="Times New Roman" w:eastAsia="宋体" w:cs="Times New Roman"/>
                      <w:color w:val="000000"/>
                      <w:highlight w:val="none"/>
                      <w:lang w:val="en-US" w:eastAsia="zh-CN"/>
                    </w:rPr>
                    <w:t>废水采取“预处理+（厌氧）好氧”的废水处理工艺进行处理</w:t>
                  </w:r>
                  <w:r>
                    <w:rPr>
                      <w:rFonts w:hint="eastAsia" w:cs="Times New Roman"/>
                      <w:color w:val="000000"/>
                      <w:highlight w:val="none"/>
                      <w:lang w:val="en-US" w:eastAsia="zh-CN"/>
                    </w:rPr>
                    <w:t>。</w:t>
                  </w:r>
                </w:p>
              </w:tc>
              <w:tc>
                <w:tcPr>
                  <w:tcW w:w="335" w:type="pct"/>
                  <w:tcBorders>
                    <w:tl2br w:val="nil"/>
                    <w:tr2bl w:val="nil"/>
                  </w:tcBorders>
                  <w:shd w:val="clear" w:color="auto" w:fill="auto"/>
                  <w:noWrap w:val="0"/>
                  <w:vAlign w:val="center"/>
                </w:tcPr>
                <w:p w14:paraId="196E9505">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符合</w:t>
                  </w:r>
                </w:p>
              </w:tc>
            </w:tr>
            <w:tr w14:paraId="2992EB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847" w:type="pct"/>
                  <w:vMerge w:val="continue"/>
                  <w:tcBorders>
                    <w:tl2br w:val="nil"/>
                    <w:tr2bl w:val="nil"/>
                  </w:tcBorders>
                  <w:shd w:val="clear" w:color="auto" w:fill="auto"/>
                  <w:noWrap w:val="0"/>
                  <w:vAlign w:val="center"/>
                </w:tcPr>
                <w:p w14:paraId="554E163E">
                  <w:pPr>
                    <w:keepNext w:val="0"/>
                    <w:keepLines w:val="0"/>
                    <w:widowControl/>
                    <w:suppressLineNumbers w:val="0"/>
                    <w:shd w:val="clear" w:color="auto" w:fill="auto"/>
                    <w:jc w:val="left"/>
                    <w:rPr>
                      <w:rFonts w:hint="eastAsia" w:ascii="Times New Roman" w:hAnsi="Times New Roman" w:eastAsia="宋体" w:cs="Times New Roman"/>
                      <w:color w:val="000000"/>
                      <w:highlight w:val="none"/>
                      <w:lang w:val="en-US" w:eastAsia="zh-CN"/>
                    </w:rPr>
                  </w:pPr>
                </w:p>
              </w:tc>
              <w:tc>
                <w:tcPr>
                  <w:tcW w:w="1915" w:type="pct"/>
                  <w:tcBorders>
                    <w:tl2br w:val="nil"/>
                    <w:tr2bl w:val="nil"/>
                  </w:tcBorders>
                  <w:shd w:val="clear" w:color="auto" w:fill="auto"/>
                  <w:noWrap w:val="0"/>
                  <w:vAlign w:val="center"/>
                </w:tcPr>
                <w:p w14:paraId="31D8A145">
                  <w:pPr>
                    <w:numPr>
                      <w:ilvl w:val="0"/>
                      <w:numId w:val="2"/>
                    </w:numPr>
                    <w:shd w:val="clear" w:color="auto" w:fill="auto"/>
                    <w:jc w:val="left"/>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固体废物处理处置及综合利用：1.酒糟、麦糟宜作为优质饲料或锅炉燃料。葡萄酒与果酒皮渣应100%收集，并进行综合利用或无害化处理。2.鼓励白酒企业废封窖泥经处理后作为肥料利用；3.应对废硅藻土全部收集并妥善处置（填埋等），禁止排入下水道和环境中。4.鼓励对废酒瓶、废包装材料等进行收集、利用。</w:t>
                  </w:r>
                </w:p>
              </w:tc>
              <w:tc>
                <w:tcPr>
                  <w:tcW w:w="1901" w:type="pct"/>
                  <w:tcBorders>
                    <w:tl2br w:val="nil"/>
                    <w:tr2bl w:val="nil"/>
                  </w:tcBorders>
                  <w:shd w:val="clear" w:color="auto" w:fill="auto"/>
                  <w:noWrap w:val="0"/>
                  <w:vAlign w:val="center"/>
                </w:tcPr>
                <w:p w14:paraId="04152E3E">
                  <w:pPr>
                    <w:shd w:val="clear" w:color="auto" w:fill="auto"/>
                    <w:autoSpaceDE w:val="0"/>
                    <w:autoSpaceDN w:val="0"/>
                    <w:adjustRightInd w:val="0"/>
                    <w:snapToGrid w:val="0"/>
                    <w:jc w:val="center"/>
                    <w:rPr>
                      <w:rFonts w:hint="default"/>
                      <w:bCs/>
                      <w:color w:val="000000"/>
                      <w:kern w:val="0"/>
                      <w:sz w:val="21"/>
                      <w:szCs w:val="21"/>
                      <w:highlight w:val="none"/>
                      <w:lang w:val="en-US" w:eastAsia="zh-CN" w:bidi="ar-SA"/>
                    </w:rPr>
                  </w:pPr>
                  <w:r>
                    <w:rPr>
                      <w:rFonts w:hint="eastAsia"/>
                      <w:bCs/>
                      <w:color w:val="000000"/>
                      <w:kern w:val="0"/>
                      <w:sz w:val="21"/>
                      <w:szCs w:val="21"/>
                      <w:highlight w:val="none"/>
                      <w:lang w:val="en-US" w:eastAsia="zh-CN" w:bidi="ar-SA"/>
                    </w:rPr>
                    <w:t>本项目</w:t>
                  </w:r>
                  <w:r>
                    <w:rPr>
                      <w:rFonts w:hint="eastAsia" w:ascii="Times New Roman" w:hAnsi="Times New Roman" w:eastAsia="宋体" w:cs="Times New Roman"/>
                      <w:color w:val="000000"/>
                      <w:highlight w:val="none"/>
                      <w:lang w:val="en-US" w:eastAsia="zh-CN"/>
                    </w:rPr>
                    <w:t>酒糟外售作为优质饲料综合利用；废封窖泥经处理后作为肥料利用；废包装材料等分类收集暂存于一般固废贮存间，定期外售物资回收部门综合利用</w:t>
                  </w:r>
                  <w:r>
                    <w:rPr>
                      <w:rFonts w:hint="eastAsia" w:cs="Times New Roman"/>
                      <w:color w:val="000000"/>
                      <w:highlight w:val="none"/>
                      <w:lang w:val="en-US" w:eastAsia="zh-CN"/>
                    </w:rPr>
                    <w:t>。</w:t>
                  </w:r>
                </w:p>
              </w:tc>
              <w:tc>
                <w:tcPr>
                  <w:tcW w:w="335" w:type="pct"/>
                  <w:tcBorders>
                    <w:tl2br w:val="nil"/>
                    <w:tr2bl w:val="nil"/>
                  </w:tcBorders>
                  <w:shd w:val="clear" w:color="auto" w:fill="auto"/>
                  <w:noWrap w:val="0"/>
                  <w:vAlign w:val="center"/>
                </w:tcPr>
                <w:p w14:paraId="127291EB">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符合</w:t>
                  </w:r>
                </w:p>
              </w:tc>
            </w:tr>
            <w:tr w14:paraId="0A5E85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01" w:hRule="atLeast"/>
                <w:jc w:val="center"/>
              </w:trPr>
              <w:tc>
                <w:tcPr>
                  <w:tcW w:w="847" w:type="pct"/>
                  <w:vMerge w:val="continue"/>
                  <w:tcBorders>
                    <w:tl2br w:val="nil"/>
                    <w:tr2bl w:val="nil"/>
                  </w:tcBorders>
                  <w:shd w:val="clear" w:color="auto" w:fill="auto"/>
                  <w:noWrap w:val="0"/>
                  <w:vAlign w:val="center"/>
                </w:tcPr>
                <w:p w14:paraId="5EE88338">
                  <w:pPr>
                    <w:keepNext w:val="0"/>
                    <w:keepLines w:val="0"/>
                    <w:widowControl/>
                    <w:suppressLineNumbers w:val="0"/>
                    <w:shd w:val="clear" w:color="auto" w:fill="auto"/>
                    <w:jc w:val="left"/>
                    <w:rPr>
                      <w:rFonts w:hint="eastAsia" w:ascii="Times New Roman" w:hAnsi="Times New Roman" w:eastAsia="宋体" w:cs="Times New Roman"/>
                      <w:color w:val="000000"/>
                      <w:highlight w:val="none"/>
                      <w:lang w:val="en-US" w:eastAsia="zh-CN"/>
                    </w:rPr>
                  </w:pPr>
                </w:p>
              </w:tc>
              <w:tc>
                <w:tcPr>
                  <w:tcW w:w="1915" w:type="pct"/>
                  <w:tcBorders>
                    <w:tl2br w:val="nil"/>
                    <w:tr2bl w:val="nil"/>
                  </w:tcBorders>
                  <w:shd w:val="clear" w:color="auto" w:fill="auto"/>
                  <w:noWrap w:val="0"/>
                  <w:vAlign w:val="center"/>
                </w:tcPr>
                <w:p w14:paraId="2F1C14DF">
                  <w:pPr>
                    <w:shd w:val="clear" w:color="auto" w:fill="auto"/>
                    <w:jc w:val="both"/>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四、二次污染防治：（一）鼓励将废水厌氧生化处理过程中产生的沼气，经净化处理后作为燃料使用。（二）废水处理过程中产生的恶臭气体应收集和处理，采用生物、化学或物理等技术进行处理。（三）鼓励将废水生物处理产生的剩余污泥、沼渣等进行资源化综合利用。（四）酒糟、滤渣等堆场应防雨、防渗。</w:t>
                  </w:r>
                </w:p>
              </w:tc>
              <w:tc>
                <w:tcPr>
                  <w:tcW w:w="1901" w:type="pct"/>
                  <w:tcBorders>
                    <w:tl2br w:val="nil"/>
                    <w:tr2bl w:val="nil"/>
                  </w:tcBorders>
                  <w:shd w:val="clear" w:color="auto" w:fill="auto"/>
                  <w:noWrap w:val="0"/>
                  <w:vAlign w:val="center"/>
                </w:tcPr>
                <w:p w14:paraId="0FD654E9">
                  <w:pPr>
                    <w:shd w:val="clear" w:color="auto" w:fill="auto"/>
                    <w:autoSpaceDE w:val="0"/>
                    <w:autoSpaceDN w:val="0"/>
                    <w:adjustRightInd w:val="0"/>
                    <w:snapToGrid w:val="0"/>
                    <w:jc w:val="center"/>
                    <w:rPr>
                      <w:rFonts w:hint="default"/>
                      <w:bCs/>
                      <w:color w:val="000000"/>
                      <w:kern w:val="0"/>
                      <w:sz w:val="21"/>
                      <w:szCs w:val="21"/>
                      <w:highlight w:val="none"/>
                      <w:lang w:val="en-US" w:eastAsia="zh-CN" w:bidi="ar-SA"/>
                    </w:rPr>
                  </w:pPr>
                  <w:r>
                    <w:rPr>
                      <w:rFonts w:hint="eastAsia" w:ascii="Times New Roman" w:hAnsi="Times New Roman" w:eastAsia="宋体" w:cs="Times New Roman"/>
                      <w:color w:val="000000"/>
                      <w:highlight w:val="none"/>
                      <w:lang w:val="en-US" w:eastAsia="zh-CN"/>
                    </w:rPr>
                    <w:t>废水处理过程中产生的恶臭气体收集后通过活性炭吸附处理后通过1根15m高排气筒排放；废水处理产生的污泥作为肥料由附近村民拉运肥田；酒糟、滤渣</w:t>
                  </w:r>
                  <w:r>
                    <w:rPr>
                      <w:rFonts w:hint="eastAsia" w:cs="Times New Roman"/>
                      <w:color w:val="000000"/>
                      <w:highlight w:val="none"/>
                      <w:lang w:val="en-US" w:eastAsia="zh-CN"/>
                    </w:rPr>
                    <w:t>在</w:t>
                  </w:r>
                  <w:r>
                    <w:rPr>
                      <w:rFonts w:hint="eastAsia" w:ascii="Times New Roman" w:hAnsi="Times New Roman" w:eastAsia="宋体" w:cs="Times New Roman"/>
                      <w:color w:val="000000"/>
                      <w:highlight w:val="none"/>
                      <w:lang w:val="en-US" w:eastAsia="zh-CN"/>
                    </w:rPr>
                    <w:t>密闭厂房内堆存，地面采取防雨、防渗措施</w:t>
                  </w:r>
                  <w:r>
                    <w:rPr>
                      <w:rFonts w:hint="eastAsia" w:cs="Times New Roman"/>
                      <w:color w:val="000000"/>
                      <w:highlight w:val="none"/>
                      <w:lang w:val="en-US" w:eastAsia="zh-CN"/>
                    </w:rPr>
                    <w:t>。</w:t>
                  </w:r>
                </w:p>
              </w:tc>
              <w:tc>
                <w:tcPr>
                  <w:tcW w:w="335" w:type="pct"/>
                  <w:tcBorders>
                    <w:tl2br w:val="nil"/>
                    <w:tr2bl w:val="nil"/>
                  </w:tcBorders>
                  <w:shd w:val="clear" w:color="auto" w:fill="auto"/>
                  <w:noWrap w:val="0"/>
                  <w:vAlign w:val="center"/>
                </w:tcPr>
                <w:p w14:paraId="4FA9946D">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符合</w:t>
                  </w:r>
                </w:p>
              </w:tc>
            </w:tr>
            <w:tr w14:paraId="27D666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730" w:hRule="atLeast"/>
                <w:jc w:val="center"/>
              </w:trPr>
              <w:tc>
                <w:tcPr>
                  <w:tcW w:w="847" w:type="pct"/>
                  <w:vMerge w:val="restart"/>
                  <w:tcBorders>
                    <w:tl2br w:val="nil"/>
                    <w:tr2bl w:val="nil"/>
                  </w:tcBorders>
                  <w:shd w:val="clear" w:color="auto" w:fill="auto"/>
                  <w:noWrap w:val="0"/>
                  <w:vAlign w:val="center"/>
                </w:tcPr>
                <w:p w14:paraId="45D42220">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shd w:val="clear" w:color="auto" w:fill="FFFFFF"/>
                      <w:lang w:val="en-US" w:eastAsia="zh-CN"/>
                    </w:rPr>
                    <w:t>《食品企业通用卫生规范》（GB14881-2013）</w:t>
                  </w:r>
                </w:p>
              </w:tc>
              <w:tc>
                <w:tcPr>
                  <w:tcW w:w="1915" w:type="pct"/>
                  <w:tcBorders>
                    <w:tl2br w:val="nil"/>
                    <w:tr2bl w:val="nil"/>
                  </w:tcBorders>
                  <w:shd w:val="clear" w:color="auto" w:fill="auto"/>
                  <w:noWrap w:val="0"/>
                  <w:vAlign w:val="center"/>
                </w:tcPr>
                <w:p w14:paraId="0E72DF46">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shd w:val="clear" w:color="auto" w:fill="FFFFFF"/>
                      <w:lang w:val="en-US" w:eastAsia="zh-CN"/>
                    </w:rPr>
                    <w:t>厂区不应选择对食品有显著污染的区域，如某地对食品安全和食品宜食用性存在明显的不利影响，且无法通过采取措施加以改善，应避免在该地址建厂</w:t>
                  </w:r>
                  <w:r>
                    <w:rPr>
                      <w:rFonts w:hint="eastAsia" w:cs="Times New Roman"/>
                      <w:color w:val="000000"/>
                      <w:sz w:val="21"/>
                      <w:szCs w:val="21"/>
                      <w:highlight w:val="none"/>
                      <w:shd w:val="clear" w:color="auto" w:fill="FFFFFF"/>
                      <w:lang w:val="en-US" w:eastAsia="zh-CN"/>
                    </w:rPr>
                    <w:t>。</w:t>
                  </w:r>
                </w:p>
              </w:tc>
              <w:tc>
                <w:tcPr>
                  <w:tcW w:w="1901" w:type="pct"/>
                  <w:tcBorders>
                    <w:tl2br w:val="nil"/>
                    <w:tr2bl w:val="nil"/>
                  </w:tcBorders>
                  <w:shd w:val="clear" w:color="auto" w:fill="auto"/>
                  <w:noWrap w:val="0"/>
                  <w:vAlign w:val="center"/>
                </w:tcPr>
                <w:p w14:paraId="2A139B3E">
                  <w:pPr>
                    <w:shd w:val="clear" w:color="auto" w:fill="auto"/>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本项目</w:t>
                  </w:r>
                  <w:r>
                    <w:rPr>
                      <w:rFonts w:hint="eastAsia" w:ascii="Times New Roman" w:hAnsi="Times New Roman" w:eastAsia="宋体" w:cs="Times New Roman"/>
                      <w:color w:val="000000"/>
                      <w:kern w:val="2"/>
                      <w:sz w:val="21"/>
                      <w:szCs w:val="21"/>
                      <w:highlight w:val="none"/>
                      <w:lang w:val="en-US" w:eastAsia="zh-CN" w:bidi="ar-SA"/>
                    </w:rPr>
                    <w:t>周边500m范围内无</w:t>
                  </w:r>
                  <w:r>
                    <w:rPr>
                      <w:rFonts w:hint="eastAsia" w:ascii="Times New Roman" w:hAnsi="Times New Roman" w:eastAsia="宋体" w:cs="Times New Roman"/>
                      <w:color w:val="000000"/>
                      <w:sz w:val="21"/>
                      <w:szCs w:val="21"/>
                      <w:highlight w:val="none"/>
                      <w:shd w:val="clear" w:color="auto" w:fill="FFFFFF"/>
                      <w:lang w:val="en-US" w:eastAsia="zh-CN"/>
                    </w:rPr>
                    <w:t>对食品有显著污染的污染物排放的企业</w:t>
                  </w:r>
                  <w:r>
                    <w:rPr>
                      <w:rFonts w:hint="eastAsia" w:ascii="Times New Roman" w:hAnsi="Times New Roman" w:eastAsia="宋体" w:cs="Times New Roman"/>
                      <w:color w:val="000000"/>
                      <w:kern w:val="2"/>
                      <w:sz w:val="21"/>
                      <w:szCs w:val="21"/>
                      <w:highlight w:val="none"/>
                      <w:lang w:val="en-US" w:eastAsia="zh-CN" w:bidi="ar-SA"/>
                    </w:rPr>
                    <w:t>，外环境基本不会对本项目的生产产生影响</w:t>
                  </w:r>
                  <w:r>
                    <w:rPr>
                      <w:rFonts w:hint="eastAsia"/>
                      <w:lang w:eastAsia="zh-CN"/>
                    </w:rPr>
                    <w:t>。</w:t>
                  </w:r>
                </w:p>
              </w:tc>
              <w:tc>
                <w:tcPr>
                  <w:tcW w:w="335" w:type="pct"/>
                  <w:tcBorders>
                    <w:tl2br w:val="nil"/>
                    <w:tr2bl w:val="nil"/>
                  </w:tcBorders>
                  <w:shd w:val="clear" w:color="auto" w:fill="auto"/>
                  <w:noWrap w:val="0"/>
                  <w:vAlign w:val="center"/>
                </w:tcPr>
                <w:p w14:paraId="6FAB3EFC">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符合</w:t>
                  </w:r>
                </w:p>
              </w:tc>
            </w:tr>
            <w:tr w14:paraId="25052B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40" w:hRule="atLeast"/>
                <w:jc w:val="center"/>
              </w:trPr>
              <w:tc>
                <w:tcPr>
                  <w:tcW w:w="847" w:type="pct"/>
                  <w:vMerge w:val="continue"/>
                  <w:tcBorders>
                    <w:tl2br w:val="nil"/>
                    <w:tr2bl w:val="nil"/>
                  </w:tcBorders>
                  <w:shd w:val="clear" w:color="auto" w:fill="auto"/>
                  <w:noWrap w:val="0"/>
                  <w:vAlign w:val="center"/>
                </w:tcPr>
                <w:p w14:paraId="04790D9D">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p>
              </w:tc>
              <w:tc>
                <w:tcPr>
                  <w:tcW w:w="1915" w:type="pct"/>
                  <w:tcBorders>
                    <w:tl2br w:val="nil"/>
                    <w:tr2bl w:val="nil"/>
                  </w:tcBorders>
                  <w:shd w:val="clear" w:color="auto" w:fill="auto"/>
                  <w:noWrap w:val="0"/>
                  <w:vAlign w:val="center"/>
                </w:tcPr>
                <w:p w14:paraId="1BEB4527">
                  <w:pPr>
                    <w:shd w:val="clear" w:color="auto" w:fill="auto"/>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shd w:val="clear" w:color="auto" w:fill="FFFFFF"/>
                      <w:lang w:val="en-US" w:eastAsia="zh-CN"/>
                    </w:rPr>
                    <w:t>厂区不应选择有害废弃物以及粉尘、有害气体、放射性物质和其他扩散性污染源不能有效清除的地址</w:t>
                  </w:r>
                  <w:r>
                    <w:rPr>
                      <w:rFonts w:hint="eastAsia"/>
                      <w:lang w:eastAsia="zh-CN"/>
                    </w:rPr>
                    <w:t>。</w:t>
                  </w:r>
                </w:p>
              </w:tc>
              <w:tc>
                <w:tcPr>
                  <w:tcW w:w="1901" w:type="pct"/>
                  <w:tcBorders>
                    <w:tl2br w:val="nil"/>
                    <w:tr2bl w:val="nil"/>
                  </w:tcBorders>
                  <w:shd w:val="clear" w:color="auto" w:fill="auto"/>
                  <w:noWrap w:val="0"/>
                  <w:vAlign w:val="center"/>
                </w:tcPr>
                <w:p w14:paraId="0B699EED">
                  <w:pPr>
                    <w:shd w:val="clear" w:color="auto" w:fill="auto"/>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本项目所在区域</w:t>
                  </w:r>
                  <w:r>
                    <w:rPr>
                      <w:rFonts w:hint="eastAsia" w:ascii="Times New Roman" w:hAnsi="Times New Roman" w:eastAsia="宋体" w:cs="Times New Roman"/>
                      <w:color w:val="000000"/>
                      <w:kern w:val="2"/>
                      <w:sz w:val="21"/>
                      <w:szCs w:val="21"/>
                      <w:highlight w:val="none"/>
                      <w:lang w:val="en-US" w:eastAsia="zh-CN" w:bidi="ar-SA"/>
                    </w:rPr>
                    <w:t>不存在</w:t>
                  </w:r>
                  <w:r>
                    <w:rPr>
                      <w:rFonts w:hint="eastAsia" w:ascii="Times New Roman" w:hAnsi="Times New Roman" w:eastAsia="宋体" w:cs="Times New Roman"/>
                      <w:color w:val="000000"/>
                      <w:sz w:val="21"/>
                      <w:szCs w:val="21"/>
                      <w:highlight w:val="none"/>
                      <w:shd w:val="clear" w:color="auto" w:fill="FFFFFF"/>
                      <w:lang w:val="en-US" w:eastAsia="zh-CN"/>
                    </w:rPr>
                    <w:t>有害废弃物以及粉尘、有害气体、放射性物质和其他扩散性污染源</w:t>
                  </w:r>
                  <w:r>
                    <w:rPr>
                      <w:rFonts w:hint="eastAsia"/>
                      <w:lang w:eastAsia="zh-CN"/>
                    </w:rPr>
                    <w:t>。</w:t>
                  </w:r>
                </w:p>
              </w:tc>
              <w:tc>
                <w:tcPr>
                  <w:tcW w:w="335" w:type="pct"/>
                  <w:tcBorders>
                    <w:tl2br w:val="nil"/>
                    <w:tr2bl w:val="nil"/>
                  </w:tcBorders>
                  <w:shd w:val="clear" w:color="auto" w:fill="auto"/>
                  <w:noWrap w:val="0"/>
                  <w:vAlign w:val="center"/>
                </w:tcPr>
                <w:p w14:paraId="127F3C82">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符合</w:t>
                  </w:r>
                </w:p>
              </w:tc>
            </w:tr>
            <w:tr w14:paraId="0D8293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61" w:hRule="atLeast"/>
                <w:jc w:val="center"/>
              </w:trPr>
              <w:tc>
                <w:tcPr>
                  <w:tcW w:w="847" w:type="pct"/>
                  <w:vMerge w:val="continue"/>
                  <w:tcBorders>
                    <w:tl2br w:val="nil"/>
                    <w:tr2bl w:val="nil"/>
                  </w:tcBorders>
                  <w:shd w:val="clear" w:color="auto" w:fill="auto"/>
                  <w:noWrap w:val="0"/>
                  <w:vAlign w:val="center"/>
                </w:tcPr>
                <w:p w14:paraId="4786796D">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p>
              </w:tc>
              <w:tc>
                <w:tcPr>
                  <w:tcW w:w="1915" w:type="pct"/>
                  <w:tcBorders>
                    <w:tl2br w:val="nil"/>
                    <w:tr2bl w:val="nil"/>
                  </w:tcBorders>
                  <w:shd w:val="clear" w:color="auto" w:fill="auto"/>
                  <w:noWrap w:val="0"/>
                  <w:vAlign w:val="center"/>
                </w:tcPr>
                <w:p w14:paraId="425CF99F">
                  <w:pPr>
                    <w:shd w:val="clear" w:color="auto" w:fill="auto"/>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shd w:val="clear" w:color="auto" w:fill="FFFFFF"/>
                      <w:lang w:val="en-US" w:eastAsia="zh-CN"/>
                    </w:rPr>
                    <w:t>厂区不宜选择易发生洪涝灾害的地区，难以避开时应设计必要的防范措施</w:t>
                  </w:r>
                  <w:r>
                    <w:rPr>
                      <w:rFonts w:hint="eastAsia"/>
                      <w:lang w:eastAsia="zh-CN"/>
                    </w:rPr>
                    <w:t>。</w:t>
                  </w:r>
                </w:p>
              </w:tc>
              <w:tc>
                <w:tcPr>
                  <w:tcW w:w="1901" w:type="pct"/>
                  <w:tcBorders>
                    <w:tl2br w:val="nil"/>
                    <w:tr2bl w:val="nil"/>
                  </w:tcBorders>
                  <w:shd w:val="clear" w:color="auto" w:fill="auto"/>
                  <w:noWrap w:val="0"/>
                  <w:vAlign w:val="center"/>
                </w:tcPr>
                <w:p w14:paraId="49F7A147">
                  <w:pPr>
                    <w:shd w:val="clear" w:color="auto" w:fill="auto"/>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项目所在地地形平坦，地势偏高，且该地区降水量较少，不易发生</w:t>
                  </w:r>
                  <w:r>
                    <w:rPr>
                      <w:rFonts w:hint="eastAsia" w:ascii="Times New Roman" w:hAnsi="Times New Roman" w:eastAsia="宋体" w:cs="Times New Roman"/>
                      <w:color w:val="000000"/>
                      <w:sz w:val="21"/>
                      <w:szCs w:val="21"/>
                      <w:highlight w:val="none"/>
                      <w:shd w:val="clear" w:color="auto" w:fill="FFFFFF"/>
                      <w:lang w:val="en-US" w:eastAsia="zh-CN"/>
                    </w:rPr>
                    <w:t>洪涝灾害</w:t>
                  </w:r>
                  <w:r>
                    <w:rPr>
                      <w:rFonts w:hint="eastAsia"/>
                      <w:lang w:eastAsia="zh-CN"/>
                    </w:rPr>
                    <w:t>。</w:t>
                  </w:r>
                </w:p>
              </w:tc>
              <w:tc>
                <w:tcPr>
                  <w:tcW w:w="335" w:type="pct"/>
                  <w:tcBorders>
                    <w:tl2br w:val="nil"/>
                    <w:tr2bl w:val="nil"/>
                  </w:tcBorders>
                  <w:shd w:val="clear" w:color="auto" w:fill="auto"/>
                  <w:noWrap w:val="0"/>
                  <w:vAlign w:val="center"/>
                </w:tcPr>
                <w:p w14:paraId="3184793B">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符合</w:t>
                  </w:r>
                </w:p>
              </w:tc>
            </w:tr>
            <w:tr w14:paraId="2B86695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838" w:hRule="atLeast"/>
                <w:jc w:val="center"/>
              </w:trPr>
              <w:tc>
                <w:tcPr>
                  <w:tcW w:w="847" w:type="pct"/>
                  <w:vMerge w:val="continue"/>
                  <w:tcBorders>
                    <w:tl2br w:val="nil"/>
                    <w:tr2bl w:val="nil"/>
                  </w:tcBorders>
                  <w:shd w:val="clear" w:color="auto" w:fill="auto"/>
                  <w:noWrap w:val="0"/>
                  <w:vAlign w:val="center"/>
                </w:tcPr>
                <w:p w14:paraId="1C80E3B6">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p>
              </w:tc>
              <w:tc>
                <w:tcPr>
                  <w:tcW w:w="1915" w:type="pct"/>
                  <w:tcBorders>
                    <w:tl2br w:val="nil"/>
                    <w:tr2bl w:val="nil"/>
                  </w:tcBorders>
                  <w:shd w:val="clear" w:color="auto" w:fill="auto"/>
                  <w:noWrap w:val="0"/>
                  <w:vAlign w:val="center"/>
                </w:tcPr>
                <w:p w14:paraId="73F8036B">
                  <w:pPr>
                    <w:shd w:val="clear" w:color="auto" w:fill="auto"/>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shd w:val="clear" w:color="auto" w:fill="FFFFFF"/>
                      <w:lang w:val="en-US" w:eastAsia="zh-CN"/>
                    </w:rPr>
                    <w:t>厂区周围不宜有虫害大量滋生潜在场所，难以避开时应设计必要的防范措施</w:t>
                  </w:r>
                  <w:r>
                    <w:rPr>
                      <w:rFonts w:hint="eastAsia"/>
                      <w:lang w:eastAsia="zh-CN"/>
                    </w:rPr>
                    <w:t>。</w:t>
                  </w:r>
                </w:p>
              </w:tc>
              <w:tc>
                <w:tcPr>
                  <w:tcW w:w="1901" w:type="pct"/>
                  <w:tcBorders>
                    <w:tl2br w:val="nil"/>
                    <w:tr2bl w:val="nil"/>
                  </w:tcBorders>
                  <w:shd w:val="clear" w:color="auto" w:fill="auto"/>
                  <w:noWrap w:val="0"/>
                  <w:vAlign w:val="center"/>
                </w:tcPr>
                <w:p w14:paraId="098611A3">
                  <w:pPr>
                    <w:shd w:val="clear" w:color="auto" w:fill="auto"/>
                    <w:adjustRightInd w:val="0"/>
                    <w:snapToGrid w:val="0"/>
                    <w:jc w:val="both"/>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厂区周围</w:t>
                  </w:r>
                  <w:r>
                    <w:rPr>
                      <w:rFonts w:hint="eastAsia" w:cs="Times New Roman"/>
                      <w:color w:val="000000"/>
                      <w:sz w:val="21"/>
                      <w:szCs w:val="21"/>
                      <w:highlight w:val="none"/>
                      <w:lang w:val="en-US" w:eastAsia="zh-CN"/>
                    </w:rPr>
                    <w:t>无病虫</w:t>
                  </w:r>
                  <w:r>
                    <w:rPr>
                      <w:rFonts w:hint="eastAsia" w:ascii="Times New Roman" w:hAnsi="Times New Roman" w:cs="Times New Roman"/>
                      <w:color w:val="000000"/>
                      <w:sz w:val="21"/>
                      <w:szCs w:val="21"/>
                      <w:highlight w:val="none"/>
                      <w:lang w:val="en-US" w:eastAsia="zh-CN"/>
                    </w:rPr>
                    <w:t>害</w:t>
                  </w:r>
                  <w:r>
                    <w:rPr>
                      <w:rFonts w:hint="eastAsia" w:ascii="Times New Roman" w:hAnsi="Times New Roman" w:eastAsia="宋体" w:cs="Times New Roman"/>
                      <w:color w:val="000000"/>
                      <w:sz w:val="21"/>
                      <w:szCs w:val="21"/>
                      <w:highlight w:val="none"/>
                      <w:shd w:val="clear" w:color="auto" w:fill="FFFFFF"/>
                      <w:lang w:val="en-US" w:eastAsia="zh-CN"/>
                    </w:rPr>
                    <w:t>大量滋生</w:t>
                  </w:r>
                  <w:r>
                    <w:rPr>
                      <w:rFonts w:hint="eastAsia" w:cs="Times New Roman"/>
                      <w:color w:val="000000"/>
                      <w:sz w:val="21"/>
                      <w:szCs w:val="21"/>
                      <w:highlight w:val="none"/>
                      <w:shd w:val="clear" w:color="auto" w:fill="FFFFFF"/>
                      <w:lang w:val="en-US" w:eastAsia="zh-CN"/>
                    </w:rPr>
                    <w:t>的</w:t>
                  </w:r>
                  <w:r>
                    <w:rPr>
                      <w:rFonts w:hint="eastAsia" w:ascii="Times New Roman" w:hAnsi="Times New Roman" w:eastAsia="宋体" w:cs="Times New Roman"/>
                      <w:color w:val="000000"/>
                      <w:sz w:val="21"/>
                      <w:szCs w:val="21"/>
                      <w:highlight w:val="none"/>
                      <w:shd w:val="clear" w:color="auto" w:fill="FFFFFF"/>
                      <w:lang w:val="en-US" w:eastAsia="zh-CN"/>
                    </w:rPr>
                    <w:t>潜在场所</w:t>
                  </w:r>
                  <w:r>
                    <w:rPr>
                      <w:rFonts w:hint="eastAsia" w:cs="Times New Roman"/>
                      <w:color w:val="000000"/>
                      <w:sz w:val="21"/>
                      <w:szCs w:val="21"/>
                      <w:highlight w:val="none"/>
                      <w:shd w:val="clear" w:color="auto" w:fill="FFFFFF"/>
                      <w:lang w:val="en-US" w:eastAsia="zh-CN"/>
                    </w:rPr>
                    <w:t>。</w:t>
                  </w:r>
                </w:p>
              </w:tc>
              <w:tc>
                <w:tcPr>
                  <w:tcW w:w="335" w:type="pct"/>
                  <w:tcBorders>
                    <w:tl2br w:val="nil"/>
                    <w:tr2bl w:val="nil"/>
                  </w:tcBorders>
                  <w:shd w:val="clear" w:color="auto" w:fill="auto"/>
                  <w:noWrap w:val="0"/>
                  <w:vAlign w:val="center"/>
                </w:tcPr>
                <w:p w14:paraId="44CD8222">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符合</w:t>
                  </w:r>
                </w:p>
              </w:tc>
            </w:tr>
          </w:tbl>
          <w:p w14:paraId="1F406E25">
            <w:pPr>
              <w:shd w:val="clear" w:color="auto" w:fill="auto"/>
              <w:bidi w:val="0"/>
              <w:spacing w:line="360" w:lineRule="auto"/>
              <w:ind w:firstLine="420" w:firstLineChars="200"/>
              <w:rPr>
                <w:rFonts w:hint="eastAsia"/>
                <w:color w:val="000000"/>
                <w:szCs w:val="21"/>
                <w:highlight w:val="none"/>
              </w:rPr>
            </w:pPr>
            <w:r>
              <w:rPr>
                <w:rFonts w:hint="eastAsia"/>
                <w:color w:val="000000"/>
                <w:highlight w:val="none"/>
                <w:lang w:val="en-US" w:eastAsia="zh-CN"/>
              </w:rPr>
              <w:t>综上所述，本项目建设符合《陕西省“十四五”节能减排综合工作实施方案》《宝鸡市“十四五”生态环境保护规划》《宝鸡市大气污染防治条例》等相关生态环境保护政策法规要求。</w:t>
            </w:r>
          </w:p>
          <w:p w14:paraId="14690899">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rightChars="0" w:firstLine="422" w:firstLineChars="200"/>
              <w:jc w:val="both"/>
              <w:textAlignment w:val="auto"/>
              <w:rPr>
                <w:rFonts w:hint="eastAsia" w:ascii="Times New Roman" w:hAnsi="Times New Roman" w:eastAsia="宋体" w:cs="Times New Roman"/>
                <w:b/>
                <w:bCs/>
                <w:color w:val="000000"/>
                <w:kern w:val="2"/>
                <w:sz w:val="21"/>
                <w:szCs w:val="21"/>
                <w:highlight w:val="none"/>
                <w:lang w:val="en-US" w:eastAsia="zh-CN" w:bidi="ar-SA"/>
              </w:rPr>
            </w:pPr>
            <w:r>
              <w:rPr>
                <w:rFonts w:hint="eastAsia" w:cs="Times New Roman"/>
                <w:b/>
                <w:bCs/>
                <w:color w:val="000000"/>
                <w:kern w:val="2"/>
                <w:sz w:val="21"/>
                <w:szCs w:val="21"/>
                <w:highlight w:val="none"/>
                <w:lang w:val="en-US" w:eastAsia="zh-CN" w:bidi="ar-SA"/>
              </w:rPr>
              <w:t>3.</w:t>
            </w:r>
            <w:r>
              <w:rPr>
                <w:rFonts w:hint="eastAsia" w:ascii="Times New Roman" w:hAnsi="Times New Roman" w:eastAsia="宋体" w:cs="Times New Roman"/>
                <w:b/>
                <w:bCs/>
                <w:color w:val="000000"/>
                <w:kern w:val="2"/>
                <w:sz w:val="21"/>
                <w:szCs w:val="21"/>
                <w:highlight w:val="none"/>
                <w:lang w:val="en-US" w:eastAsia="zh-CN" w:bidi="ar-SA"/>
              </w:rPr>
              <w:t>项目选址合理性分析</w:t>
            </w:r>
          </w:p>
          <w:p w14:paraId="3825A897">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000000"/>
                <w:kern w:val="2"/>
                <w:sz w:val="21"/>
                <w:szCs w:val="21"/>
                <w:highlight w:val="none"/>
                <w:lang w:val="en-US" w:eastAsia="zh-CN" w:bidi="ar-SA"/>
              </w:rPr>
            </w:pPr>
            <w:bookmarkStart w:id="3" w:name="_Toc28906"/>
            <w:bookmarkStart w:id="4" w:name="_Toc16412"/>
            <w:bookmarkStart w:id="5" w:name="_Toc13263"/>
            <w:bookmarkStart w:id="6" w:name="_Toc31735"/>
            <w:bookmarkStart w:id="7" w:name="_Toc29685"/>
            <w:bookmarkStart w:id="8" w:name="_Toc12582"/>
            <w:r>
              <w:rPr>
                <w:rFonts w:hint="default" w:ascii="Times New Roman" w:hAnsi="Times New Roman" w:eastAsia="宋体" w:cs="Times New Roman"/>
                <w:color w:val="000000"/>
                <w:kern w:val="2"/>
                <w:sz w:val="21"/>
                <w:szCs w:val="21"/>
                <w:highlight w:val="none"/>
                <w:lang w:val="en-US" w:eastAsia="zh-CN" w:bidi="ar-SA"/>
              </w:rPr>
              <w:t>（1）项目用地</w:t>
            </w:r>
            <w:r>
              <w:rPr>
                <w:rFonts w:hint="eastAsia" w:cs="Times New Roman"/>
                <w:color w:val="000000"/>
                <w:kern w:val="2"/>
                <w:sz w:val="21"/>
                <w:szCs w:val="21"/>
                <w:highlight w:val="none"/>
                <w:lang w:val="en-US" w:eastAsia="zh-CN" w:bidi="ar-SA"/>
              </w:rPr>
              <w:t>符合性</w:t>
            </w:r>
            <w:r>
              <w:rPr>
                <w:rFonts w:hint="default" w:ascii="Times New Roman" w:hAnsi="Times New Roman" w:eastAsia="宋体" w:cs="Times New Roman"/>
                <w:color w:val="000000"/>
                <w:kern w:val="2"/>
                <w:sz w:val="21"/>
                <w:szCs w:val="21"/>
                <w:highlight w:val="none"/>
                <w:lang w:val="en-US" w:eastAsia="zh-CN" w:bidi="ar-SA"/>
              </w:rPr>
              <w:t>分析</w:t>
            </w:r>
            <w:bookmarkEnd w:id="3"/>
            <w:bookmarkEnd w:id="4"/>
            <w:bookmarkEnd w:id="5"/>
            <w:bookmarkEnd w:id="6"/>
            <w:bookmarkEnd w:id="7"/>
            <w:bookmarkEnd w:id="8"/>
          </w:p>
          <w:p w14:paraId="1B7E46AA">
            <w:pPr>
              <w:shd w:val="clear" w:color="auto" w:fill="auto"/>
              <w:spacing w:line="360" w:lineRule="auto"/>
              <w:ind w:firstLine="420" w:firstLineChars="200"/>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本项目位于</w:t>
            </w:r>
            <w:r>
              <w:rPr>
                <w:rFonts w:hint="eastAsia"/>
                <w:color w:val="000000"/>
                <w:sz w:val="21"/>
                <w:szCs w:val="21"/>
                <w:highlight w:val="none"/>
                <w:lang w:val="en-US" w:eastAsia="zh-CN"/>
              </w:rPr>
              <w:t>宝鸡市凤翔区陈村镇尹家务供销社院内</w:t>
            </w:r>
            <w:r>
              <w:rPr>
                <w:rFonts w:hint="eastAsia" w:ascii="Times New Roman" w:hAnsi="Times New Roman" w:eastAsia="宋体" w:cs="Times New Roman"/>
                <w:color w:val="000000"/>
                <w:kern w:val="2"/>
                <w:sz w:val="21"/>
                <w:szCs w:val="21"/>
                <w:highlight w:val="none"/>
                <w:lang w:val="en-US" w:eastAsia="zh-CN" w:bidi="ar-SA"/>
              </w:rPr>
              <w:t>，根据宝鸡市凤翔区陈村镇人民政府《关于上报年产600吨白酒加工生产项目申请备案的报告》（具体见附件4），土地性质为建设用地</w:t>
            </w:r>
            <w:r>
              <w:rPr>
                <w:rFonts w:hint="default" w:ascii="Times New Roman" w:hAnsi="Times New Roman" w:eastAsia="宋体" w:cs="Times New Roman"/>
                <w:color w:val="000000"/>
                <w:kern w:val="2"/>
                <w:sz w:val="21"/>
                <w:szCs w:val="21"/>
                <w:highlight w:val="none"/>
                <w:lang w:val="en-US" w:eastAsia="zh-CN" w:bidi="ar-SA"/>
              </w:rPr>
              <w:t>。</w:t>
            </w:r>
          </w:p>
          <w:p w14:paraId="791DFA62">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000000"/>
                <w:kern w:val="2"/>
                <w:sz w:val="21"/>
                <w:szCs w:val="21"/>
                <w:highlight w:val="none"/>
                <w:lang w:val="en-US" w:eastAsia="zh-CN" w:bidi="ar-SA"/>
              </w:rPr>
            </w:pPr>
            <w:bookmarkStart w:id="9" w:name="_Toc24587"/>
            <w:bookmarkStart w:id="10" w:name="_Toc9924"/>
            <w:bookmarkStart w:id="11" w:name="_Toc19921"/>
            <w:bookmarkStart w:id="12" w:name="_Toc29026"/>
            <w:bookmarkStart w:id="13" w:name="_Toc10677"/>
            <w:bookmarkStart w:id="14" w:name="_Toc32273"/>
            <w:r>
              <w:rPr>
                <w:rFonts w:hint="default" w:ascii="Times New Roman" w:hAnsi="Times New Roman" w:eastAsia="宋体" w:cs="Times New Roman"/>
                <w:color w:val="000000"/>
                <w:kern w:val="2"/>
                <w:sz w:val="21"/>
                <w:szCs w:val="21"/>
                <w:highlight w:val="none"/>
                <w:lang w:val="en-US" w:eastAsia="zh-CN" w:bidi="ar-SA"/>
              </w:rPr>
              <w:t>（2）环境敏感性</w:t>
            </w:r>
            <w:bookmarkEnd w:id="9"/>
            <w:bookmarkEnd w:id="10"/>
            <w:bookmarkEnd w:id="11"/>
            <w:bookmarkEnd w:id="12"/>
            <w:bookmarkEnd w:id="13"/>
            <w:bookmarkEnd w:id="14"/>
          </w:p>
          <w:p w14:paraId="54E0C129">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right="0" w:rightChars="0" w:firstLine="420" w:firstLineChars="200"/>
              <w:jc w:val="left"/>
              <w:textAlignment w:val="auto"/>
              <w:rPr>
                <w:rFonts w:hint="default" w:ascii="Times New Roman" w:hAnsi="Times New Roman" w:cs="Times New Roman"/>
                <w:color w:val="000000"/>
                <w:szCs w:val="21"/>
                <w:highlight w:val="none"/>
                <w:lang w:val="en-US" w:eastAsia="zh-CN"/>
              </w:rPr>
            </w:pPr>
            <w:bookmarkStart w:id="15" w:name="_Toc26146"/>
            <w:bookmarkStart w:id="16" w:name="_Toc9882"/>
            <w:bookmarkStart w:id="17" w:name="_Toc3609"/>
            <w:bookmarkStart w:id="18" w:name="_Toc8895"/>
            <w:bookmarkStart w:id="19" w:name="_Toc12573"/>
            <w:bookmarkStart w:id="20" w:name="_Toc17071"/>
            <w:r>
              <w:rPr>
                <w:rFonts w:hint="default" w:ascii="Times New Roman" w:hAnsi="Times New Roman" w:cs="Times New Roman"/>
                <w:color w:val="000000"/>
                <w:szCs w:val="21"/>
                <w:highlight w:val="none"/>
              </w:rPr>
              <w:t>根据现场勘查，项目所在</w:t>
            </w:r>
            <w:r>
              <w:rPr>
                <w:rFonts w:hint="eastAsia" w:ascii="Times New Roman" w:hAnsi="Times New Roman" w:cs="Times New Roman"/>
                <w:color w:val="000000"/>
                <w:szCs w:val="21"/>
                <w:highlight w:val="none"/>
                <w:lang w:val="en-US" w:eastAsia="zh-CN"/>
              </w:rPr>
              <w:t>地不涉及</w:t>
            </w:r>
            <w:r>
              <w:rPr>
                <w:rFonts w:hint="default" w:ascii="Times New Roman" w:hAnsi="Times New Roman" w:cs="Times New Roman"/>
                <w:color w:val="000000"/>
                <w:szCs w:val="21"/>
                <w:highlight w:val="none"/>
              </w:rPr>
              <w:t>自然保护区、森林公园、风景名胜区、世界文化自然遗产、地质公园等禁止开发的生态红线区、重点保护生态红线区以及脆弱生态保护红线区</w:t>
            </w:r>
            <w:r>
              <w:rPr>
                <w:rFonts w:hint="default" w:ascii="Times New Roman" w:hAnsi="Times New Roman" w:cs="Times New Roman"/>
                <w:color w:val="000000"/>
                <w:szCs w:val="21"/>
                <w:highlight w:val="none"/>
                <w:lang w:val="zh-CN" w:eastAsia="zh-CN"/>
              </w:rPr>
              <w:t>。</w:t>
            </w:r>
            <w:r>
              <w:rPr>
                <w:rFonts w:hint="eastAsia" w:ascii="Times New Roman" w:hAnsi="Times New Roman" w:cs="Times New Roman"/>
                <w:color w:val="000000"/>
                <w:szCs w:val="21"/>
                <w:highlight w:val="none"/>
                <w:lang w:val="en-US" w:eastAsia="zh-CN"/>
              </w:rPr>
              <w:t>项目西南侧紧邻尹家务中学，西北侧距离尹家务村约20m，根据噪声现状监测结果，敏感目标噪声均满足《声环境质量标准》（GB3096-2008）2类标准，经预测，项目运营期在采取</w:t>
            </w:r>
            <w:r>
              <w:rPr>
                <w:rFonts w:hint="eastAsia" w:ascii="Times New Roman" w:hAnsi="Times New Roman" w:eastAsia="宋体" w:cs="Times New Roman"/>
                <w:color w:val="000000"/>
                <w:sz w:val="21"/>
                <w:szCs w:val="21"/>
                <w:highlight w:val="none"/>
                <w:lang w:val="en-US" w:eastAsia="zh-CN"/>
              </w:rPr>
              <w:t>厂房隔声、基础减振、合理布局等降噪措施后，厂界噪声排放可满足</w:t>
            </w:r>
            <w:r>
              <w:rPr>
                <w:rFonts w:ascii="Times New Roman" w:hAnsi="Times New Roman" w:cs="Times New Roman"/>
                <w:color w:val="000000"/>
                <w:szCs w:val="21"/>
                <w:highlight w:val="none"/>
              </w:rPr>
              <w:t>《工业企业厂界环境噪声排放标准》（GB</w:t>
            </w:r>
            <w:r>
              <w:rPr>
                <w:rFonts w:hint="eastAsia" w:ascii="Times New Roman" w:hAnsi="Times New Roman" w:cs="Times New Roman"/>
                <w:color w:val="000000"/>
                <w:szCs w:val="21"/>
                <w:highlight w:val="none"/>
              </w:rPr>
              <w:t>12348</w:t>
            </w:r>
            <w:r>
              <w:rPr>
                <w:rFonts w:ascii="Times New Roman" w:hAnsi="Times New Roman" w:cs="Times New Roman"/>
                <w:color w:val="000000"/>
                <w:szCs w:val="21"/>
                <w:highlight w:val="none"/>
              </w:rPr>
              <w:t>-2008）中</w:t>
            </w:r>
            <w:r>
              <w:rPr>
                <w:rFonts w:hint="eastAsia" w:ascii="Times New Roman" w:hAnsi="Times New Roman" w:cs="Times New Roman"/>
                <w:color w:val="000000"/>
                <w:szCs w:val="21"/>
                <w:highlight w:val="none"/>
              </w:rPr>
              <w:t>2</w:t>
            </w:r>
            <w:r>
              <w:rPr>
                <w:rFonts w:ascii="Times New Roman" w:hAnsi="Times New Roman" w:cs="Times New Roman"/>
                <w:color w:val="000000"/>
                <w:szCs w:val="21"/>
                <w:highlight w:val="none"/>
              </w:rPr>
              <w:t>类标准</w:t>
            </w:r>
            <w:r>
              <w:rPr>
                <w:rFonts w:hint="eastAsia" w:ascii="Times New Roman" w:hAnsi="Times New Roman" w:cs="Times New Roman"/>
                <w:color w:val="000000"/>
                <w:szCs w:val="21"/>
                <w:highlight w:val="none"/>
                <w:lang w:eastAsia="zh-CN"/>
              </w:rPr>
              <w:t>，</w:t>
            </w:r>
            <w:r>
              <w:rPr>
                <w:rFonts w:hint="eastAsia" w:ascii="Times New Roman" w:hAnsi="Times New Roman" w:cs="Times New Roman"/>
                <w:color w:val="000000"/>
                <w:szCs w:val="21"/>
                <w:highlight w:val="none"/>
                <w:lang w:val="en-US" w:eastAsia="zh-CN"/>
              </w:rPr>
              <w:t>对敏感点声环境影响较小。根据第七章环境风险分析，项目环境风险属于一般风险，在采取合理布局，加强管理等防范措施的条件下，环境风险对周边敏感目标的影响较小。</w:t>
            </w:r>
          </w:p>
          <w:p w14:paraId="28C49904">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（3）项目选址与环境功能区划的一致性</w:t>
            </w:r>
            <w:bookmarkEnd w:id="15"/>
            <w:bookmarkEnd w:id="16"/>
            <w:bookmarkEnd w:id="17"/>
            <w:bookmarkEnd w:id="18"/>
            <w:bookmarkEnd w:id="19"/>
            <w:bookmarkEnd w:id="20"/>
          </w:p>
          <w:p w14:paraId="49CCE5AB">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cs="Times New Roman"/>
                <w:color w:val="000000"/>
                <w:szCs w:val="21"/>
                <w:highlight w:val="none"/>
              </w:rPr>
            </w:pPr>
            <w:r>
              <w:rPr>
                <w:rFonts w:hint="eastAsia" w:ascii="Times New Roman" w:hAnsi="Times New Roman" w:cs="Times New Roman"/>
                <w:color w:val="000000"/>
                <w:szCs w:val="21"/>
                <w:highlight w:val="none"/>
                <w:lang w:val="en-US" w:eastAsia="zh-CN"/>
              </w:rPr>
              <w:t>本项目所在区域环境空气质量执行</w:t>
            </w:r>
            <w:r>
              <w:rPr>
                <w:rFonts w:hint="default" w:ascii="Times New Roman" w:hAnsi="Times New Roman" w:cs="Times New Roman"/>
                <w:color w:val="000000"/>
                <w:szCs w:val="21"/>
                <w:highlight w:val="none"/>
              </w:rPr>
              <w:t>《环境空气质量标准</w:t>
            </w:r>
            <w:r>
              <w:rPr>
                <w:rFonts w:hint="eastAsia" w:cs="Times New Roman"/>
                <w:color w:val="000000"/>
                <w:szCs w:val="21"/>
                <w:highlight w:val="none"/>
                <w:lang w:eastAsia="zh-CN"/>
              </w:rPr>
              <w:t>》</w:t>
            </w:r>
            <w:r>
              <w:rPr>
                <w:rFonts w:hint="default" w:ascii="Times New Roman" w:hAnsi="Times New Roman" w:cs="Times New Roman"/>
                <w:color w:val="000000"/>
                <w:szCs w:val="21"/>
                <w:highlight w:val="none"/>
              </w:rPr>
              <w:t>二级标准</w:t>
            </w:r>
            <w:r>
              <w:rPr>
                <w:rFonts w:hint="default" w:ascii="Times New Roman" w:hAnsi="Times New Roman" w:cs="Times New Roman"/>
                <w:color w:val="000000"/>
                <w:szCs w:val="21"/>
                <w:highlight w:val="none"/>
                <w:lang w:eastAsia="zh-CN"/>
              </w:rPr>
              <w:t>，</w:t>
            </w:r>
            <w:r>
              <w:rPr>
                <w:rFonts w:hint="default" w:ascii="Times New Roman" w:hAnsi="Times New Roman" w:cs="Times New Roman"/>
                <w:color w:val="000000"/>
                <w:szCs w:val="21"/>
                <w:highlight w:val="none"/>
              </w:rPr>
              <w:t>声</w:t>
            </w:r>
            <w:r>
              <w:rPr>
                <w:rFonts w:hint="eastAsia" w:ascii="Times New Roman" w:hAnsi="Times New Roman" w:cs="Times New Roman"/>
                <w:color w:val="000000"/>
                <w:szCs w:val="21"/>
                <w:highlight w:val="none"/>
                <w:lang w:val="en-US" w:eastAsia="zh-CN"/>
              </w:rPr>
              <w:t>环境质量</w:t>
            </w:r>
            <w:r>
              <w:rPr>
                <w:rFonts w:hint="default" w:ascii="Times New Roman" w:hAnsi="Times New Roman" w:cs="Times New Roman"/>
                <w:color w:val="000000"/>
                <w:szCs w:val="21"/>
                <w:highlight w:val="none"/>
              </w:rPr>
              <w:t>执行《声环境质量标准》</w:t>
            </w:r>
            <w:r>
              <w:rPr>
                <w:rFonts w:hint="eastAsia" w:ascii="Times New Roman" w:hAnsi="Times New Roman" w:cs="Times New Roman"/>
                <w:color w:val="000000"/>
                <w:szCs w:val="21"/>
                <w:highlight w:val="none"/>
                <w:lang w:val="en-US" w:eastAsia="zh-CN"/>
              </w:rPr>
              <w:t>2</w:t>
            </w:r>
            <w:r>
              <w:rPr>
                <w:rFonts w:hint="default" w:ascii="Times New Roman" w:hAnsi="Times New Roman" w:cs="Times New Roman"/>
                <w:color w:val="000000"/>
                <w:szCs w:val="21"/>
                <w:highlight w:val="none"/>
              </w:rPr>
              <w:t>类标准。预测结果表明，正常生产情况下，在对废气、废水、噪声排放采取切实有效</w:t>
            </w:r>
            <w:r>
              <w:rPr>
                <w:rFonts w:hint="eastAsia" w:cs="Times New Roman"/>
                <w:color w:val="000000"/>
                <w:szCs w:val="21"/>
                <w:highlight w:val="none"/>
                <w:lang w:val="en-US" w:eastAsia="zh-CN"/>
              </w:rPr>
              <w:t>的</w:t>
            </w:r>
            <w:r>
              <w:rPr>
                <w:rFonts w:hint="default" w:ascii="Times New Roman" w:hAnsi="Times New Roman" w:cs="Times New Roman"/>
                <w:color w:val="000000"/>
                <w:szCs w:val="21"/>
                <w:highlight w:val="none"/>
              </w:rPr>
              <w:t>污染防治措施后，均可达标排放，固体废物均得到综合利用或妥善处理处置</w:t>
            </w:r>
            <w:r>
              <w:rPr>
                <w:rFonts w:hint="eastAsia" w:ascii="Times New Roman" w:hAnsi="Times New Roman" w:cs="Times New Roman"/>
                <w:color w:val="000000"/>
                <w:szCs w:val="21"/>
                <w:highlight w:val="none"/>
                <w:lang w:eastAsia="zh-CN"/>
              </w:rPr>
              <w:t>，</w:t>
            </w:r>
            <w:r>
              <w:rPr>
                <w:rFonts w:hint="default" w:ascii="Times New Roman" w:hAnsi="Times New Roman" w:cs="Times New Roman"/>
                <w:color w:val="000000"/>
                <w:szCs w:val="21"/>
                <w:highlight w:val="none"/>
              </w:rPr>
              <w:t>对周围环境影响较小。</w:t>
            </w:r>
          </w:p>
          <w:p w14:paraId="40049B40">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cs="Times New Roman"/>
                <w:color w:val="000000"/>
                <w:szCs w:val="21"/>
                <w:highlight w:val="none"/>
              </w:rPr>
            </w:pPr>
            <w:r>
              <w:rPr>
                <w:rFonts w:hint="eastAsia" w:ascii="Times New Roman" w:hAnsi="Times New Roman" w:cs="Times New Roman"/>
                <w:color w:val="000000"/>
                <w:szCs w:val="21"/>
                <w:highlight w:val="none"/>
                <w:lang w:val="en-US" w:eastAsia="zh-CN"/>
              </w:rPr>
              <w:t>综上所述</w:t>
            </w:r>
            <w:r>
              <w:rPr>
                <w:rFonts w:hint="default" w:ascii="Times New Roman" w:hAnsi="Times New Roman" w:cs="Times New Roman"/>
                <w:color w:val="000000"/>
                <w:szCs w:val="21"/>
                <w:highlight w:val="none"/>
              </w:rPr>
              <w:t>，项目选址</w:t>
            </w:r>
            <w:r>
              <w:rPr>
                <w:rFonts w:hint="eastAsia" w:cs="Times New Roman"/>
                <w:color w:val="000000"/>
                <w:szCs w:val="21"/>
                <w:highlight w:val="none"/>
                <w:lang w:val="en-US" w:eastAsia="zh-CN"/>
              </w:rPr>
              <w:t>基本</w:t>
            </w:r>
            <w:r>
              <w:rPr>
                <w:rFonts w:hint="eastAsia" w:ascii="Times New Roman" w:hAnsi="Times New Roman" w:cs="Times New Roman"/>
                <w:color w:val="000000"/>
                <w:szCs w:val="21"/>
                <w:highlight w:val="none"/>
                <w:lang w:val="en-US" w:eastAsia="zh-CN"/>
              </w:rPr>
              <w:t>合理</w:t>
            </w:r>
            <w:r>
              <w:rPr>
                <w:rFonts w:hint="default" w:ascii="Times New Roman" w:hAnsi="Times New Roman" w:cs="Times New Roman"/>
                <w:color w:val="000000"/>
                <w:szCs w:val="21"/>
                <w:highlight w:val="none"/>
              </w:rPr>
              <w:t>。</w:t>
            </w:r>
          </w:p>
          <w:p w14:paraId="486D5971">
            <w:pPr>
              <w:pStyle w:val="74"/>
              <w:shd w:val="clear" w:color="auto" w:fill="auto"/>
              <w:ind w:firstLine="420"/>
              <w:rPr>
                <w:rFonts w:hint="default" w:ascii="Times New Roman" w:hAnsi="Times New Roman" w:cs="Times New Roman"/>
                <w:color w:val="000000"/>
                <w:szCs w:val="21"/>
                <w:highlight w:val="none"/>
              </w:rPr>
            </w:pPr>
          </w:p>
          <w:p w14:paraId="32D3E359">
            <w:pPr>
              <w:shd w:val="clear" w:color="auto" w:fill="auto"/>
              <w:rPr>
                <w:rFonts w:hint="default" w:ascii="Times New Roman" w:hAnsi="Times New Roman" w:cs="Times New Roman"/>
                <w:color w:val="000000"/>
                <w:szCs w:val="21"/>
                <w:highlight w:val="none"/>
              </w:rPr>
            </w:pPr>
          </w:p>
          <w:p w14:paraId="20B16705">
            <w:pPr>
              <w:pStyle w:val="74"/>
              <w:shd w:val="clear" w:color="auto" w:fill="auto"/>
              <w:ind w:firstLine="420"/>
              <w:rPr>
                <w:rFonts w:hint="default" w:ascii="Times New Roman" w:hAnsi="Times New Roman" w:cs="Times New Roman"/>
                <w:color w:val="000000"/>
                <w:szCs w:val="21"/>
                <w:highlight w:val="none"/>
              </w:rPr>
            </w:pPr>
          </w:p>
          <w:p w14:paraId="70F99863">
            <w:pPr>
              <w:shd w:val="clear" w:color="auto" w:fill="auto"/>
              <w:rPr>
                <w:rFonts w:hint="default" w:ascii="Times New Roman" w:hAnsi="Times New Roman" w:cs="Times New Roman"/>
                <w:color w:val="000000"/>
                <w:szCs w:val="21"/>
                <w:highlight w:val="none"/>
              </w:rPr>
            </w:pPr>
          </w:p>
          <w:p w14:paraId="1C7CF9F8">
            <w:pPr>
              <w:pStyle w:val="74"/>
              <w:shd w:val="clear" w:color="auto" w:fill="auto"/>
              <w:ind w:firstLine="420"/>
              <w:rPr>
                <w:rFonts w:hint="default" w:ascii="Times New Roman" w:hAnsi="Times New Roman" w:cs="Times New Roman"/>
                <w:color w:val="000000"/>
                <w:szCs w:val="21"/>
                <w:highlight w:val="none"/>
              </w:rPr>
            </w:pPr>
          </w:p>
          <w:p w14:paraId="76B98C15">
            <w:pPr>
              <w:shd w:val="clear" w:color="auto" w:fill="auto"/>
              <w:rPr>
                <w:rFonts w:hint="default" w:ascii="Times New Roman" w:hAnsi="Times New Roman" w:cs="Times New Roman"/>
                <w:color w:val="000000"/>
                <w:szCs w:val="21"/>
                <w:highlight w:val="none"/>
              </w:rPr>
            </w:pPr>
          </w:p>
          <w:p w14:paraId="49624E22">
            <w:pPr>
              <w:pStyle w:val="74"/>
              <w:shd w:val="clear" w:color="auto" w:fill="auto"/>
              <w:ind w:firstLine="420"/>
              <w:rPr>
                <w:rFonts w:hint="default" w:ascii="Times New Roman" w:hAnsi="Times New Roman" w:cs="Times New Roman"/>
                <w:color w:val="000000"/>
                <w:szCs w:val="21"/>
                <w:highlight w:val="none"/>
              </w:rPr>
            </w:pPr>
          </w:p>
          <w:p w14:paraId="298CFFD5">
            <w:pPr>
              <w:shd w:val="clear" w:color="auto" w:fill="auto"/>
              <w:rPr>
                <w:rFonts w:hint="default" w:ascii="Times New Roman" w:hAnsi="Times New Roman" w:cs="Times New Roman"/>
                <w:color w:val="000000"/>
                <w:szCs w:val="21"/>
                <w:highlight w:val="none"/>
              </w:rPr>
            </w:pPr>
          </w:p>
          <w:p w14:paraId="63EB3E7B">
            <w:pPr>
              <w:pStyle w:val="74"/>
              <w:shd w:val="clear" w:color="auto" w:fill="auto"/>
              <w:ind w:firstLine="420"/>
              <w:rPr>
                <w:rFonts w:hint="default" w:ascii="Times New Roman" w:hAnsi="Times New Roman" w:cs="Times New Roman"/>
                <w:color w:val="000000"/>
                <w:szCs w:val="21"/>
                <w:highlight w:val="none"/>
              </w:rPr>
            </w:pPr>
          </w:p>
          <w:p w14:paraId="66318437">
            <w:pPr>
              <w:shd w:val="clear" w:color="auto" w:fill="auto"/>
              <w:rPr>
                <w:rFonts w:hint="default" w:ascii="Times New Roman" w:hAnsi="Times New Roman" w:cs="Times New Roman"/>
                <w:color w:val="000000"/>
                <w:szCs w:val="21"/>
                <w:highlight w:val="none"/>
              </w:rPr>
            </w:pPr>
          </w:p>
          <w:p w14:paraId="6D711DCD">
            <w:pPr>
              <w:pStyle w:val="74"/>
              <w:shd w:val="clear" w:color="auto" w:fill="auto"/>
              <w:ind w:firstLine="420"/>
              <w:rPr>
                <w:rFonts w:hint="default" w:ascii="Times New Roman" w:hAnsi="Times New Roman" w:cs="Times New Roman"/>
                <w:color w:val="000000"/>
                <w:szCs w:val="21"/>
                <w:highlight w:val="none"/>
              </w:rPr>
            </w:pPr>
          </w:p>
          <w:p w14:paraId="42684EEE">
            <w:pPr>
              <w:shd w:val="clear" w:color="auto" w:fill="auto"/>
              <w:rPr>
                <w:rFonts w:hint="default" w:ascii="Times New Roman" w:hAnsi="Times New Roman" w:cs="Times New Roman"/>
                <w:color w:val="000000"/>
                <w:szCs w:val="21"/>
                <w:highlight w:val="none"/>
              </w:rPr>
            </w:pPr>
          </w:p>
          <w:p w14:paraId="3853EC23">
            <w:pPr>
              <w:pStyle w:val="74"/>
              <w:shd w:val="clear" w:color="auto" w:fill="auto"/>
              <w:ind w:firstLine="420"/>
              <w:rPr>
                <w:rFonts w:hint="default" w:ascii="Times New Roman" w:hAnsi="Times New Roman" w:cs="Times New Roman"/>
                <w:color w:val="000000"/>
                <w:szCs w:val="21"/>
                <w:highlight w:val="none"/>
              </w:rPr>
            </w:pPr>
          </w:p>
          <w:p w14:paraId="641F0E66">
            <w:pPr>
              <w:pStyle w:val="74"/>
              <w:shd w:val="clear" w:color="auto" w:fill="auto"/>
              <w:ind w:left="0" w:leftChars="0" w:firstLine="0" w:firstLineChars="0"/>
              <w:rPr>
                <w:rFonts w:hint="default" w:ascii="Times New Roman" w:hAnsi="Times New Roman" w:cs="Times New Roman"/>
                <w:color w:val="000000"/>
                <w:szCs w:val="21"/>
                <w:highlight w:val="none"/>
              </w:rPr>
            </w:pPr>
          </w:p>
          <w:p w14:paraId="601FACF1">
            <w:pPr>
              <w:pStyle w:val="22"/>
              <w:ind w:left="0" w:leftChars="0" w:firstLine="0" w:firstLineChars="0"/>
              <w:rPr>
                <w:rFonts w:hint="default"/>
              </w:rPr>
            </w:pPr>
          </w:p>
          <w:p w14:paraId="4F227544">
            <w:pPr>
              <w:pStyle w:val="74"/>
              <w:shd w:val="clear" w:color="auto" w:fill="auto"/>
              <w:ind w:left="0" w:leftChars="0" w:firstLine="0" w:firstLineChars="0"/>
              <w:rPr>
                <w:color w:val="000000"/>
                <w:highlight w:val="none"/>
              </w:rPr>
            </w:pPr>
          </w:p>
        </w:tc>
      </w:tr>
    </w:tbl>
    <w:p w14:paraId="3BF518CB">
      <w:pPr>
        <w:shd w:val="clear" w:color="auto" w:fill="auto"/>
        <w:spacing w:line="360" w:lineRule="auto"/>
        <w:outlineLvl w:val="0"/>
        <w:rPr>
          <w:rFonts w:eastAsia="黑体"/>
          <w:color w:val="000000"/>
          <w:sz w:val="21"/>
          <w:szCs w:val="21"/>
          <w:highlight w:val="none"/>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746C0050">
      <w:pPr>
        <w:pStyle w:val="66"/>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ascii="黑体" w:hAnsi="黑体" w:eastAsia="黑体"/>
          <w:snapToGrid w:val="0"/>
          <w:color w:val="000000"/>
          <w:sz w:val="30"/>
          <w:szCs w:val="30"/>
          <w:highlight w:val="none"/>
        </w:rPr>
      </w:pPr>
      <w:r>
        <w:rPr>
          <w:rFonts w:hint="eastAsia" w:ascii="黑体" w:hAnsi="黑体" w:eastAsia="黑体"/>
          <w:snapToGrid w:val="0"/>
          <w:color w:val="000000"/>
          <w:sz w:val="30"/>
          <w:szCs w:val="30"/>
          <w:highlight w:val="none"/>
        </w:rPr>
        <w:t>二、建设项目工程分析</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73"/>
        <w:gridCol w:w="8087"/>
      </w:tblGrid>
      <w:tr w14:paraId="665FDA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29" w:hRule="atLeast"/>
          <w:jc w:val="center"/>
        </w:trPr>
        <w:tc>
          <w:tcPr>
            <w:tcW w:w="537" w:type="pct"/>
            <w:shd w:val="clear" w:color="auto" w:fill="auto"/>
            <w:noWrap w:val="0"/>
            <w:vAlign w:val="center"/>
          </w:tcPr>
          <w:p w14:paraId="3721FE01">
            <w:pPr>
              <w:pStyle w:val="66"/>
              <w:shd w:val="clear" w:color="auto" w:fill="auto"/>
              <w:adjustRightInd w:val="0"/>
              <w:snapToGrid w:val="0"/>
              <w:spacing w:before="0" w:beforeAutospacing="0" w:after="0" w:afterAutospacing="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建设</w:t>
            </w:r>
          </w:p>
          <w:p w14:paraId="4F9321D3">
            <w:pPr>
              <w:pStyle w:val="66"/>
              <w:shd w:val="clear" w:color="auto" w:fill="auto"/>
              <w:adjustRightInd w:val="0"/>
              <w:snapToGrid w:val="0"/>
              <w:spacing w:before="0" w:beforeAutospacing="0" w:after="0" w:afterAutospacing="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内容</w:t>
            </w:r>
          </w:p>
        </w:tc>
        <w:tc>
          <w:tcPr>
            <w:tcW w:w="4462" w:type="pct"/>
            <w:shd w:val="clear" w:color="auto" w:fill="auto"/>
            <w:noWrap w:val="0"/>
            <w:vAlign w:val="top"/>
          </w:tcPr>
          <w:p w14:paraId="4BF120C7">
            <w:pPr>
              <w:widowControl/>
              <w:shd w:val="clear" w:color="auto" w:fill="auto"/>
              <w:adjustRightInd w:val="0"/>
              <w:snapToGrid w:val="0"/>
              <w:spacing w:line="360" w:lineRule="auto"/>
              <w:ind w:firstLine="422" w:firstLineChars="200"/>
              <w:rPr>
                <w:rFonts w:hint="default" w:ascii="Times New Roman" w:hAnsi="Times New Roman" w:cs="Times New Roman"/>
                <w:b/>
                <w:bCs/>
                <w:color w:val="000000"/>
                <w:sz w:val="21"/>
                <w:szCs w:val="21"/>
                <w:highlight w:val="none"/>
              </w:rPr>
            </w:pPr>
            <w:r>
              <w:rPr>
                <w:rFonts w:hint="eastAsia" w:cs="Times New Roman"/>
                <w:b/>
                <w:bCs/>
                <w:color w:val="000000"/>
                <w:sz w:val="21"/>
                <w:szCs w:val="21"/>
                <w:highlight w:val="none"/>
                <w:lang w:eastAsia="zh-CN"/>
              </w:rPr>
              <w:t>1.</w:t>
            </w:r>
            <w:r>
              <w:rPr>
                <w:rFonts w:hint="default" w:ascii="Times New Roman" w:hAnsi="Times New Roman" w:cs="Times New Roman"/>
                <w:b/>
                <w:bCs/>
                <w:color w:val="000000"/>
                <w:sz w:val="21"/>
                <w:szCs w:val="21"/>
                <w:highlight w:val="none"/>
              </w:rPr>
              <w:t>项目由来</w:t>
            </w:r>
          </w:p>
          <w:p w14:paraId="098E0C77">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80"/>
              <w:jc w:val="both"/>
              <w:textAlignment w:val="auto"/>
              <w:rPr>
                <w:rFonts w:hint="default"/>
                <w:color w:val="000000"/>
                <w:highlight w:val="none"/>
                <w:lang w:val="en-US" w:eastAsia="zh-CN"/>
              </w:rPr>
            </w:pPr>
            <w:r>
              <w:rPr>
                <w:rFonts w:hint="eastAsia" w:ascii="Times New Roman" w:hAnsi="Times New Roman" w:eastAsia="宋体" w:cs="Times New Roman"/>
                <w:color w:val="000000"/>
                <w:sz w:val="21"/>
                <w:szCs w:val="21"/>
                <w:highlight w:val="none"/>
                <w:lang w:val="en-US" w:eastAsia="zh-CN"/>
              </w:rPr>
              <w:t>凤翔近年来规划以建设中国名酒之乡为目标，以西凤酒为龙头，学习温州“小商品大市场”“小产业大聚集”的发展思路和经验，结合凤翔实际发挥西凤酒乡的资源优势大力发展民营酒厂，努力将凤翔建设成享誉全国的酒业大县和中国名酒之乡。</w:t>
            </w:r>
          </w:p>
          <w:p w14:paraId="0F717C56">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80"/>
              <w:jc w:val="both"/>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建设单位拟在</w:t>
            </w:r>
            <w:r>
              <w:rPr>
                <w:rFonts w:hint="eastAsia"/>
                <w:color w:val="000000"/>
                <w:sz w:val="21"/>
                <w:szCs w:val="21"/>
                <w:highlight w:val="none"/>
                <w:lang w:val="en-US" w:eastAsia="zh-CN"/>
              </w:rPr>
              <w:t>宝鸡市凤翔区陈村镇尹家务供销社院内</w:t>
            </w:r>
            <w:r>
              <w:rPr>
                <w:rFonts w:hint="eastAsia" w:ascii="Times New Roman" w:hAnsi="Times New Roman" w:eastAsia="宋体" w:cs="Times New Roman"/>
                <w:color w:val="000000"/>
                <w:sz w:val="21"/>
                <w:szCs w:val="21"/>
                <w:highlight w:val="none"/>
                <w:lang w:val="en-US" w:eastAsia="zh-CN"/>
              </w:rPr>
              <w:t>建设钢构厂房5座，办公用房2层共10间，购置白酒生产设备2套，建成白酒生产线2条，购置托盘货架100套，车辆6台，配套安装监控、消防、水电等辅助设施。</w:t>
            </w:r>
          </w:p>
          <w:p w14:paraId="00B5F9A5">
            <w:pPr>
              <w:pStyle w:val="74"/>
              <w:keepNext w:val="0"/>
              <w:keepLines w:val="0"/>
              <w:suppressLineNumbers w:val="0"/>
              <w:shd w:val="clear" w:color="auto" w:fill="auto"/>
              <w:spacing w:before="0" w:beforeAutospacing="0" w:after="0" w:afterAutospacing="0" w:line="360" w:lineRule="auto"/>
              <w:ind w:left="0" w:leftChars="0" w:right="0" w:firstLine="420" w:firstLineChars="200"/>
              <w:jc w:val="both"/>
              <w:rPr>
                <w:rFonts w:hint="default" w:ascii="Times New Roman" w:hAnsi="Times New Roman" w:cs="Times New Roman"/>
                <w:color w:val="000000"/>
                <w:highlight w:val="none"/>
                <w:lang w:val="en-US" w:eastAsia="zh-CN"/>
              </w:rPr>
            </w:pPr>
            <w:r>
              <w:rPr>
                <w:rFonts w:hint="default" w:ascii="Times New Roman" w:hAnsi="Times New Roman" w:eastAsia="宋体" w:cs="Times New Roman"/>
                <w:color w:val="000000"/>
                <w:sz w:val="21"/>
                <w:szCs w:val="21"/>
                <w:highlight w:val="none"/>
                <w:lang w:val="en-US" w:eastAsia="zh-CN"/>
              </w:rPr>
              <w:t>根据《中华人民共和国环境影响评价法》、国务院第682号令《建设</w:t>
            </w:r>
            <w:r>
              <w:rPr>
                <w:rFonts w:hint="default" w:ascii="Times New Roman" w:hAnsi="Times New Roman" w:cs="Times New Roman"/>
                <w:color w:val="000000"/>
                <w:sz w:val="21"/>
                <w:szCs w:val="21"/>
                <w:highlight w:val="none"/>
              </w:rPr>
              <w:t>项目环境保护管理条例》规定，该项目应进行环境影响评价工作。</w:t>
            </w:r>
            <w:r>
              <w:rPr>
                <w:rFonts w:hint="eastAsia" w:ascii="Times New Roman" w:hAnsi="Times New Roman" w:cs="Times New Roman"/>
                <w:color w:val="000000"/>
                <w:highlight w:val="none"/>
                <w:lang w:val="en-US" w:eastAsia="zh-CN"/>
              </w:rPr>
              <w:t>本项目生产原酒</w:t>
            </w:r>
            <w:r>
              <w:rPr>
                <w:rFonts w:hint="eastAsia" w:cs="Times New Roman"/>
                <w:color w:val="000000"/>
                <w:highlight w:val="none"/>
                <w:lang w:val="en-US" w:eastAsia="zh-CN"/>
              </w:rPr>
              <w:t>酒精度数</w:t>
            </w:r>
            <w:r>
              <w:rPr>
                <w:rFonts w:hint="eastAsia" w:ascii="Times New Roman" w:hAnsi="Times New Roman" w:cs="Times New Roman"/>
                <w:color w:val="000000"/>
                <w:highlight w:val="none"/>
                <w:lang w:val="en-US" w:eastAsia="zh-CN"/>
              </w:rPr>
              <w:t>为65℃，密度为0.89761 g/ml，年产量为</w:t>
            </w:r>
            <w:r>
              <w:rPr>
                <w:rFonts w:hint="eastAsia" w:ascii="Times New Roman" w:hAnsi="Times New Roman" w:eastAsia="宋体" w:cs="Times New Roman"/>
                <w:color w:val="000000"/>
                <w:highlight w:val="none"/>
                <w:vertAlign w:val="baseline"/>
                <w:lang w:val="en-US" w:eastAsia="zh-CN"/>
              </w:rPr>
              <w:t>600t，即原酒年产量折算容积约为668.44千升。</w:t>
            </w:r>
            <w:r>
              <w:rPr>
                <w:rFonts w:hint="eastAsia" w:ascii="Times New Roman" w:hAnsi="Times New Roman" w:cs="Times New Roman"/>
                <w:color w:val="000000"/>
                <w:sz w:val="21"/>
                <w:szCs w:val="21"/>
                <w:highlight w:val="none"/>
                <w:lang w:val="en-US" w:eastAsia="zh-CN"/>
              </w:rPr>
              <w:t>本项目属于“十二、酒、饮料制造业15-25酒的制造151*-其他（单纯勾兑的除外）”</w:t>
            </w:r>
            <w:r>
              <w:rPr>
                <w:rFonts w:hint="default" w:ascii="Times New Roman" w:hAnsi="Times New Roman" w:cs="Times New Roman"/>
                <w:color w:val="000000"/>
                <w:sz w:val="21"/>
                <w:szCs w:val="21"/>
                <w:highlight w:val="none"/>
              </w:rPr>
              <w:t>故应编制环境影响报告表</w:t>
            </w:r>
            <w:r>
              <w:rPr>
                <w:rFonts w:hint="default" w:ascii="Times New Roman" w:hAnsi="Times New Roman" w:eastAsia="宋体" w:cs="Times New Roman"/>
                <w:color w:val="000000"/>
                <w:sz w:val="21"/>
                <w:szCs w:val="21"/>
                <w:highlight w:val="none"/>
                <w:lang w:val="en-US" w:eastAsia="zh-CN"/>
              </w:rPr>
              <w:t>。</w:t>
            </w:r>
          </w:p>
          <w:p w14:paraId="518B083B">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80"/>
              <w:textAlignment w:val="auto"/>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具体见下表。</w:t>
            </w:r>
          </w:p>
          <w:p w14:paraId="41C9BB61">
            <w:pPr>
              <w:pStyle w:val="74"/>
              <w:keepNext w:val="0"/>
              <w:keepLines w:val="0"/>
              <w:suppressLineNumbers w:val="0"/>
              <w:shd w:val="clear" w:color="auto" w:fill="auto"/>
              <w:spacing w:before="0" w:beforeAutospacing="0" w:after="0" w:afterAutospacing="0" w:line="240" w:lineRule="auto"/>
              <w:ind w:left="0" w:leftChars="0" w:right="0" w:firstLine="0" w:firstLineChars="0"/>
              <w:jc w:val="center"/>
              <w:rPr>
                <w:rFonts w:hint="default" w:ascii="Times New Roman" w:hAnsi="Times New Roman" w:eastAsia="宋体" w:cs="Times New Roman"/>
                <w:b/>
                <w:color w:val="000000"/>
                <w:kern w:val="2"/>
                <w:sz w:val="21"/>
                <w:szCs w:val="21"/>
                <w:highlight w:val="none"/>
                <w:lang w:val="en-US" w:eastAsia="zh-CN" w:bidi="ar-SA"/>
              </w:rPr>
            </w:pPr>
            <w:r>
              <w:rPr>
                <w:rFonts w:hint="default" w:ascii="Times New Roman" w:hAnsi="Times New Roman" w:eastAsia="宋体" w:cs="Times New Roman"/>
                <w:b/>
                <w:color w:val="000000"/>
                <w:kern w:val="2"/>
                <w:sz w:val="21"/>
                <w:szCs w:val="21"/>
                <w:highlight w:val="none"/>
                <w:lang w:val="en-US" w:eastAsia="zh-CN" w:bidi="ar-SA"/>
              </w:rPr>
              <w:t>表2-1   建设项目环境影响评价分类管理名录</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5"/>
              <w:gridCol w:w="1045"/>
              <w:gridCol w:w="1510"/>
              <w:gridCol w:w="1125"/>
              <w:gridCol w:w="662"/>
              <w:gridCol w:w="1153"/>
              <w:gridCol w:w="1936"/>
            </w:tblGrid>
            <w:tr w14:paraId="2BD88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6" w:hRule="atLeast"/>
              </w:trPr>
              <w:tc>
                <w:tcPr>
                  <w:tcW w:w="936" w:type="pct"/>
                  <w:gridSpan w:val="2"/>
                  <w:tcBorders>
                    <w:tl2br w:val="nil"/>
                    <w:tr2bl w:val="nil"/>
                  </w:tcBorders>
                  <w:shd w:val="clear" w:color="auto" w:fill="auto"/>
                  <w:noWrap w:val="0"/>
                  <w:vAlign w:val="top"/>
                </w:tcPr>
                <w:p w14:paraId="7553C960">
                  <w:pPr>
                    <w:keepNext w:val="0"/>
                    <w:keepLines w:val="0"/>
                    <w:suppressLineNumbers w:val="0"/>
                    <w:shd w:val="clear" w:color="auto" w:fill="auto"/>
                    <w:spacing w:before="0" w:beforeAutospacing="0" w:after="0" w:afterAutospacing="0"/>
                    <w:ind w:left="0" w:right="0"/>
                    <w:jc w:val="left"/>
                    <w:rPr>
                      <w:rFonts w:hint="default" w:ascii="Times New Roman" w:hAnsi="Times New Roman" w:cs="Times New Roman"/>
                      <w:b/>
                      <w:bCs/>
                      <w:color w:val="000000"/>
                      <w:highlight w:val="none"/>
                      <w:vertAlign w:val="baseline"/>
                      <w:lang w:val="en-US" w:eastAsia="zh-CN"/>
                    </w:rPr>
                  </w:pPr>
                  <w:r>
                    <mc:AlternateContent>
                      <mc:Choice Requires="wps">
                        <w:drawing>
                          <wp:anchor distT="0" distB="0" distL="114300" distR="114300" simplePos="0" relativeHeight="251661312" behindDoc="0" locked="0" layoutInCell="1" allowOverlap="1">
                            <wp:simplePos x="0" y="0"/>
                            <wp:positionH relativeFrom="column">
                              <wp:posOffset>-87630</wp:posOffset>
                            </wp:positionH>
                            <wp:positionV relativeFrom="paragraph">
                              <wp:posOffset>286385</wp:posOffset>
                            </wp:positionV>
                            <wp:extent cx="767080" cy="270510"/>
                            <wp:effectExtent l="0" t="0" r="0" b="0"/>
                            <wp:wrapNone/>
                            <wp:docPr id="5650" name="文本框 3"/>
                            <wp:cNvGraphicFramePr/>
                            <a:graphic xmlns:a="http://schemas.openxmlformats.org/drawingml/2006/main">
                              <a:graphicData uri="http://schemas.microsoft.com/office/word/2010/wordprocessingShape">
                                <wps:wsp>
                                  <wps:cNvSpPr/>
                                  <wps:spPr>
                                    <a:xfrm>
                                      <a:off x="0" y="0"/>
                                      <a:ext cx="767080" cy="270510"/>
                                    </a:xfrm>
                                    <a:prstGeom prst="rect">
                                      <a:avLst/>
                                    </a:prstGeom>
                                    <a:noFill/>
                                    <a:ln>
                                      <a:noFill/>
                                    </a:ln>
                                  </wps:spPr>
                                  <wps:txbx>
                                    <w:txbxContent>
                                      <w:p w14:paraId="30D7FA11">
                                        <w:pPr>
                                          <w:rPr>
                                            <w:rFonts w:hint="default" w:eastAsia="宋体"/>
                                            <w:b/>
                                            <w:bCs/>
                                            <w:lang w:val="en-US" w:eastAsia="zh-CN"/>
                                          </w:rPr>
                                        </w:pPr>
                                        <w:r>
                                          <w:rPr>
                                            <w:rFonts w:hint="eastAsia"/>
                                            <w:b/>
                                            <w:bCs/>
                                            <w:lang w:val="en-US" w:eastAsia="zh-CN"/>
                                          </w:rPr>
                                          <w:t>项目类别</w:t>
                                        </w:r>
                                      </w:p>
                                    </w:txbxContent>
                                  </wps:txbx>
                                  <wps:bodyPr rot="0" spcFirstLastPara="0" vertOverflow="overflow" horzOverflow="overflow" vert="horz" wrap="square" lIns="91440" tIns="45720" rIns="91440" bIns="45720" numCol="1" anchor="t" upright="1">
                                    <a:noAutofit/>
                                  </wps:bodyPr>
                                </wps:wsp>
                              </a:graphicData>
                            </a:graphic>
                          </wp:anchor>
                        </w:drawing>
                      </mc:Choice>
                      <mc:Fallback>
                        <w:pict>
                          <v:rect id="文本框 3" o:spid="_x0000_s1026" o:spt="1" style="position:absolute;left:0pt;margin-left:-6.9pt;margin-top:22.55pt;height:21.3pt;width:60.4pt;z-index:251661312;mso-width-relative:page;mso-height-relative:page;" filled="f" stroked="f" coordsize="21600,21600" o:gfxdata="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dKnptoAAAAJAQAADwAAAAAAAAAB&#10;ACAAAAAiAAAAZHJzL2Rvd25yZXYueG1sUEsBAhQAFAAAAAgAh07iQH2ZO/gOAgAAEQQAAA4AAAAA&#10;AAAAAQAgAAAAKQEAAGRycy9lMm9Eb2MueG1sUEsFBgAAAAAGAAYAWQEAAKkFAAAAAA==&#10;">
                            <v:fill on="f" focussize="0,0"/>
                            <v:stroke on="f"/>
                            <v:imagedata o:title=""/>
                            <o:lock v:ext="edit" aspectratio="f"/>
                            <v:textbox>
                              <w:txbxContent>
                                <w:p w14:paraId="30D7FA11">
                                  <w:pPr>
                                    <w:rPr>
                                      <w:rFonts w:hint="default" w:eastAsia="宋体"/>
                                      <w:b/>
                                      <w:bCs/>
                                      <w:lang w:val="en-US" w:eastAsia="zh-CN"/>
                                    </w:rPr>
                                  </w:pPr>
                                  <w:r>
                                    <w:rPr>
                                      <w:rFonts w:hint="eastAsia"/>
                                      <w:b/>
                                      <w:bCs/>
                                      <w:lang w:val="en-US" w:eastAsia="zh-CN"/>
                                    </w:rPr>
                                    <w:t>项目类别</w:t>
                                  </w: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-5080</wp:posOffset>
                            </wp:positionV>
                            <wp:extent cx="767080" cy="320040"/>
                            <wp:effectExtent l="0" t="0" r="0" b="0"/>
                            <wp:wrapNone/>
                            <wp:docPr id="5651" name="文本框 14"/>
                            <wp:cNvGraphicFramePr/>
                            <a:graphic xmlns:a="http://schemas.openxmlformats.org/drawingml/2006/main">
                              <a:graphicData uri="http://schemas.microsoft.com/office/word/2010/wordprocessingShape">
                                <wps:wsp>
                                  <wps:cNvSpPr/>
                                  <wps:spPr>
                                    <a:xfrm>
                                      <a:off x="0" y="0"/>
                                      <a:ext cx="767080" cy="320040"/>
                                    </a:xfrm>
                                    <a:prstGeom prst="rect">
                                      <a:avLst/>
                                    </a:prstGeom>
                                    <a:noFill/>
                                    <a:ln>
                                      <a:noFill/>
                                    </a:ln>
                                  </wps:spPr>
                                  <wps:txbx>
                                    <w:txbxContent>
                                      <w:p w14:paraId="48A2B920">
                                        <w:pPr>
                                          <w:rPr>
                                            <w:rFonts w:hint="default" w:eastAsia="宋体"/>
                                            <w:b/>
                                            <w:bCs/>
                                            <w:lang w:val="en-US" w:eastAsia="zh-CN"/>
                                          </w:rPr>
                                        </w:pPr>
                                        <w:r>
                                          <w:rPr>
                                            <w:rFonts w:hint="eastAsia"/>
                                            <w:b/>
                                            <w:bCs/>
                                            <w:lang w:val="en-US" w:eastAsia="zh-CN"/>
                                          </w:rPr>
                                          <w:t>环评类别</w:t>
                                        </w:r>
                                      </w:p>
                                    </w:txbxContent>
                                  </wps:txbx>
                                  <wps:bodyPr rot="0" spcFirstLastPara="0" vertOverflow="overflow" horzOverflow="overflow" vert="horz" wrap="square" lIns="91440" tIns="45720" rIns="91440" bIns="45720" numCol="1" anchor="t" upright="1">
                                    <a:noAutofit/>
                                  </wps:bodyPr>
                                </wps:wsp>
                              </a:graphicData>
                            </a:graphic>
                          </wp:anchor>
                        </w:drawing>
                      </mc:Choice>
                      <mc:Fallback>
                        <w:pict>
                          <v:rect id="文本框 14" o:spid="_x0000_s1026" o:spt="1" style="position:absolute;left:0pt;margin-left:18pt;margin-top:-0.4pt;height:25.2pt;width:60.4pt;z-index:251661312;mso-width-relative:page;mso-height-relative:page;" filled="f" stroked="f" coordsize="21600,21600" o:gfxdata="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IfQxXYAAAABwEAAA8AAAAAAAAAAQAg&#10;AAAAIgAAAGRycy9kb3ducmV2LnhtbFBLAQIUABQAAAAIAIdO4kDv/2RTDgIAABIEAAAOAAAAAAAA&#10;AAEAIAAAACcBAABkcnMvZTJvRG9jLnhtbFBLBQYAAAAABgAGAFkBAACnBQAAAAA=&#10;">
                            <v:fill on="f" focussize="0,0"/>
                            <v:stroke on="f"/>
                            <v:imagedata o:title=""/>
                            <o:lock v:ext="edit" aspectratio="f"/>
                            <v:textbox>
                              <w:txbxContent>
                                <w:p w14:paraId="48A2B920">
                                  <w:pPr>
                                    <w:rPr>
                                      <w:rFonts w:hint="default" w:eastAsia="宋体"/>
                                      <w:b/>
                                      <w:bCs/>
                                      <w:lang w:val="en-US" w:eastAsia="zh-CN"/>
                                    </w:rPr>
                                  </w:pPr>
                                  <w:r>
                                    <w:rPr>
                                      <w:rFonts w:hint="eastAsia"/>
                                      <w:b/>
                                      <w:bCs/>
                                      <w:lang w:val="en-US" w:eastAsia="zh-CN"/>
                                    </w:rPr>
                                    <w:t>环评类别</w:t>
                                  </w:r>
                                </w:p>
                              </w:txbxContent>
                            </v:textbox>
                          </v:rect>
                        </w:pict>
                      </mc:Fallback>
                    </mc:AlternateContent>
                  </w:r>
                  <w:r>
                    <w:rPr>
                      <w:rFonts w:hint="default" w:ascii="Times New Roman" w:hAnsi="Times New Roman" w:cs="Times New Roman"/>
                      <w:b/>
                      <w:bCs/>
                      <w:color w:val="000000"/>
                      <w:sz w:val="21"/>
                      <w:highlight w:val="none"/>
                    </w:rPr>
                    <mc:AlternateContent>
                      <mc:Choice Requires="wps">
                        <w:drawing>
                          <wp:anchor distT="0" distB="0" distL="114300" distR="114300" simplePos="0" relativeHeight="251661312" behindDoc="0" locked="0" layoutInCell="1" allowOverlap="1">
                            <wp:simplePos x="0" y="0"/>
                            <wp:positionH relativeFrom="column">
                              <wp:posOffset>-67310</wp:posOffset>
                            </wp:positionH>
                            <wp:positionV relativeFrom="paragraph">
                              <wp:posOffset>-1270</wp:posOffset>
                            </wp:positionV>
                            <wp:extent cx="934720" cy="552450"/>
                            <wp:effectExtent l="2540" t="3810" r="15240" b="15240"/>
                            <wp:wrapNone/>
                            <wp:docPr id="5652" name="直接连接符 13"/>
                            <wp:cNvGraphicFramePr/>
                            <a:graphic xmlns:a="http://schemas.openxmlformats.org/drawingml/2006/main">
                              <a:graphicData uri="http://schemas.microsoft.com/office/word/2010/wordprocessingShape">
                                <wps:wsp>
                                  <wps:cNvCnPr/>
                                  <wps:spPr>
                                    <a:xfrm>
                                      <a:off x="0" y="0"/>
                                      <a:ext cx="934720" cy="552450"/>
                                    </a:xfrm>
                                    <a:prstGeom prst="straightConnector1">
                                      <a:avLst/>
                                    </a:prstGeom>
                                    <a:noFill/>
                                    <a:ln w="9525" cap="flat" cmpd="sng">
                                      <a:solidFill>
                                        <a:srgbClr val="000000"/>
                                      </a:solidFill>
                                      <a:prstDash val="solid"/>
                                      <a:round/>
                                      <a:headEnd type="none" w="med" len="med"/>
                                      <a:tailEnd type="none" w="med" len="med"/>
                                    </a:ln>
                                  </wps:spPr>
                                  <wps:bodyPr rot="0" spcFirstLastPara="0" vertOverflow="overflow" horzOverflow="overflow" vert="horz" wrap="square" lIns="91440" tIns="45720" rIns="91440" bIns="45720" numCol="1" anchor="t" upright="1">
                                    <a:noAutofit/>
                                  </wps:bodyPr>
                                </wps:wsp>
                              </a:graphicData>
                            </a:graphic>
                          </wp:anchor>
                        </w:drawing>
                      </mc:Choice>
                      <mc:Fallback>
                        <w:pict>
                          <v:shape id="直接连接符 13" o:spid="_x0000_s1026" o:spt="32" type="#_x0000_t32" style="position:absolute;left:0pt;margin-left:-5.3pt;margin-top:-0.1pt;height:43.5pt;width:73.6pt;z-index:251661312;mso-width-relative:page;mso-height-relative:page;" filled="f" stroked="t" coordsize="21600,21600" o:gfxdata="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I44eG9YAAAAIAQAADwAAAAAAAAABACAAAAAiAAAAZHJzL2Rvd25yZXYu&#10;eG1sUEsBAhQAFAAAAAgAh07iQCtXqTlvAgAA2gQAAA4AAAAAAAAAAQAgAAAAJQEAAGRycy9lMm9E&#10;b2MueG1sUEsFBgAAAAAGAAYAWQEAAAYGAAAAAA==&#10;">
                            <v:fill on="f" focussize="0,0"/>
                            <v:stroke color="#000000" joinstyle="round"/>
                            <v:imagedata o:title=""/>
                            <o:lock v:ext="edit" aspectratio="f"/>
                          </v:shape>
                        </w:pict>
                      </mc:Fallback>
                    </mc:AlternateContent>
                  </w:r>
                </w:p>
              </w:tc>
              <w:tc>
                <w:tcPr>
                  <w:tcW w:w="961" w:type="pct"/>
                  <w:tcBorders>
                    <w:tl2br w:val="nil"/>
                    <w:tr2bl w:val="nil"/>
                  </w:tcBorders>
                  <w:shd w:val="clear" w:color="auto" w:fill="auto"/>
                  <w:noWrap w:val="0"/>
                  <w:vAlign w:val="center"/>
                </w:tcPr>
                <w:p w14:paraId="0F9687AE">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color w:val="000000"/>
                      <w:highlight w:val="none"/>
                      <w:vertAlign w:val="baseline"/>
                      <w:lang w:val="en-US" w:eastAsia="zh-CN"/>
                    </w:rPr>
                  </w:pPr>
                  <w:r>
                    <w:rPr>
                      <w:rFonts w:hint="default" w:ascii="Times New Roman" w:hAnsi="Times New Roman" w:cs="Times New Roman"/>
                      <w:b/>
                      <w:bCs/>
                      <w:color w:val="000000"/>
                      <w:highlight w:val="none"/>
                      <w:vertAlign w:val="baseline"/>
                      <w:lang w:val="en-US" w:eastAsia="zh-CN"/>
                    </w:rPr>
                    <w:t>报告书</w:t>
                  </w:r>
                </w:p>
              </w:tc>
              <w:tc>
                <w:tcPr>
                  <w:tcW w:w="716" w:type="pct"/>
                  <w:tcBorders>
                    <w:tl2br w:val="nil"/>
                    <w:tr2bl w:val="nil"/>
                  </w:tcBorders>
                  <w:shd w:val="clear" w:color="auto" w:fill="auto"/>
                  <w:noWrap w:val="0"/>
                  <w:vAlign w:val="center"/>
                </w:tcPr>
                <w:p w14:paraId="5880F30F">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color w:val="000000"/>
                      <w:highlight w:val="none"/>
                      <w:vertAlign w:val="baseline"/>
                      <w:lang w:val="en-US" w:eastAsia="zh-CN"/>
                    </w:rPr>
                  </w:pPr>
                  <w:r>
                    <w:rPr>
                      <w:rFonts w:hint="default" w:ascii="Times New Roman" w:hAnsi="Times New Roman" w:cs="Times New Roman"/>
                      <w:b/>
                      <w:bCs/>
                      <w:color w:val="000000"/>
                      <w:highlight w:val="none"/>
                      <w:vertAlign w:val="baseline"/>
                      <w:lang w:val="en-US" w:eastAsia="zh-CN"/>
                    </w:rPr>
                    <w:t>报告表</w:t>
                  </w:r>
                </w:p>
              </w:tc>
              <w:tc>
                <w:tcPr>
                  <w:tcW w:w="421" w:type="pct"/>
                  <w:tcBorders>
                    <w:tl2br w:val="nil"/>
                    <w:tr2bl w:val="nil"/>
                  </w:tcBorders>
                  <w:shd w:val="clear" w:color="auto" w:fill="auto"/>
                  <w:noWrap w:val="0"/>
                  <w:vAlign w:val="center"/>
                </w:tcPr>
                <w:p w14:paraId="71923FF5">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color w:val="000000"/>
                      <w:highlight w:val="none"/>
                      <w:vertAlign w:val="baseline"/>
                      <w:lang w:val="en-US" w:eastAsia="zh-CN"/>
                    </w:rPr>
                  </w:pPr>
                  <w:r>
                    <w:rPr>
                      <w:rFonts w:hint="default" w:ascii="Times New Roman" w:hAnsi="Times New Roman" w:cs="Times New Roman"/>
                      <w:b/>
                      <w:bCs/>
                      <w:color w:val="000000"/>
                      <w:highlight w:val="none"/>
                      <w:vertAlign w:val="baseline"/>
                      <w:lang w:val="en-US" w:eastAsia="zh-CN"/>
                    </w:rPr>
                    <w:t>登记表</w:t>
                  </w:r>
                </w:p>
              </w:tc>
              <w:tc>
                <w:tcPr>
                  <w:tcW w:w="734" w:type="pct"/>
                  <w:tcBorders>
                    <w:tl2br w:val="nil"/>
                    <w:tr2bl w:val="nil"/>
                  </w:tcBorders>
                  <w:shd w:val="clear" w:color="auto" w:fill="auto"/>
                  <w:noWrap w:val="0"/>
                  <w:vAlign w:val="center"/>
                </w:tcPr>
                <w:p w14:paraId="76376A84">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color w:val="000000"/>
                      <w:highlight w:val="none"/>
                      <w:vertAlign w:val="baseline"/>
                      <w:lang w:val="en-US" w:eastAsia="zh-CN"/>
                    </w:rPr>
                  </w:pPr>
                  <w:r>
                    <w:rPr>
                      <w:rFonts w:hint="default" w:ascii="Times New Roman" w:hAnsi="Times New Roman" w:cs="Times New Roman"/>
                      <w:b/>
                      <w:bCs/>
                      <w:color w:val="000000"/>
                      <w:highlight w:val="none"/>
                      <w:vertAlign w:val="baseline"/>
                      <w:lang w:val="en-US" w:eastAsia="zh-CN"/>
                    </w:rPr>
                    <w:t>本栏目环境敏感区含义</w:t>
                  </w:r>
                </w:p>
              </w:tc>
              <w:tc>
                <w:tcPr>
                  <w:tcW w:w="1229" w:type="pct"/>
                  <w:tcBorders>
                    <w:tl2br w:val="nil"/>
                    <w:tr2bl w:val="nil"/>
                  </w:tcBorders>
                  <w:shd w:val="clear" w:color="auto" w:fill="auto"/>
                  <w:noWrap w:val="0"/>
                  <w:vAlign w:val="center"/>
                </w:tcPr>
                <w:p w14:paraId="086FFDCB">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color w:val="000000"/>
                      <w:highlight w:val="none"/>
                      <w:vertAlign w:val="baseline"/>
                      <w:lang w:val="en-US" w:eastAsia="zh-CN"/>
                    </w:rPr>
                  </w:pPr>
                </w:p>
              </w:tc>
            </w:tr>
            <w:tr w14:paraId="4287E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8" w:hRule="atLeast"/>
              </w:trPr>
              <w:tc>
                <w:tcPr>
                  <w:tcW w:w="5000" w:type="pct"/>
                  <w:gridSpan w:val="7"/>
                  <w:tcBorders>
                    <w:tl2br w:val="nil"/>
                    <w:tr2bl w:val="nil"/>
                  </w:tcBorders>
                  <w:shd w:val="clear" w:color="auto" w:fill="auto"/>
                  <w:noWrap w:val="0"/>
                  <w:vAlign w:val="center"/>
                </w:tcPr>
                <w:p w14:paraId="2AF60EE6">
                  <w:pPr>
                    <w:keepNext w:val="0"/>
                    <w:keepLines w:val="0"/>
                    <w:suppressLineNumbers w:val="0"/>
                    <w:shd w:val="clear" w:color="auto" w:fill="auto"/>
                    <w:spacing w:before="0" w:beforeAutospacing="0" w:after="0" w:afterAutospacing="0"/>
                    <w:ind w:left="0" w:right="0"/>
                    <w:jc w:val="left"/>
                    <w:rPr>
                      <w:rFonts w:hint="default" w:ascii="Times New Roman" w:hAnsi="Times New Roman" w:eastAsia="宋体" w:cs="Times New Roman"/>
                      <w:color w:val="000000"/>
                      <w:highlight w:val="none"/>
                      <w:vertAlign w:val="baseline"/>
                      <w:lang w:val="en-US" w:eastAsia="zh-CN"/>
                    </w:rPr>
                  </w:pPr>
                  <w:r>
                    <w:rPr>
                      <w:rFonts w:hint="eastAsia" w:ascii="Times New Roman" w:hAnsi="Times New Roman" w:cs="Times New Roman"/>
                      <w:color w:val="000000"/>
                      <w:sz w:val="21"/>
                      <w:szCs w:val="21"/>
                      <w:highlight w:val="none"/>
                      <w:lang w:val="en-US" w:eastAsia="zh-CN"/>
                    </w:rPr>
                    <w:t>十二、酒、饮料制造业</w:t>
                  </w:r>
                </w:p>
              </w:tc>
            </w:tr>
            <w:tr w14:paraId="33539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71" w:type="pct"/>
                  <w:tcBorders>
                    <w:tl2br w:val="nil"/>
                    <w:tr2bl w:val="nil"/>
                  </w:tcBorders>
                  <w:shd w:val="clear" w:color="auto" w:fill="auto"/>
                  <w:noWrap w:val="0"/>
                  <w:vAlign w:val="center"/>
                </w:tcPr>
                <w:p w14:paraId="751C6922">
                  <w:pPr>
                    <w:keepNext w:val="0"/>
                    <w:keepLines w:val="0"/>
                    <w:suppressLineNumbers w:val="0"/>
                    <w:shd w:val="clear" w:color="auto" w:fill="auto"/>
                    <w:spacing w:before="0" w:beforeAutospacing="0" w:after="0" w:afterAutospacing="0"/>
                    <w:ind w:left="0" w:right="0"/>
                    <w:jc w:val="left"/>
                    <w:rPr>
                      <w:rFonts w:hint="default" w:ascii="Times New Roman" w:hAnsi="Times New Roman" w:cs="Times New Roman"/>
                      <w:color w:val="000000"/>
                      <w:highlight w:val="none"/>
                      <w:vertAlign w:val="baseline"/>
                      <w:lang w:val="en-US" w:eastAsia="zh-CN"/>
                    </w:rPr>
                  </w:pPr>
                  <w:r>
                    <w:rPr>
                      <w:rFonts w:hint="eastAsia" w:ascii="Times New Roman" w:hAnsi="Times New Roman" w:cs="Times New Roman"/>
                      <w:color w:val="000000"/>
                      <w:highlight w:val="none"/>
                      <w:vertAlign w:val="baseline"/>
                      <w:lang w:val="en-US" w:eastAsia="zh-CN"/>
                    </w:rPr>
                    <w:t>25</w:t>
                  </w:r>
                </w:p>
              </w:tc>
              <w:tc>
                <w:tcPr>
                  <w:tcW w:w="664" w:type="pct"/>
                  <w:tcBorders>
                    <w:tl2br w:val="nil"/>
                    <w:tr2bl w:val="nil"/>
                  </w:tcBorders>
                  <w:shd w:val="clear" w:color="auto" w:fill="auto"/>
                  <w:noWrap w:val="0"/>
                  <w:vAlign w:val="center"/>
                </w:tcPr>
                <w:p w14:paraId="50A61B43">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000000"/>
                      <w:highlight w:val="none"/>
                      <w:vertAlign w:val="baseline"/>
                      <w:lang w:val="en-US" w:eastAsia="zh-CN"/>
                    </w:rPr>
                  </w:pPr>
                  <w:r>
                    <w:rPr>
                      <w:rFonts w:hint="eastAsia" w:ascii="Times New Roman" w:hAnsi="Times New Roman" w:eastAsia="宋体" w:cs="Times New Roman"/>
                      <w:color w:val="000000"/>
                      <w:highlight w:val="none"/>
                      <w:vertAlign w:val="baseline"/>
                      <w:lang w:val="en-US" w:eastAsia="zh-CN"/>
                    </w:rPr>
                    <w:t>酒的制造151*</w:t>
                  </w:r>
                </w:p>
              </w:tc>
              <w:tc>
                <w:tcPr>
                  <w:tcW w:w="961" w:type="pct"/>
                  <w:tcBorders>
                    <w:tl2br w:val="nil"/>
                    <w:tr2bl w:val="nil"/>
                  </w:tcBorders>
                  <w:shd w:val="clear" w:color="auto" w:fill="auto"/>
                  <w:noWrap w:val="0"/>
                  <w:vAlign w:val="center"/>
                </w:tcPr>
                <w:p w14:paraId="170FB49B">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highlight w:val="none"/>
                      <w:vertAlign w:val="baseline"/>
                      <w:lang w:val="en-US" w:eastAsia="zh-CN"/>
                    </w:rPr>
                  </w:pPr>
                  <w:r>
                    <w:rPr>
                      <w:rFonts w:hint="eastAsia" w:ascii="Times New Roman" w:hAnsi="Times New Roman" w:cs="Times New Roman"/>
                      <w:color w:val="000000"/>
                      <w:highlight w:val="none"/>
                      <w:vertAlign w:val="baseline"/>
                      <w:lang w:val="en-US" w:eastAsia="zh-CN"/>
                    </w:rPr>
                    <w:t>有发酵工艺的（年生产能力1000m³以下的除外）</w:t>
                  </w:r>
                </w:p>
              </w:tc>
              <w:tc>
                <w:tcPr>
                  <w:tcW w:w="716" w:type="pct"/>
                  <w:tcBorders>
                    <w:tl2br w:val="nil"/>
                    <w:tr2bl w:val="nil"/>
                  </w:tcBorders>
                  <w:shd w:val="clear" w:color="auto" w:fill="auto"/>
                  <w:noWrap w:val="0"/>
                  <w:vAlign w:val="center"/>
                </w:tcPr>
                <w:p w14:paraId="0963AA6D">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highlight w:val="none"/>
                      <w:vertAlign w:val="baseline"/>
                      <w:lang w:val="en-US" w:eastAsia="zh-CN"/>
                    </w:rPr>
                  </w:pPr>
                  <w:r>
                    <w:rPr>
                      <w:rFonts w:hint="eastAsia" w:ascii="Times New Roman" w:hAnsi="Times New Roman" w:cs="Times New Roman"/>
                      <w:color w:val="000000"/>
                      <w:highlight w:val="none"/>
                      <w:vertAlign w:val="baseline"/>
                      <w:lang w:val="en-US" w:eastAsia="zh-CN"/>
                    </w:rPr>
                    <w:t>其他（单纯混合分装的除外）</w:t>
                  </w:r>
                </w:p>
              </w:tc>
              <w:tc>
                <w:tcPr>
                  <w:tcW w:w="421" w:type="pct"/>
                  <w:tcBorders>
                    <w:tl2br w:val="nil"/>
                    <w:tr2bl w:val="nil"/>
                  </w:tcBorders>
                  <w:shd w:val="clear" w:color="auto" w:fill="auto"/>
                  <w:noWrap w:val="0"/>
                  <w:vAlign w:val="center"/>
                </w:tcPr>
                <w:p w14:paraId="00F85417">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highlight w:val="none"/>
                      <w:vertAlign w:val="baseline"/>
                      <w:lang w:val="en-US" w:eastAsia="zh-CN"/>
                    </w:rPr>
                  </w:pPr>
                  <w:r>
                    <w:rPr>
                      <w:rFonts w:hint="default" w:ascii="Times New Roman" w:hAnsi="Times New Roman" w:cs="Times New Roman"/>
                      <w:color w:val="000000"/>
                      <w:highlight w:val="none"/>
                      <w:vertAlign w:val="baseline"/>
                      <w:lang w:val="en-US" w:eastAsia="zh-CN"/>
                    </w:rPr>
                    <w:t>/</w:t>
                  </w:r>
                </w:p>
              </w:tc>
              <w:tc>
                <w:tcPr>
                  <w:tcW w:w="734" w:type="pct"/>
                  <w:tcBorders>
                    <w:tl2br w:val="nil"/>
                    <w:tr2bl w:val="nil"/>
                  </w:tcBorders>
                  <w:shd w:val="clear" w:color="auto" w:fill="auto"/>
                  <w:noWrap w:val="0"/>
                  <w:vAlign w:val="center"/>
                </w:tcPr>
                <w:p w14:paraId="5A42B1E0">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highlight w:val="none"/>
                      <w:vertAlign w:val="baseline"/>
                      <w:lang w:val="en-US" w:eastAsia="zh-CN"/>
                    </w:rPr>
                  </w:pPr>
                  <w:r>
                    <w:rPr>
                      <w:rFonts w:hint="default" w:ascii="Times New Roman" w:hAnsi="Times New Roman" w:cs="Times New Roman"/>
                      <w:b/>
                      <w:bCs/>
                      <w:color w:val="000000"/>
                      <w:highlight w:val="none"/>
                      <w:vertAlign w:val="baseline"/>
                      <w:lang w:val="en-US" w:eastAsia="zh-CN"/>
                    </w:rPr>
                    <w:t>/</w:t>
                  </w:r>
                </w:p>
              </w:tc>
              <w:tc>
                <w:tcPr>
                  <w:tcW w:w="1229" w:type="pct"/>
                  <w:tcBorders>
                    <w:tl2br w:val="nil"/>
                    <w:tr2bl w:val="nil"/>
                  </w:tcBorders>
                  <w:shd w:val="clear" w:color="auto" w:fill="auto"/>
                  <w:noWrap w:val="0"/>
                  <w:vAlign w:val="center"/>
                </w:tcPr>
                <w:p w14:paraId="0E2270B3">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color w:val="000000"/>
                      <w:highlight w:val="none"/>
                      <w:vertAlign w:val="baseline"/>
                      <w:lang w:val="en-US" w:eastAsia="zh-CN"/>
                    </w:rPr>
                  </w:pPr>
                  <w:r>
                    <w:rPr>
                      <w:rFonts w:hint="eastAsia" w:ascii="Times New Roman" w:hAnsi="Times New Roman" w:eastAsia="宋体" w:cs="Times New Roman"/>
                      <w:color w:val="000000"/>
                      <w:highlight w:val="none"/>
                      <w:vertAlign w:val="baseline"/>
                      <w:lang w:val="en-US" w:eastAsia="zh-CN"/>
                    </w:rPr>
                    <w:t>本项目白酒生产含发酵工艺，但生产能力为668.44m³/年，应编制报告表</w:t>
                  </w:r>
                </w:p>
              </w:tc>
            </w:tr>
          </w:tbl>
          <w:p w14:paraId="43807702">
            <w:pPr>
              <w:shd w:val="clear" w:color="auto" w:fill="auto"/>
              <w:wordWrap w:val="0"/>
              <w:spacing w:line="360" w:lineRule="auto"/>
              <w:ind w:firstLine="408" w:firstLineChars="200"/>
              <w:rPr>
                <w:rFonts w:hint="default" w:ascii="Times New Roman" w:hAnsi="Times New Roman" w:cs="Times New Roman"/>
                <w:color w:val="000000"/>
                <w:sz w:val="21"/>
                <w:szCs w:val="21"/>
                <w:highlight w:val="none"/>
              </w:rPr>
            </w:pPr>
            <w:r>
              <w:rPr>
                <w:rFonts w:hint="default" w:ascii="Times New Roman" w:hAnsi="Times New Roman" w:eastAsia="宋体" w:cs="Times New Roman"/>
                <w:color w:val="000000"/>
                <w:spacing w:val="-3"/>
                <w:kern w:val="2"/>
                <w:sz w:val="21"/>
                <w:szCs w:val="24"/>
                <w:highlight w:val="none"/>
                <w:lang w:val="en-US" w:eastAsia="zh-CN" w:bidi="zh-CN"/>
              </w:rPr>
              <w:t>为此，</w:t>
            </w:r>
            <w:r>
              <w:rPr>
                <w:rFonts w:hint="eastAsia" w:ascii="Times New Roman" w:hAnsi="Times New Roman" w:eastAsia="宋体" w:cs="Times New Roman"/>
                <w:color w:val="000000"/>
                <w:sz w:val="21"/>
                <w:szCs w:val="21"/>
                <w:highlight w:val="none"/>
                <w:lang w:eastAsia="zh-CN"/>
              </w:rPr>
              <w:t>陕西雍州盛翔酒业有限公司</w:t>
            </w:r>
            <w:r>
              <w:rPr>
                <w:rFonts w:hint="default" w:ascii="Times New Roman" w:hAnsi="Times New Roman" w:eastAsia="宋体" w:cs="Times New Roman"/>
                <w:color w:val="000000"/>
                <w:spacing w:val="-3"/>
                <w:kern w:val="2"/>
                <w:sz w:val="21"/>
                <w:szCs w:val="24"/>
                <w:highlight w:val="none"/>
                <w:lang w:val="zh-CN" w:eastAsia="zh-CN" w:bidi="zh-CN"/>
              </w:rPr>
              <w:t>委托我单位承担本项目环境影响报告表的编制工作，委托书见附件1，接受委托后，我单位组织有关技术人员对本项目进行了详细的现场踏勘、资料收集，在对有关环境现状和可能造成的环境影响进行分析的基础上，</w:t>
            </w:r>
            <w:r>
              <w:rPr>
                <w:rFonts w:hint="eastAsia" w:ascii="Times New Roman" w:hAnsi="Times New Roman" w:eastAsia="宋体" w:cs="Times New Roman"/>
                <w:color w:val="000000"/>
                <w:spacing w:val="-3"/>
                <w:kern w:val="2"/>
                <w:sz w:val="21"/>
                <w:szCs w:val="24"/>
                <w:highlight w:val="none"/>
                <w:lang w:val="en-US" w:eastAsia="zh-CN" w:bidi="zh-CN"/>
              </w:rPr>
              <w:t>编制了</w:t>
            </w:r>
            <w:r>
              <w:rPr>
                <w:rFonts w:hint="default" w:ascii="Times New Roman" w:hAnsi="Times New Roman" w:eastAsia="宋体" w:cs="Times New Roman"/>
                <w:color w:val="000000"/>
                <w:spacing w:val="-3"/>
                <w:kern w:val="2"/>
                <w:sz w:val="21"/>
                <w:szCs w:val="24"/>
                <w:highlight w:val="none"/>
                <w:lang w:val="zh-CN" w:eastAsia="zh-CN" w:bidi="zh-CN"/>
              </w:rPr>
              <w:t>《</w:t>
            </w:r>
            <w:r>
              <w:rPr>
                <w:rFonts w:hint="eastAsia" w:ascii="Times New Roman" w:hAnsi="Times New Roman" w:eastAsia="宋体" w:cs="Times New Roman"/>
                <w:color w:val="000000"/>
                <w:sz w:val="21"/>
                <w:szCs w:val="21"/>
                <w:highlight w:val="none"/>
                <w:lang w:eastAsia="zh-CN"/>
              </w:rPr>
              <w:t>陕西雍州盛翔酒业有限公司</w:t>
            </w:r>
            <w:r>
              <w:rPr>
                <w:rFonts w:hint="eastAsia" w:ascii="Times New Roman" w:hAnsi="Times New Roman" w:eastAsia="宋体" w:cs="Times New Roman"/>
                <w:color w:val="000000"/>
                <w:sz w:val="21"/>
                <w:szCs w:val="21"/>
                <w:highlight w:val="none"/>
                <w:lang w:val="en-US" w:eastAsia="zh-CN"/>
              </w:rPr>
              <w:t>年产600吨白酒加工生产项目</w:t>
            </w:r>
            <w:r>
              <w:rPr>
                <w:rFonts w:hint="default" w:ascii="Times New Roman" w:hAnsi="Times New Roman" w:eastAsia="宋体" w:cs="Times New Roman"/>
                <w:color w:val="000000"/>
                <w:spacing w:val="-3"/>
                <w:kern w:val="2"/>
                <w:sz w:val="21"/>
                <w:szCs w:val="24"/>
                <w:highlight w:val="none"/>
                <w:lang w:val="zh-CN" w:eastAsia="zh-CN" w:bidi="zh-CN"/>
              </w:rPr>
              <w:t>环境影响报告表》。</w:t>
            </w:r>
          </w:p>
          <w:p w14:paraId="3DBEC403">
            <w:pPr>
              <w:widowControl/>
              <w:shd w:val="clear" w:color="auto" w:fill="auto"/>
              <w:adjustRightInd w:val="0"/>
              <w:snapToGrid w:val="0"/>
              <w:spacing w:line="360" w:lineRule="auto"/>
              <w:ind w:firstLine="422" w:firstLineChars="200"/>
              <w:rPr>
                <w:rFonts w:hint="default" w:ascii="Times New Roman" w:hAnsi="Times New Roman" w:cs="Times New Roman"/>
                <w:b/>
                <w:bCs/>
                <w:color w:val="000000"/>
                <w:sz w:val="21"/>
                <w:szCs w:val="21"/>
                <w:highlight w:val="none"/>
              </w:rPr>
            </w:pPr>
            <w:r>
              <w:rPr>
                <w:rFonts w:hint="eastAsia" w:cs="Times New Roman"/>
                <w:b/>
                <w:bCs/>
                <w:color w:val="000000"/>
                <w:sz w:val="21"/>
                <w:szCs w:val="21"/>
                <w:highlight w:val="none"/>
                <w:lang w:eastAsia="zh-CN"/>
              </w:rPr>
              <w:t>2.</w:t>
            </w:r>
            <w:r>
              <w:rPr>
                <w:rFonts w:hint="default" w:ascii="Times New Roman" w:hAnsi="Times New Roman" w:cs="Times New Roman"/>
                <w:b/>
                <w:bCs/>
                <w:color w:val="000000"/>
                <w:sz w:val="21"/>
                <w:szCs w:val="21"/>
                <w:highlight w:val="none"/>
              </w:rPr>
              <w:t>项目概况</w:t>
            </w:r>
          </w:p>
          <w:p w14:paraId="0F98260B">
            <w:pPr>
              <w:shd w:val="clear" w:color="auto" w:fill="auto"/>
              <w:spacing w:line="360" w:lineRule="auto"/>
              <w:ind w:firstLine="420" w:firstLineChars="200"/>
              <w:rPr>
                <w:rFonts w:hint="default" w:ascii="Times New Roman" w:hAnsi="Times New Roman" w:eastAsia="宋体" w:cs="Times New Roman"/>
                <w:color w:val="000000"/>
                <w:sz w:val="21"/>
                <w:szCs w:val="21"/>
                <w:highlight w:val="none"/>
                <w:lang w:eastAsia="zh-CN"/>
              </w:rPr>
            </w:pPr>
            <w:r>
              <w:rPr>
                <w:rFonts w:hint="default" w:ascii="Times New Roman" w:hAnsi="Times New Roman" w:cs="Times New Roman"/>
                <w:color w:val="000000"/>
                <w:sz w:val="21"/>
                <w:szCs w:val="21"/>
                <w:highlight w:val="none"/>
              </w:rPr>
              <w:t>项目名称：</w:t>
            </w:r>
            <w:r>
              <w:rPr>
                <w:rFonts w:hint="eastAsia" w:ascii="Times New Roman" w:hAnsi="Times New Roman" w:cs="Times New Roman"/>
                <w:color w:val="000000"/>
                <w:sz w:val="21"/>
                <w:szCs w:val="21"/>
                <w:highlight w:val="none"/>
                <w:lang w:eastAsia="zh-CN"/>
              </w:rPr>
              <w:t>年产600吨白酒加工生产项目</w:t>
            </w:r>
          </w:p>
          <w:p w14:paraId="1D082410">
            <w:pPr>
              <w:shd w:val="clear" w:color="auto" w:fill="auto"/>
              <w:spacing w:line="360" w:lineRule="auto"/>
              <w:ind w:firstLine="420" w:firstLineChars="200"/>
              <w:rPr>
                <w:rFonts w:hint="default" w:ascii="Times New Roman" w:hAnsi="Times New Roman" w:eastAsia="宋体" w:cs="Times New Roman"/>
                <w:color w:val="000000"/>
                <w:sz w:val="21"/>
                <w:szCs w:val="21"/>
                <w:highlight w:val="none"/>
                <w:lang w:eastAsia="zh-CN"/>
              </w:rPr>
            </w:pPr>
            <w:r>
              <w:rPr>
                <w:rFonts w:hint="default" w:ascii="Times New Roman" w:hAnsi="Times New Roman" w:cs="Times New Roman"/>
                <w:color w:val="000000"/>
                <w:sz w:val="21"/>
                <w:szCs w:val="21"/>
                <w:highlight w:val="none"/>
              </w:rPr>
              <w:t>建设单位：</w:t>
            </w:r>
            <w:r>
              <w:rPr>
                <w:rFonts w:hint="eastAsia" w:ascii="Times New Roman" w:hAnsi="Times New Roman" w:cs="Times New Roman"/>
                <w:color w:val="000000"/>
                <w:sz w:val="21"/>
                <w:szCs w:val="21"/>
                <w:highlight w:val="none"/>
                <w:lang w:eastAsia="zh-CN"/>
              </w:rPr>
              <w:t>陕西雍州盛翔酒业有限公司</w:t>
            </w:r>
          </w:p>
          <w:p w14:paraId="7CEF464A">
            <w:pPr>
              <w:keepNext w:val="0"/>
              <w:keepLines w:val="0"/>
              <w:pageBreakBefore w:val="0"/>
              <w:shd w:val="clear" w:color="auto" w:fill="auto"/>
              <w:kinsoku/>
              <w:wordWrap/>
              <w:overflowPunct/>
              <w:topLinePunct w:val="0"/>
              <w:autoSpaceDE/>
              <w:autoSpaceDN/>
              <w:bidi w:val="0"/>
              <w:adjustRightInd w:val="0"/>
              <w:snapToGrid w:val="0"/>
              <w:spacing w:beforeAutospacing="0" w:afterAutospacing="0" w:line="360" w:lineRule="auto"/>
              <w:ind w:leftChars="0" w:firstLine="420" w:firstLineChars="200"/>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rPr>
              <w:t>建设性质：</w:t>
            </w:r>
            <w:r>
              <w:rPr>
                <w:rFonts w:hint="eastAsia" w:ascii="Times New Roman" w:hAnsi="Times New Roman" w:cs="Times New Roman"/>
                <w:color w:val="000000"/>
                <w:sz w:val="21"/>
                <w:szCs w:val="21"/>
                <w:highlight w:val="none"/>
                <w:lang w:val="en-US" w:eastAsia="zh-CN"/>
              </w:rPr>
              <w:t>新建</w:t>
            </w:r>
          </w:p>
          <w:p w14:paraId="060D83C3">
            <w:pPr>
              <w:pStyle w:val="61"/>
              <w:keepNext w:val="0"/>
              <w:keepLines w:val="0"/>
              <w:pageBreakBefore w:val="0"/>
              <w:shd w:val="clear" w:color="auto" w:fill="auto"/>
              <w:kinsoku/>
              <w:wordWrap/>
              <w:overflowPunct/>
              <w:topLinePunct w:val="0"/>
              <w:autoSpaceDE/>
              <w:autoSpaceDN/>
              <w:bidi w:val="0"/>
              <w:adjustRightInd w:val="0"/>
              <w:snapToGrid w:val="0"/>
              <w:spacing w:before="0" w:beforeAutospacing="0" w:after="0" w:afterAutospacing="0"/>
              <w:ind w:left="420" w:leftChars="200" w:firstLine="0" w:firstLineChars="0"/>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总投资：</w:t>
            </w:r>
            <w:r>
              <w:rPr>
                <w:rFonts w:hint="eastAsia" w:ascii="Times New Roman" w:hAnsi="Times New Roman" w:cs="Times New Roman"/>
                <w:color w:val="000000"/>
                <w:sz w:val="21"/>
                <w:szCs w:val="21"/>
                <w:highlight w:val="none"/>
                <w:lang w:val="en-US" w:eastAsia="zh-CN"/>
              </w:rPr>
              <w:t>1000</w:t>
            </w:r>
            <w:r>
              <w:rPr>
                <w:rFonts w:hint="default" w:ascii="Times New Roman" w:hAnsi="Times New Roman" w:cs="Times New Roman"/>
                <w:color w:val="000000"/>
                <w:sz w:val="21"/>
                <w:szCs w:val="21"/>
                <w:highlight w:val="none"/>
                <w:lang w:val="en-US" w:eastAsia="zh-CN"/>
              </w:rPr>
              <w:t>万元</w:t>
            </w:r>
          </w:p>
          <w:p w14:paraId="3AFDD741">
            <w:pPr>
              <w:keepNext w:val="0"/>
              <w:keepLines w:val="0"/>
              <w:pageBreakBefore w:val="0"/>
              <w:shd w:val="clear" w:color="auto" w:fill="auto"/>
              <w:kinsoku/>
              <w:wordWrap/>
              <w:overflowPunct/>
              <w:topLinePunct w:val="0"/>
              <w:autoSpaceDE/>
              <w:autoSpaceDN/>
              <w:bidi w:val="0"/>
              <w:adjustRightInd w:val="0"/>
              <w:snapToGrid w:val="0"/>
              <w:spacing w:beforeAutospacing="0" w:afterAutospacing="0" w:line="360" w:lineRule="auto"/>
              <w:ind w:leftChars="0" w:firstLine="420" w:firstLineChars="200"/>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占地面积：5300㎡</w:t>
            </w:r>
          </w:p>
          <w:p w14:paraId="76C67E09">
            <w:pPr>
              <w:keepNext w:val="0"/>
              <w:keepLines w:val="0"/>
              <w:pageBreakBefore w:val="0"/>
              <w:shd w:val="clear" w:color="auto" w:fill="auto"/>
              <w:kinsoku/>
              <w:wordWrap/>
              <w:overflowPunct/>
              <w:topLinePunct w:val="0"/>
              <w:autoSpaceDE/>
              <w:autoSpaceDN/>
              <w:bidi w:val="0"/>
              <w:adjustRightInd w:val="0"/>
              <w:snapToGrid w:val="0"/>
              <w:spacing w:beforeAutospacing="0" w:afterAutospacing="0" w:line="360" w:lineRule="auto"/>
              <w:ind w:leftChars="0" w:firstLine="420" w:firstLineChars="200"/>
              <w:textAlignment w:val="auto"/>
              <w:rPr>
                <w:rFonts w:hint="default" w:ascii="Times New Roman" w:hAnsi="Times New Roman" w:cs="Times New Roman"/>
                <w:color w:val="000000"/>
                <w:sz w:val="21"/>
                <w:szCs w:val="21"/>
                <w:highlight w:val="none"/>
                <w:u w:val="none"/>
              </w:rPr>
            </w:pPr>
            <w:r>
              <w:rPr>
                <w:rFonts w:hint="default" w:ascii="Times New Roman" w:hAnsi="Times New Roman" w:cs="Times New Roman"/>
                <w:color w:val="000000"/>
                <w:sz w:val="21"/>
                <w:szCs w:val="21"/>
                <w:highlight w:val="none"/>
              </w:rPr>
              <w:t>建设地点：本项目位于</w:t>
            </w:r>
            <w:r>
              <w:rPr>
                <w:rFonts w:hint="eastAsia" w:ascii="Times New Roman" w:hAnsi="Times New Roman" w:eastAsia="宋体" w:cs="Times New Roman"/>
                <w:color w:val="000000"/>
                <w:sz w:val="21"/>
                <w:szCs w:val="21"/>
                <w:highlight w:val="none"/>
                <w:lang w:val="en-US" w:eastAsia="zh-CN"/>
              </w:rPr>
              <w:t>宝鸡市凤翔区陈村镇尹家务供销社院内</w:t>
            </w:r>
            <w:r>
              <w:rPr>
                <w:rFonts w:hint="default" w:ascii="Times New Roman" w:hAnsi="Times New Roman" w:cs="Times New Roman"/>
                <w:color w:val="000000"/>
                <w:sz w:val="21"/>
                <w:szCs w:val="21"/>
                <w:highlight w:val="none"/>
              </w:rPr>
              <w:t>，项目中心地理坐标为</w:t>
            </w:r>
            <w:r>
              <w:rPr>
                <w:rFonts w:hint="eastAsia"/>
                <w:color w:val="000000"/>
                <w:sz w:val="21"/>
                <w:szCs w:val="21"/>
                <w:highlight w:val="none"/>
                <w:u w:val="none"/>
                <w:lang w:val="en-US" w:eastAsia="zh-CN"/>
              </w:rPr>
              <w:t>东经</w:t>
            </w:r>
            <w:r>
              <w:rPr>
                <w:rFonts w:hint="eastAsia"/>
                <w:color w:val="000000"/>
                <w:sz w:val="21"/>
                <w:szCs w:val="21"/>
                <w:highlight w:val="none"/>
                <w:u w:val="none"/>
                <w:lang w:eastAsia="zh-CN"/>
              </w:rPr>
              <w:t>：</w:t>
            </w:r>
            <w:r>
              <w:rPr>
                <w:rFonts w:hint="eastAsia"/>
                <w:color w:val="000000"/>
                <w:sz w:val="21"/>
                <w:szCs w:val="21"/>
                <w:highlight w:val="none"/>
                <w:u w:val="none"/>
              </w:rPr>
              <w:t>107</w:t>
            </w:r>
            <w:r>
              <w:rPr>
                <w:rFonts w:hint="eastAsia"/>
                <w:color w:val="000000"/>
                <w:sz w:val="21"/>
                <w:szCs w:val="21"/>
                <w:highlight w:val="none"/>
                <w:u w:val="none"/>
                <w:lang w:val="en-US" w:eastAsia="zh-CN"/>
              </w:rPr>
              <w:t>度18分0.794秒，北纬</w:t>
            </w:r>
            <w:r>
              <w:rPr>
                <w:rFonts w:hint="eastAsia"/>
                <w:color w:val="000000"/>
                <w:sz w:val="21"/>
                <w:szCs w:val="21"/>
                <w:highlight w:val="none"/>
                <w:u w:val="none"/>
                <w:lang w:eastAsia="zh-CN"/>
              </w:rPr>
              <w:t>：</w:t>
            </w:r>
            <w:r>
              <w:rPr>
                <w:rFonts w:hint="eastAsia"/>
                <w:color w:val="000000"/>
                <w:sz w:val="21"/>
                <w:szCs w:val="21"/>
                <w:highlight w:val="none"/>
                <w:u w:val="none"/>
              </w:rPr>
              <w:t>34</w:t>
            </w:r>
            <w:r>
              <w:rPr>
                <w:rFonts w:hint="eastAsia"/>
                <w:color w:val="000000"/>
                <w:sz w:val="21"/>
                <w:szCs w:val="21"/>
                <w:highlight w:val="none"/>
                <w:u w:val="none"/>
                <w:lang w:val="en-US" w:eastAsia="zh-CN"/>
              </w:rPr>
              <w:t>度</w:t>
            </w:r>
            <w:r>
              <w:rPr>
                <w:rFonts w:hint="eastAsia"/>
                <w:color w:val="000000"/>
                <w:sz w:val="21"/>
                <w:szCs w:val="21"/>
                <w:highlight w:val="none"/>
                <w:u w:val="none"/>
              </w:rPr>
              <w:t>2</w:t>
            </w:r>
            <w:r>
              <w:rPr>
                <w:rFonts w:hint="eastAsia"/>
                <w:color w:val="000000"/>
                <w:sz w:val="21"/>
                <w:szCs w:val="21"/>
                <w:highlight w:val="none"/>
                <w:u w:val="none"/>
                <w:lang w:val="en-US" w:eastAsia="zh-CN"/>
              </w:rPr>
              <w:t>7分45.573秒，</w:t>
            </w:r>
            <w:r>
              <w:rPr>
                <w:rFonts w:hint="default" w:ascii="Times New Roman" w:hAnsi="Times New Roman" w:cs="Times New Roman"/>
                <w:color w:val="000000"/>
                <w:sz w:val="21"/>
                <w:szCs w:val="21"/>
                <w:highlight w:val="none"/>
                <w:u w:val="none"/>
                <w:lang w:val="en-US" w:eastAsia="zh-CN"/>
              </w:rPr>
              <w:t>地理位置详见附图1</w:t>
            </w:r>
            <w:r>
              <w:rPr>
                <w:rFonts w:hint="default" w:ascii="Times New Roman" w:hAnsi="Times New Roman" w:cs="Times New Roman"/>
                <w:color w:val="000000"/>
                <w:sz w:val="21"/>
                <w:szCs w:val="21"/>
                <w:highlight w:val="none"/>
                <w:u w:val="none"/>
              </w:rPr>
              <w:t>。</w:t>
            </w:r>
          </w:p>
          <w:p w14:paraId="1F7052F1">
            <w:pPr>
              <w:keepNext w:val="0"/>
              <w:keepLines w:val="0"/>
              <w:pageBreakBefore w:val="0"/>
              <w:shd w:val="clear" w:color="auto" w:fill="auto"/>
              <w:kinsoku/>
              <w:wordWrap/>
              <w:overflowPunct/>
              <w:topLinePunct w:val="0"/>
              <w:autoSpaceDE/>
              <w:autoSpaceDN/>
              <w:bidi w:val="0"/>
              <w:adjustRightInd w:val="0"/>
              <w:snapToGrid w:val="0"/>
              <w:spacing w:beforeAutospacing="0" w:afterAutospacing="0" w:line="360" w:lineRule="auto"/>
              <w:ind w:leftChars="0" w:firstLine="420" w:firstLineChars="200"/>
              <w:textAlignment w:val="auto"/>
              <w:rPr>
                <w:rFonts w:hint="default" w:ascii="Times New Roman" w:hAnsi="Times New Roman" w:eastAsia="宋体" w:cs="Times New Roman"/>
                <w:color w:val="000000"/>
                <w:sz w:val="21"/>
                <w:szCs w:val="21"/>
                <w:highlight w:val="none"/>
                <w:u w:val="none"/>
                <w:lang w:val="en-US" w:eastAsia="zh-CN"/>
              </w:rPr>
            </w:pPr>
            <w:r>
              <w:rPr>
                <w:rFonts w:hint="eastAsia" w:ascii="Times New Roman" w:hAnsi="Times New Roman" w:eastAsia="宋体" w:cs="Times New Roman"/>
                <w:color w:val="000000"/>
                <w:sz w:val="21"/>
                <w:szCs w:val="21"/>
                <w:highlight w:val="none"/>
                <w:u w:val="none"/>
                <w:lang w:val="en-US" w:eastAsia="zh-CN"/>
              </w:rPr>
              <w:t>四邻关系：项目西南侧为尹家务中学，西北侧为尹家务村，东北侧为尹家务村，西侧为渭北环线。</w:t>
            </w:r>
          </w:p>
          <w:p w14:paraId="7E1E6926">
            <w:pPr>
              <w:keepNext w:val="0"/>
              <w:keepLines w:val="0"/>
              <w:pageBreakBefore w:val="0"/>
              <w:widowControl/>
              <w:shd w:val="clear" w:color="auto" w:fill="auto"/>
              <w:kinsoku/>
              <w:overflowPunct/>
              <w:topLinePunct w:val="0"/>
              <w:autoSpaceDE/>
              <w:autoSpaceDN/>
              <w:bidi w:val="0"/>
              <w:adjustRightInd w:val="0"/>
              <w:snapToGrid w:val="0"/>
              <w:spacing w:line="360" w:lineRule="auto"/>
              <w:ind w:firstLine="422" w:firstLineChars="200"/>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b/>
                <w:bCs/>
                <w:color w:val="000000"/>
                <w:sz w:val="21"/>
                <w:szCs w:val="21"/>
                <w:highlight w:val="none"/>
                <w:lang w:eastAsia="zh-CN"/>
              </w:rPr>
              <w:t>3.</w:t>
            </w:r>
            <w:r>
              <w:rPr>
                <w:rFonts w:hint="default" w:ascii="Times New Roman" w:hAnsi="Times New Roman" w:cs="Times New Roman"/>
                <w:b/>
                <w:bCs/>
                <w:color w:val="000000"/>
                <w:sz w:val="21"/>
                <w:szCs w:val="21"/>
                <w:highlight w:val="none"/>
              </w:rPr>
              <w:t>建设工程内容及规模</w:t>
            </w:r>
          </w:p>
          <w:p w14:paraId="70C08C82">
            <w:pPr>
              <w:keepNext w:val="0"/>
              <w:keepLines w:val="0"/>
              <w:pageBreakBefore w:val="0"/>
              <w:widowControl w:val="0"/>
              <w:shd w:val="clear" w:color="auto" w:fill="auto"/>
              <w:kinsoku/>
              <w:wordWrap w:val="0"/>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bCs/>
                <w:color w:val="000000"/>
                <w:sz w:val="21"/>
                <w:szCs w:val="21"/>
                <w:highlight w:val="none"/>
              </w:rPr>
            </w:pPr>
            <w:r>
              <w:rPr>
                <w:rFonts w:hint="default" w:ascii="Times New Roman" w:hAnsi="Times New Roman" w:cs="Times New Roman"/>
                <w:color w:val="000000"/>
                <w:sz w:val="21"/>
                <w:szCs w:val="21"/>
                <w:highlight w:val="none"/>
              </w:rPr>
              <w:t>本项目</w:t>
            </w:r>
            <w:r>
              <w:rPr>
                <w:rFonts w:hint="eastAsia" w:ascii="Times New Roman" w:hAnsi="Times New Roman" w:cs="Times New Roman"/>
                <w:color w:val="000000"/>
                <w:sz w:val="21"/>
                <w:szCs w:val="21"/>
                <w:highlight w:val="none"/>
                <w:lang w:val="en-US" w:eastAsia="zh-CN"/>
              </w:rPr>
              <w:t>的</w:t>
            </w:r>
            <w:r>
              <w:rPr>
                <w:rFonts w:hint="default" w:ascii="Times New Roman" w:hAnsi="Times New Roman" w:cs="Times New Roman"/>
                <w:color w:val="000000"/>
                <w:sz w:val="21"/>
                <w:szCs w:val="21"/>
                <w:highlight w:val="none"/>
              </w:rPr>
              <w:t>组成详见</w:t>
            </w:r>
            <w:r>
              <w:rPr>
                <w:rFonts w:hint="default" w:ascii="Times New Roman" w:hAnsi="Times New Roman" w:cs="Times New Roman"/>
                <w:color w:val="000000"/>
                <w:sz w:val="21"/>
                <w:szCs w:val="21"/>
                <w:highlight w:val="none"/>
                <w:lang w:val="en-US" w:eastAsia="zh-CN"/>
              </w:rPr>
              <w:t>下</w:t>
            </w:r>
            <w:r>
              <w:rPr>
                <w:rFonts w:hint="default" w:ascii="Times New Roman" w:hAnsi="Times New Roman" w:cs="Times New Roman"/>
                <w:color w:val="000000"/>
                <w:sz w:val="21"/>
                <w:szCs w:val="21"/>
                <w:highlight w:val="none"/>
              </w:rPr>
              <w:t>表。</w:t>
            </w:r>
          </w:p>
          <w:p w14:paraId="458EA67D">
            <w:pPr>
              <w:keepNext w:val="0"/>
              <w:keepLines w:val="0"/>
              <w:pageBreakBefore w:val="0"/>
              <w:widowControl w:val="0"/>
              <w:shd w:val="clear" w:color="auto" w:fill="auto"/>
              <w:kinsoku/>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表2-</w:t>
            </w:r>
            <w:r>
              <w:rPr>
                <w:rFonts w:hint="default" w:ascii="Times New Roman" w:hAnsi="Times New Roman" w:cs="Times New Roman"/>
                <w:b/>
                <w:color w:val="000000"/>
                <w:sz w:val="21"/>
                <w:szCs w:val="21"/>
                <w:highlight w:val="none"/>
                <w:lang w:val="en-US" w:eastAsia="zh-CN"/>
              </w:rPr>
              <w:t>2</w:t>
            </w:r>
            <w:r>
              <w:rPr>
                <w:rFonts w:hint="default" w:ascii="Times New Roman" w:hAnsi="Times New Roman" w:cs="Times New Roman"/>
                <w:b/>
                <w:color w:val="000000"/>
                <w:sz w:val="21"/>
                <w:szCs w:val="21"/>
                <w:highlight w:val="none"/>
              </w:rPr>
              <w:t xml:space="preserve">  项目组成一览表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47"/>
              <w:gridCol w:w="385"/>
              <w:gridCol w:w="413"/>
              <w:gridCol w:w="648"/>
              <w:gridCol w:w="5548"/>
              <w:gridCol w:w="417"/>
            </w:tblGrid>
            <w:tr w14:paraId="5FB3A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4" w:hRule="atLeast"/>
                <w:jc w:val="center"/>
              </w:trPr>
              <w:tc>
                <w:tcPr>
                  <w:tcW w:w="285" w:type="pct"/>
                  <w:tcBorders>
                    <w:tl2br w:val="nil"/>
                    <w:tr2bl w:val="nil"/>
                  </w:tcBorders>
                  <w:shd w:val="clear" w:color="auto" w:fill="auto"/>
                  <w:noWrap w:val="0"/>
                  <w:vAlign w:val="center"/>
                </w:tcPr>
                <w:p w14:paraId="534D66A6">
                  <w:pPr>
                    <w:shd w:val="clear" w:color="auto" w:fill="auto"/>
                    <w:adjustRightInd w:val="0"/>
                    <w:snapToGrid w:val="0"/>
                    <w:jc w:val="center"/>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类别</w:t>
                  </w:r>
                </w:p>
              </w:tc>
              <w:tc>
                <w:tcPr>
                  <w:tcW w:w="920" w:type="pct"/>
                  <w:gridSpan w:val="3"/>
                  <w:tcBorders>
                    <w:tl2br w:val="nil"/>
                    <w:tr2bl w:val="nil"/>
                  </w:tcBorders>
                  <w:shd w:val="clear" w:color="auto" w:fill="auto"/>
                  <w:noWrap w:val="0"/>
                  <w:vAlign w:val="center"/>
                </w:tcPr>
                <w:p w14:paraId="4622A69A">
                  <w:pPr>
                    <w:shd w:val="clear" w:color="auto" w:fill="auto"/>
                    <w:adjustRightInd w:val="0"/>
                    <w:snapToGrid w:val="0"/>
                    <w:jc w:val="center"/>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项目名称</w:t>
                  </w:r>
                </w:p>
              </w:tc>
              <w:tc>
                <w:tcPr>
                  <w:tcW w:w="3529" w:type="pct"/>
                  <w:tcBorders>
                    <w:tl2br w:val="nil"/>
                    <w:tr2bl w:val="nil"/>
                  </w:tcBorders>
                  <w:shd w:val="clear" w:color="auto" w:fill="auto"/>
                  <w:noWrap w:val="0"/>
                  <w:vAlign w:val="center"/>
                </w:tcPr>
                <w:p w14:paraId="20EB71E1">
                  <w:pPr>
                    <w:shd w:val="clear" w:color="auto" w:fill="auto"/>
                    <w:adjustRightInd w:val="0"/>
                    <w:snapToGrid w:val="0"/>
                    <w:jc w:val="center"/>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项目组成</w:t>
                  </w:r>
                </w:p>
              </w:tc>
              <w:tc>
                <w:tcPr>
                  <w:tcW w:w="265" w:type="pct"/>
                  <w:tcBorders>
                    <w:tl2br w:val="nil"/>
                    <w:tr2bl w:val="nil"/>
                  </w:tcBorders>
                  <w:shd w:val="clear" w:color="auto" w:fill="auto"/>
                  <w:noWrap w:val="0"/>
                  <w:vAlign w:val="center"/>
                </w:tcPr>
                <w:p w14:paraId="02EFB60C">
                  <w:pPr>
                    <w:shd w:val="clear" w:color="auto" w:fill="auto"/>
                    <w:adjustRightInd w:val="0"/>
                    <w:snapToGrid w:val="0"/>
                    <w:jc w:val="center"/>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备注</w:t>
                  </w:r>
                </w:p>
              </w:tc>
            </w:tr>
            <w:tr w14:paraId="2BC96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6" w:hRule="atLeast"/>
                <w:jc w:val="center"/>
              </w:trPr>
              <w:tc>
                <w:tcPr>
                  <w:tcW w:w="285" w:type="pct"/>
                  <w:vMerge w:val="restart"/>
                  <w:tcBorders>
                    <w:tl2br w:val="nil"/>
                    <w:tr2bl w:val="nil"/>
                  </w:tcBorders>
                  <w:shd w:val="clear" w:color="auto" w:fill="auto"/>
                  <w:noWrap w:val="0"/>
                  <w:vAlign w:val="center"/>
                </w:tcPr>
                <w:p w14:paraId="2BFC0AF5">
                  <w:pPr>
                    <w:shd w:val="clear" w:color="auto" w:fill="auto"/>
                    <w:adjustRightInd w:val="0"/>
                    <w:snapToGrid w:val="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主体工程</w:t>
                  </w:r>
                </w:p>
              </w:tc>
              <w:tc>
                <w:tcPr>
                  <w:tcW w:w="920" w:type="pct"/>
                  <w:gridSpan w:val="3"/>
                  <w:tcBorders>
                    <w:tl2br w:val="nil"/>
                    <w:tr2bl w:val="nil"/>
                  </w:tcBorders>
                  <w:shd w:val="clear" w:color="auto" w:fill="auto"/>
                  <w:noWrap w:val="0"/>
                  <w:vAlign w:val="center"/>
                </w:tcPr>
                <w:p w14:paraId="1863658E">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制酒车间</w:t>
                  </w:r>
                </w:p>
              </w:tc>
              <w:tc>
                <w:tcPr>
                  <w:tcW w:w="3529" w:type="pct"/>
                  <w:tcBorders>
                    <w:tl2br w:val="nil"/>
                    <w:tr2bl w:val="nil"/>
                  </w:tcBorders>
                  <w:shd w:val="clear" w:color="auto" w:fill="auto"/>
                  <w:noWrap w:val="0"/>
                  <w:vAlign w:val="center"/>
                </w:tcPr>
                <w:p w14:paraId="0A265AFA">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建设钢结构制酒车间1座，面积1500㎡，建设发酵池150个，单个发酵池容积为</w:t>
                  </w:r>
                  <w:r>
                    <w:rPr>
                      <w:rFonts w:hint="eastAsia" w:ascii="Times New Roman" w:hAnsi="Times New Roman" w:eastAsia="宋体" w:cs="Times New Roman"/>
                      <w:color w:val="000000"/>
                      <w:sz w:val="21"/>
                      <w:szCs w:val="21"/>
                      <w:highlight w:val="none"/>
                      <w:lang w:val="en-US" w:eastAsia="zh-CN"/>
                    </w:rPr>
                    <w:t>2×3×3m，购置</w:t>
                  </w:r>
                  <w:r>
                    <w:rPr>
                      <w:rFonts w:hint="eastAsia" w:ascii="Times New Roman" w:hAnsi="Times New Roman" w:eastAsia="宋体" w:cs="Times New Roman"/>
                      <w:b w:val="0"/>
                      <w:bCs w:val="0"/>
                      <w:color w:val="000000"/>
                      <w:sz w:val="21"/>
                      <w:szCs w:val="21"/>
                      <w:highlight w:val="none"/>
                      <w:lang w:val="en-US" w:eastAsia="zh-CN"/>
                    </w:rPr>
                    <w:t>甑锅</w:t>
                  </w:r>
                  <w:r>
                    <w:rPr>
                      <w:rFonts w:hint="eastAsia" w:cs="Times New Roman"/>
                      <w:b w:val="0"/>
                      <w:bCs w:val="0"/>
                      <w:color w:val="000000"/>
                      <w:sz w:val="21"/>
                      <w:szCs w:val="21"/>
                      <w:highlight w:val="none"/>
                      <w:lang w:val="en-US" w:eastAsia="zh-CN"/>
                    </w:rPr>
                    <w:t>、</w:t>
                  </w:r>
                  <w:r>
                    <w:rPr>
                      <w:rFonts w:hint="eastAsia" w:ascii="Times New Roman" w:hAnsi="Times New Roman" w:eastAsia="宋体" w:cs="Times New Roman"/>
                      <w:b w:val="0"/>
                      <w:bCs w:val="0"/>
                      <w:color w:val="000000"/>
                      <w:sz w:val="21"/>
                      <w:szCs w:val="21"/>
                      <w:highlight w:val="none"/>
                      <w:lang w:val="en-US" w:eastAsia="zh-CN"/>
                    </w:rPr>
                    <w:t>风冷器等生产设备及配套设施，用于白酒发酵及蒸馏</w:t>
                  </w:r>
                  <w:r>
                    <w:rPr>
                      <w:rFonts w:hint="eastAsia" w:cs="Times New Roman"/>
                      <w:b w:val="0"/>
                      <w:bCs w:val="0"/>
                      <w:color w:val="000000"/>
                      <w:sz w:val="21"/>
                      <w:szCs w:val="21"/>
                      <w:highlight w:val="none"/>
                      <w:lang w:val="en-US" w:eastAsia="zh-CN"/>
                    </w:rPr>
                    <w:t>。</w:t>
                  </w:r>
                </w:p>
              </w:tc>
              <w:tc>
                <w:tcPr>
                  <w:tcW w:w="265" w:type="pct"/>
                  <w:tcBorders>
                    <w:tl2br w:val="nil"/>
                    <w:tr2bl w:val="nil"/>
                  </w:tcBorders>
                  <w:shd w:val="clear" w:color="auto" w:fill="auto"/>
                  <w:noWrap w:val="0"/>
                  <w:vAlign w:val="center"/>
                </w:tcPr>
                <w:p w14:paraId="7BFA8431">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新建</w:t>
                  </w:r>
                </w:p>
              </w:tc>
            </w:tr>
            <w:tr w14:paraId="1FC4B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5" w:type="pct"/>
                  <w:vMerge w:val="continue"/>
                  <w:tcBorders>
                    <w:tl2br w:val="nil"/>
                    <w:tr2bl w:val="nil"/>
                  </w:tcBorders>
                  <w:shd w:val="clear" w:color="auto" w:fill="auto"/>
                  <w:noWrap w:val="0"/>
                  <w:vAlign w:val="center"/>
                </w:tcPr>
                <w:p w14:paraId="3A8654DF">
                  <w:pPr>
                    <w:shd w:val="clear" w:color="auto" w:fill="auto"/>
                    <w:adjustRightInd w:val="0"/>
                    <w:snapToGrid w:val="0"/>
                    <w:jc w:val="center"/>
                    <w:rPr>
                      <w:rFonts w:hint="default" w:ascii="Times New Roman" w:hAnsi="Times New Roman" w:cs="Times New Roman"/>
                      <w:color w:val="000000"/>
                      <w:sz w:val="21"/>
                      <w:szCs w:val="21"/>
                      <w:highlight w:val="none"/>
                    </w:rPr>
                  </w:pPr>
                </w:p>
              </w:tc>
              <w:tc>
                <w:tcPr>
                  <w:tcW w:w="920" w:type="pct"/>
                  <w:gridSpan w:val="3"/>
                  <w:tcBorders>
                    <w:tl2br w:val="nil"/>
                    <w:tr2bl w:val="nil"/>
                  </w:tcBorders>
                  <w:shd w:val="clear" w:color="auto" w:fill="auto"/>
                  <w:noWrap w:val="0"/>
                  <w:vAlign w:val="center"/>
                </w:tcPr>
                <w:p w14:paraId="6839B062">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成品灌装车</w:t>
                  </w:r>
                  <w:r>
                    <w:rPr>
                      <w:rFonts w:hint="eastAsia" w:ascii="Times New Roman" w:hAnsi="Times New Roman" w:cs="Times New Roman"/>
                      <w:color w:val="000000"/>
                      <w:sz w:val="21"/>
                      <w:szCs w:val="21"/>
                      <w:highlight w:val="none"/>
                      <w:lang w:val="en-US" w:eastAsia="zh-CN"/>
                    </w:rPr>
                    <w:t>间</w:t>
                  </w:r>
                </w:p>
              </w:tc>
              <w:tc>
                <w:tcPr>
                  <w:tcW w:w="3529" w:type="pct"/>
                  <w:tcBorders>
                    <w:tl2br w:val="nil"/>
                    <w:tr2bl w:val="nil"/>
                  </w:tcBorders>
                  <w:shd w:val="clear" w:color="auto" w:fill="auto"/>
                  <w:noWrap w:val="0"/>
                  <w:vAlign w:val="center"/>
                </w:tcPr>
                <w:p w14:paraId="5EBCD2C5">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建设钢结构灌装车间1座，面积</w:t>
                  </w:r>
                  <w:r>
                    <w:rPr>
                      <w:rFonts w:hint="eastAsia"/>
                      <w:color w:val="000000"/>
                      <w:highlight w:val="none"/>
                      <w:lang w:val="en-US" w:eastAsia="zh-CN"/>
                    </w:rPr>
                    <w:t>1009㎡，购置1台</w:t>
                  </w:r>
                  <w:r>
                    <w:rPr>
                      <w:rFonts w:hint="eastAsia" w:ascii="Times New Roman" w:hAnsi="Times New Roman" w:eastAsia="宋体" w:cs="Times New Roman"/>
                      <w:b w:val="0"/>
                      <w:bCs w:val="0"/>
                      <w:color w:val="000000"/>
                      <w:sz w:val="21"/>
                      <w:szCs w:val="21"/>
                      <w:highlight w:val="none"/>
                      <w:lang w:val="en-US" w:eastAsia="zh-CN"/>
                    </w:rPr>
                    <w:t>洗瓶机、灌装机等生产设备及配套设施，用于白酒的灌装</w:t>
                  </w:r>
                  <w:r>
                    <w:rPr>
                      <w:rFonts w:hint="eastAsia" w:cs="Times New Roman"/>
                      <w:b w:val="0"/>
                      <w:bCs w:val="0"/>
                      <w:color w:val="000000"/>
                      <w:sz w:val="21"/>
                      <w:szCs w:val="21"/>
                      <w:highlight w:val="none"/>
                      <w:lang w:val="en-US" w:eastAsia="zh-CN"/>
                    </w:rPr>
                    <w:t>。</w:t>
                  </w:r>
                </w:p>
              </w:tc>
              <w:tc>
                <w:tcPr>
                  <w:tcW w:w="265" w:type="pct"/>
                  <w:tcBorders>
                    <w:tl2br w:val="nil"/>
                    <w:tr2bl w:val="nil"/>
                  </w:tcBorders>
                  <w:shd w:val="clear" w:color="auto" w:fill="auto"/>
                  <w:noWrap w:val="0"/>
                  <w:vAlign w:val="center"/>
                </w:tcPr>
                <w:p w14:paraId="67C8134C">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新建</w:t>
                  </w:r>
                </w:p>
              </w:tc>
            </w:tr>
            <w:tr w14:paraId="4C579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5" w:type="pct"/>
                  <w:vMerge w:val="continue"/>
                  <w:tcBorders>
                    <w:tl2br w:val="nil"/>
                    <w:tr2bl w:val="nil"/>
                  </w:tcBorders>
                  <w:shd w:val="clear" w:color="auto" w:fill="auto"/>
                  <w:noWrap w:val="0"/>
                  <w:vAlign w:val="center"/>
                </w:tcPr>
                <w:p w14:paraId="008C49F2">
                  <w:pPr>
                    <w:shd w:val="clear" w:color="auto" w:fill="auto"/>
                    <w:adjustRightInd w:val="0"/>
                    <w:snapToGrid w:val="0"/>
                    <w:jc w:val="center"/>
                    <w:rPr>
                      <w:rFonts w:hint="default" w:ascii="Times New Roman" w:hAnsi="Times New Roman" w:cs="Times New Roman"/>
                      <w:color w:val="000000"/>
                      <w:sz w:val="21"/>
                      <w:szCs w:val="21"/>
                      <w:highlight w:val="none"/>
                    </w:rPr>
                  </w:pPr>
                </w:p>
              </w:tc>
              <w:tc>
                <w:tcPr>
                  <w:tcW w:w="920" w:type="pct"/>
                  <w:gridSpan w:val="3"/>
                  <w:tcBorders>
                    <w:tl2br w:val="nil"/>
                    <w:tr2bl w:val="nil"/>
                  </w:tcBorders>
                  <w:shd w:val="clear" w:color="auto" w:fill="auto"/>
                  <w:noWrap w:val="0"/>
                  <w:vAlign w:val="center"/>
                </w:tcPr>
                <w:p w14:paraId="7719C705">
                  <w:pPr>
                    <w:shd w:val="clear" w:color="auto" w:fill="auto"/>
                    <w:adjustRightInd w:val="0"/>
                    <w:snapToGrid w:val="0"/>
                    <w:jc w:val="center"/>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曲块及原粮储存粉碎车间</w:t>
                  </w:r>
                </w:p>
              </w:tc>
              <w:tc>
                <w:tcPr>
                  <w:tcW w:w="3529" w:type="pct"/>
                  <w:tcBorders>
                    <w:tl2br w:val="nil"/>
                    <w:tr2bl w:val="nil"/>
                  </w:tcBorders>
                  <w:shd w:val="clear" w:color="auto" w:fill="auto"/>
                  <w:noWrap w:val="0"/>
                  <w:vAlign w:val="center"/>
                </w:tcPr>
                <w:p w14:paraId="55B99FBF">
                  <w:pPr>
                    <w:shd w:val="clear" w:color="auto" w:fill="auto"/>
                    <w:adjustRightInd w:val="0"/>
                    <w:snapToGrid w:val="0"/>
                    <w:spacing w:line="240" w:lineRule="auto"/>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钢结构库房1座，面积</w:t>
                  </w:r>
                  <w:r>
                    <w:rPr>
                      <w:rFonts w:hint="eastAsia"/>
                      <w:color w:val="000000"/>
                      <w:highlight w:val="none"/>
                      <w:lang w:val="en-US" w:eastAsia="zh-CN"/>
                    </w:rPr>
                    <w:t>300㎡；购置粉碎机2台</w:t>
                  </w:r>
                  <w:r>
                    <w:rPr>
                      <w:rFonts w:hint="eastAsia" w:ascii="Times New Roman" w:hAnsi="Times New Roman" w:cs="Times New Roman"/>
                      <w:color w:val="000000"/>
                      <w:highlight w:val="none"/>
                      <w:lang w:val="en-US" w:eastAsia="zh-CN"/>
                    </w:rPr>
                    <w:t>，分别用于原料和大曲的粉碎</w:t>
                  </w:r>
                  <w:r>
                    <w:rPr>
                      <w:rFonts w:hint="eastAsia"/>
                      <w:lang w:eastAsia="zh-CN"/>
                    </w:rPr>
                    <w:t>。</w:t>
                  </w:r>
                </w:p>
              </w:tc>
              <w:tc>
                <w:tcPr>
                  <w:tcW w:w="265" w:type="pct"/>
                  <w:tcBorders>
                    <w:tl2br w:val="nil"/>
                    <w:tr2bl w:val="nil"/>
                  </w:tcBorders>
                  <w:shd w:val="clear" w:color="auto" w:fill="auto"/>
                  <w:noWrap w:val="0"/>
                  <w:vAlign w:val="center"/>
                </w:tcPr>
                <w:p w14:paraId="2669520F">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新建</w:t>
                  </w:r>
                </w:p>
              </w:tc>
            </w:tr>
            <w:tr w14:paraId="1D01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5" w:type="pct"/>
                  <w:vMerge w:val="restart"/>
                  <w:tcBorders>
                    <w:tl2br w:val="nil"/>
                    <w:tr2bl w:val="nil"/>
                  </w:tcBorders>
                  <w:shd w:val="clear" w:color="auto" w:fill="auto"/>
                  <w:noWrap w:val="0"/>
                  <w:vAlign w:val="center"/>
                </w:tcPr>
                <w:p w14:paraId="04FAA3FD">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辅助工程</w:t>
                  </w:r>
                </w:p>
              </w:tc>
              <w:tc>
                <w:tcPr>
                  <w:tcW w:w="920" w:type="pct"/>
                  <w:gridSpan w:val="3"/>
                  <w:tcBorders>
                    <w:tl2br w:val="nil"/>
                    <w:tr2bl w:val="nil"/>
                  </w:tcBorders>
                  <w:shd w:val="clear" w:color="auto" w:fill="auto"/>
                  <w:noWrap w:val="0"/>
                  <w:vAlign w:val="center"/>
                </w:tcPr>
                <w:p w14:paraId="47A7A8BF">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锅炉房</w:t>
                  </w:r>
                </w:p>
              </w:tc>
              <w:tc>
                <w:tcPr>
                  <w:tcW w:w="3529" w:type="pct"/>
                  <w:tcBorders>
                    <w:tl2br w:val="nil"/>
                    <w:tr2bl w:val="nil"/>
                  </w:tcBorders>
                  <w:shd w:val="clear" w:color="auto" w:fill="auto"/>
                  <w:noWrap w:val="0"/>
                  <w:vAlign w:val="center"/>
                </w:tcPr>
                <w:p w14:paraId="7C439D73">
                  <w:pPr>
                    <w:shd w:val="clear" w:color="auto" w:fill="auto"/>
                    <w:adjustRightInd w:val="0"/>
                    <w:snapToGrid w:val="0"/>
                    <w:spacing w:line="240" w:lineRule="auto"/>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建设锅炉房1座，面积75㎡，层高6m，购置2台2t/h</w:t>
                  </w:r>
                  <w:r>
                    <w:rPr>
                      <w:rFonts w:hint="eastAsia" w:cs="Times New Roman"/>
                      <w:color w:val="000000"/>
                      <w:sz w:val="21"/>
                      <w:szCs w:val="21"/>
                      <w:highlight w:val="none"/>
                      <w:lang w:val="en-US" w:eastAsia="zh-CN"/>
                    </w:rPr>
                    <w:t>天然气锅炉</w:t>
                  </w:r>
                  <w:r>
                    <w:rPr>
                      <w:rFonts w:hint="eastAsia" w:ascii="Times New Roman" w:hAnsi="Times New Roman" w:eastAsia="宋体" w:cs="Times New Roman"/>
                      <w:color w:val="000000"/>
                      <w:sz w:val="21"/>
                      <w:szCs w:val="21"/>
                      <w:highlight w:val="none"/>
                      <w:lang w:val="en-US" w:eastAsia="zh-CN"/>
                    </w:rPr>
                    <w:t>（1备1用）、软水制备设备1套及其他配套设施，为酿酒提供蒸汽</w:t>
                  </w:r>
                  <w:r>
                    <w:rPr>
                      <w:rFonts w:hint="eastAsia"/>
                      <w:lang w:eastAsia="zh-CN"/>
                    </w:rPr>
                    <w:t>。</w:t>
                  </w:r>
                </w:p>
              </w:tc>
              <w:tc>
                <w:tcPr>
                  <w:tcW w:w="265" w:type="pct"/>
                  <w:tcBorders>
                    <w:tl2br w:val="nil"/>
                    <w:tr2bl w:val="nil"/>
                  </w:tcBorders>
                  <w:shd w:val="clear" w:color="auto" w:fill="auto"/>
                  <w:noWrap w:val="0"/>
                  <w:vAlign w:val="center"/>
                </w:tcPr>
                <w:p w14:paraId="7545AFAF">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新建</w:t>
                  </w:r>
                </w:p>
              </w:tc>
            </w:tr>
            <w:tr w14:paraId="51859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2" w:hRule="atLeast"/>
                <w:jc w:val="center"/>
              </w:trPr>
              <w:tc>
                <w:tcPr>
                  <w:tcW w:w="285" w:type="pct"/>
                  <w:vMerge w:val="continue"/>
                  <w:tcBorders>
                    <w:tl2br w:val="nil"/>
                    <w:tr2bl w:val="nil"/>
                  </w:tcBorders>
                  <w:shd w:val="clear" w:color="auto" w:fill="auto"/>
                  <w:noWrap w:val="0"/>
                  <w:vAlign w:val="center"/>
                </w:tcPr>
                <w:p w14:paraId="3AC7727C">
                  <w:pPr>
                    <w:shd w:val="clear" w:color="auto" w:fill="auto"/>
                    <w:adjustRightInd w:val="0"/>
                    <w:snapToGrid w:val="0"/>
                    <w:jc w:val="center"/>
                    <w:rPr>
                      <w:rFonts w:hint="eastAsia" w:ascii="Times New Roman" w:hAnsi="Times New Roman" w:eastAsia="宋体" w:cs="Times New Roman"/>
                      <w:color w:val="000000"/>
                      <w:sz w:val="21"/>
                      <w:szCs w:val="21"/>
                      <w:highlight w:val="none"/>
                      <w:lang w:val="en-US" w:eastAsia="zh-CN"/>
                    </w:rPr>
                  </w:pPr>
                </w:p>
              </w:tc>
              <w:tc>
                <w:tcPr>
                  <w:tcW w:w="920" w:type="pct"/>
                  <w:gridSpan w:val="3"/>
                  <w:tcBorders>
                    <w:tl2br w:val="nil"/>
                    <w:tr2bl w:val="nil"/>
                  </w:tcBorders>
                  <w:shd w:val="clear" w:color="auto" w:fill="auto"/>
                  <w:noWrap w:val="0"/>
                  <w:vAlign w:val="center"/>
                </w:tcPr>
                <w:p w14:paraId="39D6BA9A">
                  <w:pPr>
                    <w:shd w:val="clear" w:color="auto" w:fill="auto"/>
                    <w:adjustRightInd w:val="0"/>
                    <w:snapToGrid w:val="0"/>
                    <w:jc w:val="center"/>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办公楼</w:t>
                  </w:r>
                </w:p>
              </w:tc>
              <w:tc>
                <w:tcPr>
                  <w:tcW w:w="3529" w:type="pct"/>
                  <w:tcBorders>
                    <w:tl2br w:val="nil"/>
                    <w:tr2bl w:val="nil"/>
                  </w:tcBorders>
                  <w:shd w:val="clear" w:color="auto" w:fill="auto"/>
                  <w:noWrap w:val="0"/>
                  <w:vAlign w:val="center"/>
                </w:tcPr>
                <w:p w14:paraId="59120A3B">
                  <w:pPr>
                    <w:shd w:val="clear" w:color="auto" w:fill="auto"/>
                    <w:adjustRightInd w:val="0"/>
                    <w:snapToGrid w:val="0"/>
                    <w:spacing w:line="240" w:lineRule="auto"/>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新建钢筋混凝土结构办公楼1座，2F，占地面积264.96㎡，层高4m，用于日常办公</w:t>
                  </w:r>
                  <w:r>
                    <w:rPr>
                      <w:rFonts w:hint="eastAsia"/>
                      <w:lang w:eastAsia="zh-CN"/>
                    </w:rPr>
                    <w:t>。</w:t>
                  </w:r>
                </w:p>
              </w:tc>
              <w:tc>
                <w:tcPr>
                  <w:tcW w:w="265" w:type="pct"/>
                  <w:tcBorders>
                    <w:tl2br w:val="nil"/>
                    <w:tr2bl w:val="nil"/>
                  </w:tcBorders>
                  <w:shd w:val="clear" w:color="auto" w:fill="auto"/>
                  <w:noWrap w:val="0"/>
                  <w:vAlign w:val="center"/>
                </w:tcPr>
                <w:p w14:paraId="6A108304">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新建</w:t>
                  </w:r>
                </w:p>
              </w:tc>
            </w:tr>
            <w:tr w14:paraId="3BF13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5" w:hRule="atLeast"/>
                <w:jc w:val="center"/>
              </w:trPr>
              <w:tc>
                <w:tcPr>
                  <w:tcW w:w="285" w:type="pct"/>
                  <w:vMerge w:val="restart"/>
                  <w:tcBorders>
                    <w:tl2br w:val="nil"/>
                    <w:tr2bl w:val="nil"/>
                  </w:tcBorders>
                  <w:shd w:val="clear" w:color="auto" w:fill="auto"/>
                  <w:noWrap w:val="0"/>
                  <w:vAlign w:val="center"/>
                </w:tcPr>
                <w:p w14:paraId="77D68B41">
                  <w:pPr>
                    <w:shd w:val="clear" w:color="auto" w:fill="auto"/>
                    <w:adjustRightInd w:val="0"/>
                    <w:snapToGrid w:val="0"/>
                    <w:jc w:val="center"/>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储运工程</w:t>
                  </w:r>
                </w:p>
              </w:tc>
              <w:tc>
                <w:tcPr>
                  <w:tcW w:w="920" w:type="pct"/>
                  <w:gridSpan w:val="3"/>
                  <w:tcBorders>
                    <w:tl2br w:val="nil"/>
                    <w:tr2bl w:val="nil"/>
                  </w:tcBorders>
                  <w:shd w:val="clear" w:color="auto" w:fill="auto"/>
                  <w:noWrap w:val="0"/>
                  <w:vAlign w:val="center"/>
                </w:tcPr>
                <w:p w14:paraId="4AA7D11F">
                  <w:pPr>
                    <w:shd w:val="clear" w:color="auto" w:fill="auto"/>
                    <w:adjustRightInd w:val="0"/>
                    <w:snapToGrid w:val="0"/>
                    <w:jc w:val="center"/>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稻壳及原粮储存车间</w:t>
                  </w:r>
                </w:p>
              </w:tc>
              <w:tc>
                <w:tcPr>
                  <w:tcW w:w="3529" w:type="pct"/>
                  <w:tcBorders>
                    <w:tl2br w:val="nil"/>
                    <w:tr2bl w:val="nil"/>
                  </w:tcBorders>
                  <w:shd w:val="clear" w:color="auto" w:fill="auto"/>
                  <w:noWrap w:val="0"/>
                  <w:vAlign w:val="center"/>
                </w:tcPr>
                <w:p w14:paraId="1EB75526">
                  <w:pPr>
                    <w:shd w:val="clear" w:color="auto" w:fill="auto"/>
                    <w:adjustRightInd w:val="0"/>
                    <w:snapToGrid w:val="0"/>
                    <w:spacing w:line="240" w:lineRule="auto"/>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钢结构库房1座，面积</w:t>
                  </w:r>
                  <w:r>
                    <w:rPr>
                      <w:rFonts w:hint="eastAsia"/>
                      <w:color w:val="000000"/>
                      <w:highlight w:val="none"/>
                      <w:lang w:val="en-US" w:eastAsia="zh-CN"/>
                    </w:rPr>
                    <w:t>500㎡，用于稻壳及高粱的储存</w:t>
                  </w:r>
                  <w:r>
                    <w:rPr>
                      <w:rFonts w:hint="eastAsia"/>
                      <w:lang w:eastAsia="zh-CN"/>
                    </w:rPr>
                    <w:t>。</w:t>
                  </w:r>
                </w:p>
              </w:tc>
              <w:tc>
                <w:tcPr>
                  <w:tcW w:w="265" w:type="pct"/>
                  <w:tcBorders>
                    <w:tl2br w:val="nil"/>
                    <w:tr2bl w:val="nil"/>
                  </w:tcBorders>
                  <w:shd w:val="clear" w:color="auto" w:fill="auto"/>
                  <w:noWrap w:val="0"/>
                  <w:vAlign w:val="center"/>
                </w:tcPr>
                <w:p w14:paraId="5D9FE234">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新建</w:t>
                  </w:r>
                </w:p>
              </w:tc>
            </w:tr>
            <w:tr w14:paraId="21F1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5" w:hRule="atLeast"/>
                <w:jc w:val="center"/>
              </w:trPr>
              <w:tc>
                <w:tcPr>
                  <w:tcW w:w="285" w:type="pct"/>
                  <w:vMerge w:val="continue"/>
                  <w:tcBorders>
                    <w:tl2br w:val="nil"/>
                    <w:tr2bl w:val="nil"/>
                  </w:tcBorders>
                  <w:shd w:val="clear" w:color="auto" w:fill="auto"/>
                  <w:noWrap w:val="0"/>
                  <w:vAlign w:val="center"/>
                </w:tcPr>
                <w:p w14:paraId="5B0E62A8">
                  <w:pPr>
                    <w:shd w:val="clear" w:color="auto" w:fill="auto"/>
                    <w:adjustRightInd w:val="0"/>
                    <w:snapToGrid w:val="0"/>
                    <w:jc w:val="center"/>
                    <w:rPr>
                      <w:rFonts w:hint="eastAsia" w:ascii="Times New Roman" w:hAnsi="Times New Roman" w:cs="Times New Roman"/>
                      <w:color w:val="000000"/>
                      <w:sz w:val="21"/>
                      <w:szCs w:val="21"/>
                      <w:highlight w:val="none"/>
                      <w:lang w:val="en-US" w:eastAsia="zh-CN"/>
                    </w:rPr>
                  </w:pPr>
                </w:p>
              </w:tc>
              <w:tc>
                <w:tcPr>
                  <w:tcW w:w="920" w:type="pct"/>
                  <w:gridSpan w:val="3"/>
                  <w:tcBorders>
                    <w:tl2br w:val="nil"/>
                    <w:tr2bl w:val="nil"/>
                  </w:tcBorders>
                  <w:shd w:val="clear" w:color="auto" w:fill="auto"/>
                  <w:noWrap w:val="0"/>
                  <w:vAlign w:val="center"/>
                </w:tcPr>
                <w:p w14:paraId="6D120246">
                  <w:pPr>
                    <w:shd w:val="clear" w:color="auto" w:fill="auto"/>
                    <w:adjustRightInd w:val="0"/>
                    <w:snapToGrid w:val="0"/>
                    <w:jc w:val="center"/>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原酒储存及勾兑车间</w:t>
                  </w:r>
                </w:p>
              </w:tc>
              <w:tc>
                <w:tcPr>
                  <w:tcW w:w="3529" w:type="pct"/>
                  <w:tcBorders>
                    <w:tl2br w:val="nil"/>
                    <w:tr2bl w:val="nil"/>
                  </w:tcBorders>
                  <w:shd w:val="clear" w:color="auto" w:fill="auto"/>
                  <w:noWrap w:val="0"/>
                  <w:vAlign w:val="center"/>
                </w:tcPr>
                <w:p w14:paraId="3C48B36A">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酒罐区位于成装车间，面积400</w:t>
                  </w:r>
                  <w:r>
                    <w:rPr>
                      <w:rFonts w:hint="eastAsia"/>
                      <w:color w:val="000000"/>
                      <w:highlight w:val="none"/>
                      <w:lang w:val="en-US" w:eastAsia="zh-CN"/>
                    </w:rPr>
                    <w:t>㎡，</w:t>
                  </w:r>
                  <w:r>
                    <w:rPr>
                      <w:rFonts w:hint="eastAsia" w:ascii="Times New Roman" w:hAnsi="Times New Roman" w:eastAsia="宋体" w:cs="Times New Roman"/>
                      <w:color w:val="000000"/>
                      <w:sz w:val="21"/>
                      <w:szCs w:val="21"/>
                      <w:highlight w:val="none"/>
                      <w:lang w:val="en-US" w:eastAsia="zh-CN"/>
                    </w:rPr>
                    <w:t>购置100t不锈钢酒罐5个，用于原酒的储存；</w:t>
                  </w:r>
                  <w:r>
                    <w:rPr>
                      <w:rFonts w:hint="default" w:ascii="Times New Roman" w:hAnsi="Times New Roman" w:eastAsia="宋体" w:cs="Times New Roman"/>
                      <w:color w:val="000000"/>
                      <w:kern w:val="0"/>
                      <w:sz w:val="21"/>
                      <w:szCs w:val="21"/>
                      <w:highlight w:val="none"/>
                      <w:lang w:val="en-US" w:eastAsia="zh-CN"/>
                    </w:rPr>
                    <w:t>5m³勾酒罐</w:t>
                  </w:r>
                  <w:r>
                    <w:rPr>
                      <w:rFonts w:hint="eastAsia" w:ascii="Times New Roman" w:hAnsi="Times New Roman" w:eastAsia="宋体" w:cs="Times New Roman"/>
                      <w:color w:val="000000"/>
                      <w:sz w:val="21"/>
                      <w:szCs w:val="21"/>
                      <w:highlight w:val="none"/>
                      <w:lang w:val="en-US" w:eastAsia="zh-CN"/>
                    </w:rPr>
                    <w:t>2个，用于白酒勾兑</w:t>
                  </w:r>
                  <w:r>
                    <w:rPr>
                      <w:rFonts w:hint="eastAsia" w:cs="Times New Roman"/>
                      <w:color w:val="000000"/>
                      <w:sz w:val="21"/>
                      <w:szCs w:val="21"/>
                      <w:highlight w:val="none"/>
                      <w:lang w:val="en-US" w:eastAsia="zh-CN"/>
                    </w:rPr>
                    <w:t>。</w:t>
                  </w:r>
                </w:p>
              </w:tc>
              <w:tc>
                <w:tcPr>
                  <w:tcW w:w="265" w:type="pct"/>
                  <w:tcBorders>
                    <w:tl2br w:val="nil"/>
                    <w:tr2bl w:val="nil"/>
                  </w:tcBorders>
                  <w:shd w:val="clear" w:color="auto" w:fill="auto"/>
                  <w:noWrap w:val="0"/>
                  <w:vAlign w:val="center"/>
                </w:tcPr>
                <w:p w14:paraId="6B6085FD">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新建</w:t>
                  </w:r>
                </w:p>
              </w:tc>
            </w:tr>
            <w:tr w14:paraId="24027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85" w:type="pct"/>
                  <w:vMerge w:val="restart"/>
                  <w:tcBorders>
                    <w:tl2br w:val="nil"/>
                    <w:tr2bl w:val="nil"/>
                  </w:tcBorders>
                  <w:shd w:val="clear" w:color="auto" w:fill="auto"/>
                  <w:noWrap w:val="0"/>
                  <w:vAlign w:val="center"/>
                </w:tcPr>
                <w:p w14:paraId="1DE1E762">
                  <w:pPr>
                    <w:shd w:val="clear" w:color="auto" w:fill="auto"/>
                    <w:adjustRightInd w:val="0"/>
                    <w:snapToGrid w:val="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公用工程</w:t>
                  </w:r>
                </w:p>
              </w:tc>
              <w:tc>
                <w:tcPr>
                  <w:tcW w:w="920" w:type="pct"/>
                  <w:gridSpan w:val="3"/>
                  <w:tcBorders>
                    <w:tl2br w:val="nil"/>
                    <w:tr2bl w:val="nil"/>
                  </w:tcBorders>
                  <w:shd w:val="clear" w:color="auto" w:fill="auto"/>
                  <w:noWrap w:val="0"/>
                  <w:vAlign w:val="center"/>
                </w:tcPr>
                <w:p w14:paraId="276887E0">
                  <w:pPr>
                    <w:shd w:val="clear" w:color="auto" w:fill="auto"/>
                    <w:adjustRightInd w:val="0"/>
                    <w:snapToGrid w:val="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供电</w:t>
                  </w:r>
                </w:p>
              </w:tc>
              <w:tc>
                <w:tcPr>
                  <w:tcW w:w="3529" w:type="pct"/>
                  <w:tcBorders>
                    <w:tl2br w:val="nil"/>
                    <w:tr2bl w:val="nil"/>
                  </w:tcBorders>
                  <w:shd w:val="clear" w:color="auto" w:fill="auto"/>
                  <w:noWrap w:val="0"/>
                  <w:vAlign w:val="center"/>
                </w:tcPr>
                <w:p w14:paraId="6E8E2A1A">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依托市政电网供给</w:t>
                  </w:r>
                  <w:r>
                    <w:rPr>
                      <w:rFonts w:hint="eastAsia" w:cs="Times New Roman"/>
                      <w:color w:val="000000"/>
                      <w:sz w:val="21"/>
                      <w:szCs w:val="21"/>
                      <w:highlight w:val="none"/>
                      <w:lang w:val="en-US" w:eastAsia="zh-CN"/>
                    </w:rPr>
                    <w:t>。</w:t>
                  </w:r>
                </w:p>
              </w:tc>
              <w:tc>
                <w:tcPr>
                  <w:tcW w:w="265" w:type="pct"/>
                  <w:tcBorders>
                    <w:tl2br w:val="nil"/>
                    <w:tr2bl w:val="nil"/>
                  </w:tcBorders>
                  <w:shd w:val="clear" w:color="auto" w:fill="auto"/>
                  <w:noWrap w:val="0"/>
                  <w:vAlign w:val="center"/>
                </w:tcPr>
                <w:p w14:paraId="1ECA8526">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依托</w:t>
                  </w:r>
                </w:p>
              </w:tc>
            </w:tr>
            <w:tr w14:paraId="51D2E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7" w:hRule="atLeast"/>
                <w:jc w:val="center"/>
              </w:trPr>
              <w:tc>
                <w:tcPr>
                  <w:tcW w:w="285" w:type="pct"/>
                  <w:vMerge w:val="continue"/>
                  <w:tcBorders>
                    <w:tl2br w:val="nil"/>
                    <w:tr2bl w:val="nil"/>
                  </w:tcBorders>
                  <w:shd w:val="clear" w:color="auto" w:fill="auto"/>
                  <w:noWrap w:val="0"/>
                  <w:vAlign w:val="center"/>
                </w:tcPr>
                <w:p w14:paraId="756C0A77">
                  <w:pPr>
                    <w:shd w:val="clear" w:color="auto" w:fill="auto"/>
                    <w:adjustRightInd w:val="0"/>
                    <w:snapToGrid w:val="0"/>
                    <w:jc w:val="center"/>
                    <w:rPr>
                      <w:rFonts w:hint="default" w:ascii="Times New Roman" w:hAnsi="Times New Roman" w:cs="Times New Roman"/>
                      <w:color w:val="000000"/>
                      <w:sz w:val="21"/>
                      <w:szCs w:val="21"/>
                      <w:highlight w:val="none"/>
                    </w:rPr>
                  </w:pPr>
                </w:p>
              </w:tc>
              <w:tc>
                <w:tcPr>
                  <w:tcW w:w="920" w:type="pct"/>
                  <w:gridSpan w:val="3"/>
                  <w:tcBorders>
                    <w:tl2br w:val="nil"/>
                    <w:tr2bl w:val="nil"/>
                  </w:tcBorders>
                  <w:shd w:val="clear" w:color="auto" w:fill="auto"/>
                  <w:noWrap w:val="0"/>
                  <w:vAlign w:val="center"/>
                </w:tcPr>
                <w:p w14:paraId="33CB1658">
                  <w:pPr>
                    <w:shd w:val="clear" w:color="auto" w:fill="auto"/>
                    <w:adjustRightInd w:val="0"/>
                    <w:snapToGrid w:val="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供水</w:t>
                  </w:r>
                </w:p>
              </w:tc>
              <w:tc>
                <w:tcPr>
                  <w:tcW w:w="3529" w:type="pct"/>
                  <w:tcBorders>
                    <w:tl2br w:val="nil"/>
                    <w:tr2bl w:val="nil"/>
                  </w:tcBorders>
                  <w:shd w:val="clear" w:color="auto" w:fill="auto"/>
                  <w:noWrap w:val="0"/>
                  <w:vAlign w:val="center"/>
                </w:tcPr>
                <w:p w14:paraId="2CD78305">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依托尹家务村供水管网</w:t>
                  </w:r>
                  <w:r>
                    <w:rPr>
                      <w:rFonts w:hint="eastAsia" w:cs="Times New Roman"/>
                      <w:color w:val="000000"/>
                      <w:sz w:val="21"/>
                      <w:szCs w:val="21"/>
                      <w:highlight w:val="none"/>
                      <w:lang w:val="en-US" w:eastAsia="zh-CN"/>
                    </w:rPr>
                    <w:t>提供。</w:t>
                  </w:r>
                </w:p>
              </w:tc>
              <w:tc>
                <w:tcPr>
                  <w:tcW w:w="265" w:type="pct"/>
                  <w:tcBorders>
                    <w:tl2br w:val="nil"/>
                    <w:tr2bl w:val="nil"/>
                  </w:tcBorders>
                  <w:shd w:val="clear" w:color="auto" w:fill="auto"/>
                  <w:noWrap w:val="0"/>
                  <w:vAlign w:val="center"/>
                </w:tcPr>
                <w:p w14:paraId="133161A5">
                  <w:pPr>
                    <w:shd w:val="clear" w:color="auto" w:fill="auto"/>
                    <w:adjustRightInd w:val="0"/>
                    <w:snapToGrid w:val="0"/>
                    <w:jc w:val="center"/>
                    <w:rPr>
                      <w:rFonts w:hint="default" w:ascii="Times New Roman" w:hAnsi="Times New Roman" w:cs="Times New Roman"/>
                      <w:color w:val="000000"/>
                      <w:sz w:val="21"/>
                      <w:szCs w:val="21"/>
                      <w:highlight w:val="none"/>
                    </w:rPr>
                  </w:pPr>
                  <w:r>
                    <w:rPr>
                      <w:rFonts w:hint="eastAsia" w:ascii="Times New Roman" w:hAnsi="Times New Roman" w:eastAsia="宋体" w:cs="Times New Roman"/>
                      <w:color w:val="000000"/>
                      <w:sz w:val="21"/>
                      <w:szCs w:val="21"/>
                      <w:highlight w:val="none"/>
                      <w:lang w:val="en-US" w:eastAsia="zh-CN"/>
                    </w:rPr>
                    <w:t>依托</w:t>
                  </w:r>
                </w:p>
              </w:tc>
            </w:tr>
            <w:tr w14:paraId="2EEBE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85" w:type="pct"/>
                  <w:vMerge w:val="continue"/>
                  <w:tcBorders>
                    <w:tl2br w:val="nil"/>
                    <w:tr2bl w:val="nil"/>
                  </w:tcBorders>
                  <w:shd w:val="clear" w:color="auto" w:fill="auto"/>
                  <w:noWrap w:val="0"/>
                  <w:vAlign w:val="center"/>
                </w:tcPr>
                <w:p w14:paraId="29095659">
                  <w:pPr>
                    <w:shd w:val="clear" w:color="auto" w:fill="auto"/>
                    <w:adjustRightInd w:val="0"/>
                    <w:snapToGrid w:val="0"/>
                    <w:jc w:val="center"/>
                    <w:rPr>
                      <w:rFonts w:hint="default" w:ascii="Times New Roman" w:hAnsi="Times New Roman" w:cs="Times New Roman"/>
                      <w:color w:val="000000"/>
                      <w:sz w:val="21"/>
                      <w:szCs w:val="21"/>
                      <w:highlight w:val="none"/>
                    </w:rPr>
                  </w:pPr>
                </w:p>
              </w:tc>
              <w:tc>
                <w:tcPr>
                  <w:tcW w:w="920" w:type="pct"/>
                  <w:gridSpan w:val="3"/>
                  <w:tcBorders>
                    <w:tl2br w:val="nil"/>
                    <w:tr2bl w:val="nil"/>
                  </w:tcBorders>
                  <w:shd w:val="clear" w:color="auto" w:fill="auto"/>
                  <w:noWrap w:val="0"/>
                  <w:vAlign w:val="center"/>
                </w:tcPr>
                <w:p w14:paraId="0EF24DED">
                  <w:pPr>
                    <w:shd w:val="clear" w:color="auto" w:fill="auto"/>
                    <w:adjustRightInd w:val="0"/>
                    <w:snapToGrid w:val="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排水</w:t>
                  </w:r>
                </w:p>
              </w:tc>
              <w:tc>
                <w:tcPr>
                  <w:tcW w:w="3529" w:type="pct"/>
                  <w:tcBorders>
                    <w:tl2br w:val="nil"/>
                    <w:tr2bl w:val="nil"/>
                  </w:tcBorders>
                  <w:shd w:val="clear" w:color="auto" w:fill="auto"/>
                  <w:noWrap w:val="0"/>
                  <w:vAlign w:val="center"/>
                </w:tcPr>
                <w:p w14:paraId="769D4E48">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雨污分流，雨水进入厂区附近市政雨水管网</w:t>
                  </w:r>
                  <w:r>
                    <w:rPr>
                      <w:rFonts w:hint="eastAsia"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厂区附近无污水管网，项目运营期产生的生活污水和生产废水</w:t>
                  </w:r>
                  <w:r>
                    <w:rPr>
                      <w:rFonts w:hint="eastAsia" w:cs="Times New Roman"/>
                      <w:color w:val="000000"/>
                      <w:sz w:val="21"/>
                      <w:szCs w:val="21"/>
                      <w:highlight w:val="none"/>
                      <w:lang w:val="en-US" w:eastAsia="zh-CN"/>
                    </w:rPr>
                    <w:t>被</w:t>
                  </w:r>
                  <w:r>
                    <w:rPr>
                      <w:rFonts w:hint="eastAsia" w:ascii="Times New Roman" w:hAnsi="Times New Roman" w:eastAsia="宋体" w:cs="Times New Roman"/>
                      <w:color w:val="000000"/>
                      <w:sz w:val="21"/>
                      <w:szCs w:val="21"/>
                      <w:highlight w:val="none"/>
                      <w:lang w:val="en-US" w:eastAsia="zh-CN"/>
                    </w:rPr>
                    <w:t>拉运至宝鸡天龙污水处理有限公司处理</w:t>
                  </w:r>
                  <w:r>
                    <w:rPr>
                      <w:rFonts w:hint="eastAsia" w:cs="Times New Roman"/>
                      <w:color w:val="000000"/>
                      <w:sz w:val="21"/>
                      <w:szCs w:val="21"/>
                      <w:highlight w:val="none"/>
                      <w:lang w:val="en-US" w:eastAsia="zh-CN"/>
                    </w:rPr>
                    <w:t>。</w:t>
                  </w:r>
                </w:p>
              </w:tc>
              <w:tc>
                <w:tcPr>
                  <w:tcW w:w="265" w:type="pct"/>
                  <w:tcBorders>
                    <w:tl2br w:val="nil"/>
                    <w:tr2bl w:val="nil"/>
                  </w:tcBorders>
                  <w:shd w:val="clear" w:color="auto" w:fill="auto"/>
                  <w:noWrap w:val="0"/>
                  <w:vAlign w:val="center"/>
                </w:tcPr>
                <w:p w14:paraId="254BC1B6">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新建</w:t>
                  </w:r>
                </w:p>
              </w:tc>
            </w:tr>
            <w:tr w14:paraId="38AB1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0" w:hRule="atLeast"/>
                <w:jc w:val="center"/>
              </w:trPr>
              <w:tc>
                <w:tcPr>
                  <w:tcW w:w="285" w:type="pct"/>
                  <w:vMerge w:val="restart"/>
                  <w:tcBorders>
                    <w:tl2br w:val="nil"/>
                    <w:tr2bl w:val="nil"/>
                  </w:tcBorders>
                  <w:shd w:val="clear" w:color="auto" w:fill="auto"/>
                  <w:noWrap w:val="0"/>
                  <w:vAlign w:val="center"/>
                </w:tcPr>
                <w:p w14:paraId="28C2C855">
                  <w:pPr>
                    <w:shd w:val="clear" w:color="auto" w:fill="auto"/>
                    <w:adjustRightInd w:val="0"/>
                    <w:snapToGrid w:val="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环保工程</w:t>
                  </w:r>
                </w:p>
              </w:tc>
              <w:tc>
                <w:tcPr>
                  <w:tcW w:w="920" w:type="pct"/>
                  <w:gridSpan w:val="3"/>
                  <w:tcBorders>
                    <w:tl2br w:val="nil"/>
                    <w:tr2bl w:val="nil"/>
                  </w:tcBorders>
                  <w:shd w:val="clear" w:color="auto" w:fill="auto"/>
                  <w:noWrap w:val="0"/>
                  <w:vAlign w:val="center"/>
                </w:tcPr>
                <w:p w14:paraId="7DB44477">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废气</w:t>
                  </w:r>
                </w:p>
              </w:tc>
              <w:tc>
                <w:tcPr>
                  <w:tcW w:w="3529" w:type="pct"/>
                  <w:tcBorders>
                    <w:tl2br w:val="nil"/>
                    <w:tr2bl w:val="nil"/>
                  </w:tcBorders>
                  <w:shd w:val="clear" w:color="auto" w:fill="auto"/>
                  <w:noWrap w:val="0"/>
                  <w:vAlign w:val="center"/>
                </w:tcPr>
                <w:p w14:paraId="78798B3F">
                  <w:pPr>
                    <w:numPr>
                      <w:ilvl w:val="0"/>
                      <w:numId w:val="0"/>
                    </w:numPr>
                    <w:shd w:val="clear" w:color="auto" w:fill="auto"/>
                    <w:adjustRightInd w:val="0"/>
                    <w:snapToGrid w:val="0"/>
                    <w:ind w:leftChars="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粮食粉碎粉尘和大曲粉碎粉尘经集气罩收集</w:t>
                  </w:r>
                  <w:r>
                    <w:rPr>
                      <w:rFonts w:hint="eastAsia"/>
                      <w:lang w:eastAsia="zh-CN"/>
                    </w:rPr>
                    <w:t>，</w:t>
                  </w:r>
                  <w:r>
                    <w:rPr>
                      <w:rFonts w:hint="eastAsia" w:ascii="Times New Roman" w:hAnsi="Times New Roman" w:eastAsia="宋体" w:cs="Times New Roman"/>
                      <w:color w:val="000000"/>
                      <w:sz w:val="21"/>
                      <w:szCs w:val="21"/>
                      <w:highlight w:val="none"/>
                      <w:lang w:val="en-US" w:eastAsia="zh-CN"/>
                    </w:rPr>
                    <w:t>通过布袋除尘器处理后由1根20m高排气筒DA001排放，未收集的粉尘以无组织形式排放；天然气锅炉配套低氮燃烧器，锅炉烟气通过1根20m高排气筒DA002直接排放；污水处理站恶臭气体经活性炭吸附处理后通过1根15m高排气筒DA003排放；酒糟堆存臭气以无组织形式排放；食堂油烟经油烟净化器处理后通过专用烟道至楼顶排放</w:t>
                  </w:r>
                  <w:r>
                    <w:rPr>
                      <w:rFonts w:hint="eastAsia"/>
                      <w:lang w:eastAsia="zh-CN"/>
                    </w:rPr>
                    <w:t>。</w:t>
                  </w:r>
                </w:p>
              </w:tc>
              <w:tc>
                <w:tcPr>
                  <w:tcW w:w="265" w:type="pct"/>
                  <w:tcBorders>
                    <w:tl2br w:val="nil"/>
                    <w:tr2bl w:val="nil"/>
                  </w:tcBorders>
                  <w:shd w:val="clear" w:color="auto" w:fill="auto"/>
                  <w:noWrap w:val="0"/>
                  <w:vAlign w:val="center"/>
                </w:tcPr>
                <w:p w14:paraId="4F95B230">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新建</w:t>
                  </w:r>
                </w:p>
              </w:tc>
            </w:tr>
            <w:tr w14:paraId="12BA8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285" w:type="pct"/>
                  <w:vMerge w:val="continue"/>
                  <w:tcBorders>
                    <w:tl2br w:val="nil"/>
                    <w:tr2bl w:val="nil"/>
                  </w:tcBorders>
                  <w:shd w:val="clear" w:color="auto" w:fill="auto"/>
                  <w:noWrap w:val="0"/>
                  <w:vAlign w:val="center"/>
                </w:tcPr>
                <w:p w14:paraId="21863ED2">
                  <w:pPr>
                    <w:shd w:val="clear" w:color="auto" w:fill="auto"/>
                    <w:adjustRightInd w:val="0"/>
                    <w:snapToGrid w:val="0"/>
                    <w:jc w:val="center"/>
                    <w:rPr>
                      <w:rFonts w:hint="default" w:ascii="Times New Roman" w:hAnsi="Times New Roman" w:cs="Times New Roman"/>
                      <w:color w:val="000000"/>
                      <w:sz w:val="21"/>
                      <w:szCs w:val="21"/>
                      <w:highlight w:val="none"/>
                    </w:rPr>
                  </w:pPr>
                </w:p>
              </w:tc>
              <w:tc>
                <w:tcPr>
                  <w:tcW w:w="920" w:type="pct"/>
                  <w:gridSpan w:val="3"/>
                  <w:tcBorders>
                    <w:tl2br w:val="nil"/>
                    <w:tr2bl w:val="nil"/>
                  </w:tcBorders>
                  <w:shd w:val="clear" w:color="auto" w:fill="auto"/>
                  <w:noWrap w:val="0"/>
                  <w:vAlign w:val="center"/>
                </w:tcPr>
                <w:p w14:paraId="4E956F04">
                  <w:pPr>
                    <w:shd w:val="clear" w:color="auto" w:fill="auto"/>
                    <w:adjustRightInd w:val="0"/>
                    <w:snapToGrid w:val="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废水</w:t>
                  </w:r>
                </w:p>
              </w:tc>
              <w:tc>
                <w:tcPr>
                  <w:tcW w:w="3529" w:type="pct"/>
                  <w:tcBorders>
                    <w:tl2br w:val="nil"/>
                    <w:tr2bl w:val="nil"/>
                  </w:tcBorders>
                  <w:shd w:val="clear" w:color="auto" w:fill="auto"/>
                  <w:noWrap w:val="0"/>
                  <w:vAlign w:val="center"/>
                </w:tcPr>
                <w:p w14:paraId="2E1CE107">
                  <w:pPr>
                    <w:shd w:val="clear" w:color="auto" w:fill="auto"/>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本项目运营期废水包括锅底水、窖底水、酒糟黄酒水、锅炉排水量、锅炉清洗废水、软水制备浓水、反冲洗废水、纯水制备浓水、设备清洗废水、洗瓶废水、车间冲洗废水及生活污水，生活污水经隔油池和化粪池预处理后和其他生产废水进入厂区污水处理站处理后达标后拉运至宝鸡天龙污水处理有限公司</w:t>
                  </w:r>
                  <w:r>
                    <w:rPr>
                      <w:rFonts w:hint="eastAsia"/>
                      <w:lang w:eastAsia="zh-CN"/>
                    </w:rPr>
                    <w:t>。</w:t>
                  </w:r>
                </w:p>
              </w:tc>
              <w:tc>
                <w:tcPr>
                  <w:tcW w:w="265" w:type="pct"/>
                  <w:tcBorders>
                    <w:tl2br w:val="nil"/>
                    <w:tr2bl w:val="nil"/>
                  </w:tcBorders>
                  <w:shd w:val="clear" w:color="auto" w:fill="auto"/>
                  <w:noWrap w:val="0"/>
                  <w:vAlign w:val="center"/>
                </w:tcPr>
                <w:p w14:paraId="70004BF3">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新建</w:t>
                  </w:r>
                </w:p>
              </w:tc>
            </w:tr>
            <w:tr w14:paraId="0B0BC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4" w:hRule="atLeast"/>
                <w:jc w:val="center"/>
              </w:trPr>
              <w:tc>
                <w:tcPr>
                  <w:tcW w:w="285" w:type="pct"/>
                  <w:vMerge w:val="continue"/>
                  <w:tcBorders>
                    <w:tl2br w:val="nil"/>
                    <w:tr2bl w:val="nil"/>
                  </w:tcBorders>
                  <w:shd w:val="clear" w:color="auto" w:fill="auto"/>
                  <w:noWrap w:val="0"/>
                  <w:vAlign w:val="center"/>
                </w:tcPr>
                <w:p w14:paraId="3C4D9936">
                  <w:pPr>
                    <w:shd w:val="clear" w:color="auto" w:fill="auto"/>
                    <w:adjustRightInd w:val="0"/>
                    <w:snapToGrid w:val="0"/>
                    <w:jc w:val="center"/>
                    <w:rPr>
                      <w:rFonts w:hint="default" w:ascii="Times New Roman" w:hAnsi="Times New Roman" w:cs="Times New Roman"/>
                      <w:color w:val="000000"/>
                      <w:sz w:val="21"/>
                      <w:szCs w:val="21"/>
                      <w:highlight w:val="none"/>
                    </w:rPr>
                  </w:pPr>
                </w:p>
              </w:tc>
              <w:tc>
                <w:tcPr>
                  <w:tcW w:w="920" w:type="pct"/>
                  <w:gridSpan w:val="3"/>
                  <w:tcBorders>
                    <w:tl2br w:val="nil"/>
                    <w:tr2bl w:val="nil"/>
                  </w:tcBorders>
                  <w:shd w:val="clear" w:color="auto" w:fill="auto"/>
                  <w:noWrap w:val="0"/>
                  <w:vAlign w:val="center"/>
                </w:tcPr>
                <w:p w14:paraId="56732EF6">
                  <w:pPr>
                    <w:shd w:val="clear" w:color="auto" w:fill="auto"/>
                    <w:adjustRightInd w:val="0"/>
                    <w:snapToGrid w:val="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噪声</w:t>
                  </w:r>
                </w:p>
              </w:tc>
              <w:tc>
                <w:tcPr>
                  <w:tcW w:w="3529" w:type="pct"/>
                  <w:tcBorders>
                    <w:tl2br w:val="nil"/>
                    <w:tr2bl w:val="nil"/>
                  </w:tcBorders>
                  <w:shd w:val="clear" w:color="auto" w:fill="auto"/>
                  <w:noWrap w:val="0"/>
                  <w:vAlign w:val="center"/>
                </w:tcPr>
                <w:p w14:paraId="4A0FC4EF">
                  <w:pPr>
                    <w:shd w:val="clear" w:color="auto" w:fill="auto"/>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项目噪声主要由粉碎机、风机、锅炉、水泵等高噪声设备产生，采取厂房隔声、基础减振、风机安装隔声罩、锅炉排气筒安装消声器等措施进行降噪</w:t>
                  </w:r>
                  <w:r>
                    <w:rPr>
                      <w:rFonts w:hint="eastAsia"/>
                      <w:lang w:eastAsia="zh-CN"/>
                    </w:rPr>
                    <w:t>。</w:t>
                  </w:r>
                </w:p>
              </w:tc>
              <w:tc>
                <w:tcPr>
                  <w:tcW w:w="265" w:type="pct"/>
                  <w:tcBorders>
                    <w:tl2br w:val="nil"/>
                    <w:tr2bl w:val="nil"/>
                  </w:tcBorders>
                  <w:shd w:val="clear" w:color="auto" w:fill="auto"/>
                  <w:noWrap w:val="0"/>
                  <w:vAlign w:val="center"/>
                </w:tcPr>
                <w:p w14:paraId="58CCB0C9">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新建</w:t>
                  </w:r>
                </w:p>
              </w:tc>
            </w:tr>
            <w:tr w14:paraId="59FF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530" w:type="pct"/>
                  <w:gridSpan w:val="2"/>
                  <w:vMerge w:val="restart"/>
                  <w:tcBorders>
                    <w:tl2br w:val="nil"/>
                    <w:tr2bl w:val="nil"/>
                  </w:tcBorders>
                  <w:shd w:val="clear" w:color="auto" w:fill="auto"/>
                  <w:noWrap w:val="0"/>
                  <w:vAlign w:val="center"/>
                </w:tcPr>
                <w:p w14:paraId="13A5F3CE">
                  <w:pPr>
                    <w:shd w:val="clear" w:color="auto" w:fill="auto"/>
                    <w:adjustRightInd w:val="0"/>
                    <w:snapToGrid w:val="0"/>
                    <w:jc w:val="center"/>
                    <w:rPr>
                      <w:rFonts w:hint="default" w:ascii="Times New Roman" w:hAnsi="Times New Roman" w:cs="Times New Roman"/>
                      <w:color w:val="000000"/>
                      <w:sz w:val="21"/>
                      <w:szCs w:val="21"/>
                      <w:highlight w:val="none"/>
                    </w:rPr>
                  </w:pPr>
                </w:p>
              </w:tc>
              <w:tc>
                <w:tcPr>
                  <w:tcW w:w="263" w:type="pct"/>
                  <w:vMerge w:val="restart"/>
                  <w:tcBorders>
                    <w:tl2br w:val="nil"/>
                    <w:tr2bl w:val="nil"/>
                  </w:tcBorders>
                  <w:shd w:val="clear" w:color="auto" w:fill="auto"/>
                  <w:noWrap w:val="0"/>
                  <w:vAlign w:val="center"/>
                </w:tcPr>
                <w:p w14:paraId="4B51A9BE">
                  <w:pPr>
                    <w:shd w:val="clear" w:color="auto" w:fill="auto"/>
                    <w:adjustRightInd w:val="0"/>
                    <w:snapToGrid w:val="0"/>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固体废物</w:t>
                  </w:r>
                </w:p>
              </w:tc>
              <w:tc>
                <w:tcPr>
                  <w:tcW w:w="411" w:type="pct"/>
                  <w:tcBorders>
                    <w:tl2br w:val="nil"/>
                    <w:tr2bl w:val="nil"/>
                  </w:tcBorders>
                  <w:shd w:val="clear" w:color="auto" w:fill="auto"/>
                  <w:noWrap w:val="0"/>
                  <w:vAlign w:val="center"/>
                </w:tcPr>
                <w:p w14:paraId="42FA1B2E">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一般固体废物</w:t>
                  </w:r>
                </w:p>
              </w:tc>
              <w:tc>
                <w:tcPr>
                  <w:tcW w:w="3529" w:type="pct"/>
                  <w:tcBorders>
                    <w:tl2br w:val="nil"/>
                    <w:tr2bl w:val="nil"/>
                  </w:tcBorders>
                  <w:shd w:val="clear" w:color="auto" w:fill="auto"/>
                  <w:noWrap w:val="0"/>
                  <w:vAlign w:val="center"/>
                </w:tcPr>
                <w:p w14:paraId="55EBE61A">
                  <w:pPr>
                    <w:keepNext w:val="0"/>
                    <w:keepLines w:val="0"/>
                    <w:widowControl/>
                    <w:suppressLineNumbers w:val="0"/>
                    <w:shd w:val="clear" w:color="auto" w:fill="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本</w:t>
                  </w:r>
                  <w:r>
                    <w:rPr>
                      <w:rFonts w:hint="eastAsia" w:ascii="Times New Roman" w:hAnsi="Times New Roman" w:eastAsia="宋体" w:cs="Times New Roman"/>
                      <w:color w:val="000000"/>
                      <w:sz w:val="21"/>
                      <w:szCs w:val="21"/>
                      <w:highlight w:val="none"/>
                      <w:lang w:val="en-US" w:eastAsia="zh-CN"/>
                    </w:rPr>
                    <w:t>项目运营期产生的一般固废包括酒糟、窖泥、布袋除尘器收集粉尘、废包装、污水处理站污泥、</w:t>
                  </w:r>
                  <w:r>
                    <w:rPr>
                      <w:rFonts w:hint="default" w:ascii="Times New Roman" w:hAnsi="Times New Roman" w:eastAsia="宋体" w:cs="Times New Roman"/>
                      <w:color w:val="000000"/>
                      <w:sz w:val="21"/>
                      <w:szCs w:val="21"/>
                      <w:highlight w:val="none"/>
                      <w:lang w:val="en-US" w:eastAsia="zh-CN"/>
                    </w:rPr>
                    <w:t>废离子交换树脂</w:t>
                  </w:r>
                  <w:r>
                    <w:rPr>
                      <w:rFonts w:hint="eastAsia" w:ascii="Times New Roman" w:hAnsi="Times New Roman" w:eastAsia="宋体" w:cs="Times New Roman"/>
                      <w:color w:val="000000"/>
                      <w:sz w:val="21"/>
                      <w:szCs w:val="21"/>
                      <w:highlight w:val="none"/>
                      <w:lang w:val="en-US" w:eastAsia="zh-CN"/>
                    </w:rPr>
                    <w:t>、废滤芯（PP棉滤芯、活性炭滤芯及RO反渗透膜）及生活垃圾。酒糟暂存酿酒车间，随产随清，外售饲料厂综合利用；窖泥由农户清运用于施肥；布袋除尘器收集粉尘暂存于一般固废贮存间，外售饲料厂综合利用；废包装分类收集，暂存于一般固废贮存间，定期外售物资回收部门综合利用；污水处理站污泥、炉灰、锅炉烟气除尘灰交附近村民拉运</w:t>
                  </w:r>
                  <w:r>
                    <w:rPr>
                      <w:rFonts w:hint="eastAsia"/>
                      <w:lang w:val="en-US" w:eastAsia="zh-CN"/>
                    </w:rPr>
                    <w:t>至</w:t>
                  </w:r>
                  <w:r>
                    <w:rPr>
                      <w:rFonts w:hint="eastAsia" w:ascii="Times New Roman" w:hAnsi="Times New Roman" w:eastAsia="宋体" w:cs="Times New Roman"/>
                      <w:color w:val="000000"/>
                      <w:sz w:val="21"/>
                      <w:szCs w:val="21"/>
                      <w:highlight w:val="none"/>
                      <w:lang w:val="en-US" w:eastAsia="zh-CN"/>
                    </w:rPr>
                    <w:t>肥田；废离子交换树脂</w:t>
                  </w:r>
                  <w:r>
                    <w:rPr>
                      <w:rFonts w:hint="eastAsia"/>
                      <w:lang w:val="en-US" w:eastAsia="zh-CN"/>
                    </w:rPr>
                    <w:t>每</w:t>
                  </w:r>
                  <w:r>
                    <w:rPr>
                      <w:rFonts w:hint="eastAsia" w:ascii="Times New Roman" w:hAnsi="Times New Roman" w:eastAsia="宋体" w:cs="Times New Roman"/>
                      <w:color w:val="000000"/>
                      <w:sz w:val="21"/>
                      <w:szCs w:val="21"/>
                      <w:highlight w:val="none"/>
                      <w:lang w:val="en-US" w:eastAsia="zh-CN"/>
                    </w:rPr>
                    <w:t>三年更换1次，</w:t>
                  </w:r>
                  <w:r>
                    <w:rPr>
                      <w:rFonts w:hint="default" w:ascii="Times New Roman" w:hAnsi="Times New Roman" w:eastAsia="宋体" w:cs="Times New Roman"/>
                      <w:color w:val="000000"/>
                      <w:sz w:val="21"/>
                      <w:szCs w:val="21"/>
                      <w:highlight w:val="none"/>
                      <w:lang w:val="en-US" w:eastAsia="zh-CN"/>
                    </w:rPr>
                    <w:t>由设备厂家进行定期更换回收</w:t>
                  </w:r>
                  <w:r>
                    <w:rPr>
                      <w:rFonts w:hint="eastAsia" w:ascii="Times New Roman" w:hAnsi="Times New Roman" w:eastAsia="宋体" w:cs="Times New Roman"/>
                      <w:color w:val="000000"/>
                      <w:sz w:val="21"/>
                      <w:szCs w:val="21"/>
                      <w:highlight w:val="none"/>
                      <w:lang w:val="en-US" w:eastAsia="zh-CN"/>
                    </w:rPr>
                    <w:t>；废滤芯由厂家回收更换；生活垃圾分类收集，交环卫部门处置。厂区新建一般固废贮存间1座，面积50㎡，用于一般固废的贮存。</w:t>
                  </w:r>
                </w:p>
              </w:tc>
              <w:tc>
                <w:tcPr>
                  <w:tcW w:w="265" w:type="pct"/>
                  <w:tcBorders>
                    <w:tl2br w:val="nil"/>
                    <w:tr2bl w:val="nil"/>
                  </w:tcBorders>
                  <w:shd w:val="clear" w:color="auto" w:fill="auto"/>
                  <w:noWrap w:val="0"/>
                  <w:vAlign w:val="center"/>
                </w:tcPr>
                <w:p w14:paraId="1D1894A1">
                  <w:pPr>
                    <w:shd w:val="clear" w:color="auto" w:fill="auto"/>
                    <w:adjustRightInd w:val="0"/>
                    <w:snapToGrid w:val="0"/>
                    <w:jc w:val="center"/>
                    <w:rPr>
                      <w:rFonts w:hint="default" w:ascii="Times New Roman" w:hAnsi="Times New Roman" w:eastAsia="宋体" w:cs="Times New Roman"/>
                      <w:snapToGrid w:val="0"/>
                      <w:color w:val="000000"/>
                      <w:sz w:val="21"/>
                      <w:szCs w:val="21"/>
                      <w:highlight w:val="none"/>
                      <w:lang w:val="en-US" w:eastAsia="zh-CN"/>
                    </w:rPr>
                  </w:pPr>
                  <w:r>
                    <w:rPr>
                      <w:rFonts w:hint="eastAsia" w:ascii="Times New Roman" w:hAnsi="Times New Roman" w:eastAsia="宋体" w:cs="Times New Roman"/>
                      <w:snapToGrid w:val="0"/>
                      <w:color w:val="000000"/>
                      <w:sz w:val="21"/>
                      <w:szCs w:val="21"/>
                      <w:highlight w:val="none"/>
                      <w:lang w:val="en-US" w:eastAsia="zh-CN"/>
                    </w:rPr>
                    <w:t>新建</w:t>
                  </w:r>
                </w:p>
              </w:tc>
            </w:tr>
            <w:tr w14:paraId="2D33A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4" w:hRule="atLeast"/>
                <w:jc w:val="center"/>
              </w:trPr>
              <w:tc>
                <w:tcPr>
                  <w:tcW w:w="530" w:type="pct"/>
                  <w:gridSpan w:val="2"/>
                  <w:vMerge w:val="continue"/>
                  <w:tcBorders>
                    <w:tl2br w:val="nil"/>
                    <w:tr2bl w:val="nil"/>
                  </w:tcBorders>
                  <w:shd w:val="clear" w:color="auto" w:fill="auto"/>
                  <w:noWrap w:val="0"/>
                  <w:vAlign w:val="center"/>
                </w:tcPr>
                <w:p w14:paraId="7FC9D20C">
                  <w:pPr>
                    <w:shd w:val="clear" w:color="auto" w:fill="auto"/>
                    <w:adjustRightInd w:val="0"/>
                    <w:snapToGrid w:val="0"/>
                    <w:jc w:val="center"/>
                    <w:rPr>
                      <w:rFonts w:hint="default" w:ascii="Times New Roman" w:hAnsi="Times New Roman" w:cs="Times New Roman"/>
                      <w:color w:val="000000"/>
                      <w:sz w:val="21"/>
                      <w:szCs w:val="21"/>
                      <w:highlight w:val="none"/>
                    </w:rPr>
                  </w:pPr>
                </w:p>
              </w:tc>
              <w:tc>
                <w:tcPr>
                  <w:tcW w:w="263" w:type="pct"/>
                  <w:vMerge w:val="continue"/>
                  <w:tcBorders>
                    <w:tl2br w:val="nil"/>
                    <w:tr2bl w:val="nil"/>
                  </w:tcBorders>
                  <w:shd w:val="clear" w:color="auto" w:fill="auto"/>
                  <w:noWrap w:val="0"/>
                  <w:vAlign w:val="center"/>
                </w:tcPr>
                <w:p w14:paraId="6BFC2C43">
                  <w:pPr>
                    <w:shd w:val="clear" w:color="auto" w:fill="auto"/>
                    <w:adjustRightInd w:val="0"/>
                    <w:snapToGrid w:val="0"/>
                    <w:jc w:val="center"/>
                    <w:rPr>
                      <w:rFonts w:hint="default" w:ascii="Times New Roman" w:hAnsi="Times New Roman" w:cs="Times New Roman"/>
                      <w:color w:val="000000"/>
                      <w:sz w:val="21"/>
                      <w:szCs w:val="21"/>
                      <w:highlight w:val="none"/>
                    </w:rPr>
                  </w:pPr>
                </w:p>
              </w:tc>
              <w:tc>
                <w:tcPr>
                  <w:tcW w:w="411" w:type="pct"/>
                  <w:tcBorders>
                    <w:tl2br w:val="nil"/>
                    <w:tr2bl w:val="nil"/>
                  </w:tcBorders>
                  <w:shd w:val="clear" w:color="auto" w:fill="auto"/>
                  <w:noWrap w:val="0"/>
                  <w:vAlign w:val="center"/>
                </w:tcPr>
                <w:p w14:paraId="77C580B4">
                  <w:pPr>
                    <w:keepNext w:val="0"/>
                    <w:keepLines w:val="0"/>
                    <w:widowControl/>
                    <w:suppressLineNumbers w:val="0"/>
                    <w:shd w:val="clear" w:color="auto" w:fill="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危险废物</w:t>
                  </w:r>
                </w:p>
              </w:tc>
              <w:tc>
                <w:tcPr>
                  <w:tcW w:w="3529" w:type="pct"/>
                  <w:tcBorders>
                    <w:tl2br w:val="nil"/>
                    <w:tr2bl w:val="nil"/>
                  </w:tcBorders>
                  <w:shd w:val="clear" w:color="auto" w:fill="auto"/>
                  <w:noWrap w:val="0"/>
                  <w:vAlign w:val="center"/>
                </w:tcPr>
                <w:p w14:paraId="689C86F1">
                  <w:pPr>
                    <w:keepNext w:val="0"/>
                    <w:keepLines w:val="0"/>
                    <w:widowControl/>
                    <w:suppressLineNumbers w:val="0"/>
                    <w:shd w:val="clear" w:color="auto" w:fill="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本项目产生的危险废物主要包括设备维护产生的废机油、废油桶、含油</w:t>
                  </w:r>
                  <w:r>
                    <w:t>抹布和</w:t>
                  </w:r>
                  <w:r>
                    <w:rPr>
                      <w:rFonts w:hint="eastAsia" w:ascii="Times New Roman" w:hAnsi="Times New Roman" w:eastAsia="宋体" w:cs="Times New Roman"/>
                      <w:color w:val="000000"/>
                      <w:sz w:val="21"/>
                      <w:szCs w:val="21"/>
                      <w:highlight w:val="none"/>
                      <w:lang w:val="en-US" w:eastAsia="zh-CN"/>
                    </w:rPr>
                    <w:t>手套、实验室废液、实验器皿冲洗废水、废气处理产生的废</w:t>
                  </w:r>
                  <w:r>
                    <w:t>活性炭等</w:t>
                  </w:r>
                  <w:r>
                    <w:rPr>
                      <w:rFonts w:hint="eastAsia" w:ascii="Times New Roman" w:hAnsi="Times New Roman" w:eastAsia="宋体" w:cs="Times New Roman"/>
                      <w:color w:val="000000"/>
                      <w:sz w:val="21"/>
                      <w:szCs w:val="21"/>
                      <w:highlight w:val="none"/>
                      <w:lang w:val="en-US" w:eastAsia="zh-CN"/>
                    </w:rPr>
                    <w:t>。厂区新建危废贮存间1座，面积20㎡，危险废物分类暂存于危废贮存间，定期交有资质单位处置</w:t>
                  </w:r>
                  <w:r>
                    <w:rPr>
                      <w:rFonts w:hint="eastAsia" w:cs="Times New Roman"/>
                      <w:color w:val="000000"/>
                      <w:sz w:val="21"/>
                      <w:szCs w:val="21"/>
                      <w:highlight w:val="none"/>
                      <w:lang w:val="en-US" w:eastAsia="zh-CN"/>
                    </w:rPr>
                    <w:t>。</w:t>
                  </w:r>
                </w:p>
              </w:tc>
              <w:tc>
                <w:tcPr>
                  <w:tcW w:w="265" w:type="pct"/>
                  <w:tcBorders>
                    <w:tl2br w:val="nil"/>
                    <w:tr2bl w:val="nil"/>
                  </w:tcBorders>
                  <w:shd w:val="clear" w:color="auto" w:fill="auto"/>
                  <w:noWrap w:val="0"/>
                  <w:vAlign w:val="center"/>
                </w:tcPr>
                <w:p w14:paraId="45F8E193">
                  <w:pPr>
                    <w:shd w:val="clear" w:color="auto" w:fill="auto"/>
                    <w:adjustRightInd w:val="0"/>
                    <w:snapToGrid w:val="0"/>
                    <w:jc w:val="center"/>
                    <w:rPr>
                      <w:rFonts w:hint="default" w:ascii="Times New Roman" w:hAnsi="Times New Roman" w:eastAsia="宋体" w:cs="Times New Roman"/>
                      <w:snapToGrid w:val="0"/>
                      <w:color w:val="000000"/>
                      <w:sz w:val="21"/>
                      <w:szCs w:val="21"/>
                      <w:highlight w:val="none"/>
                      <w:lang w:val="en-US" w:eastAsia="zh-CN"/>
                    </w:rPr>
                  </w:pPr>
                  <w:r>
                    <w:rPr>
                      <w:rFonts w:hint="eastAsia" w:ascii="Times New Roman" w:hAnsi="Times New Roman" w:eastAsia="宋体" w:cs="Times New Roman"/>
                      <w:snapToGrid w:val="0"/>
                      <w:color w:val="000000"/>
                      <w:sz w:val="21"/>
                      <w:szCs w:val="21"/>
                      <w:highlight w:val="none"/>
                      <w:lang w:val="en-US" w:eastAsia="zh-CN"/>
                    </w:rPr>
                    <w:t>新建</w:t>
                  </w:r>
                </w:p>
              </w:tc>
            </w:tr>
          </w:tbl>
          <w:p w14:paraId="77EDD57C">
            <w:pPr>
              <w:widowControl/>
              <w:shd w:val="clear" w:color="auto" w:fill="auto"/>
              <w:spacing w:line="360" w:lineRule="auto"/>
              <w:ind w:firstLine="422" w:firstLineChars="200"/>
              <w:rPr>
                <w:rFonts w:hint="default" w:ascii="Times New Roman" w:hAnsi="Times New Roman" w:cs="Times New Roman"/>
                <w:b/>
                <w:bCs/>
                <w:color w:val="000000"/>
                <w:sz w:val="21"/>
                <w:szCs w:val="21"/>
                <w:highlight w:val="none"/>
              </w:rPr>
            </w:pPr>
            <w:r>
              <w:rPr>
                <w:rFonts w:hint="eastAsia" w:cs="Times New Roman"/>
                <w:b/>
                <w:bCs/>
                <w:color w:val="000000"/>
                <w:sz w:val="21"/>
                <w:szCs w:val="21"/>
                <w:highlight w:val="none"/>
                <w:lang w:eastAsia="zh-CN"/>
              </w:rPr>
              <w:t>4.</w:t>
            </w:r>
            <w:r>
              <w:rPr>
                <w:rFonts w:hint="default" w:ascii="Times New Roman" w:hAnsi="Times New Roman" w:cs="Times New Roman"/>
                <w:b/>
                <w:bCs/>
                <w:color w:val="000000"/>
                <w:sz w:val="21"/>
                <w:szCs w:val="21"/>
                <w:highlight w:val="none"/>
              </w:rPr>
              <w:t>项目主要生产设施</w:t>
            </w:r>
          </w:p>
          <w:p w14:paraId="338D5DC9">
            <w:pPr>
              <w:keepNext w:val="0"/>
              <w:keepLines w:val="0"/>
              <w:pageBreakBefore w:val="0"/>
              <w:widowControl/>
              <w:shd w:val="clear" w:color="auto" w:fill="auto"/>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项目主要生产设施见表2-</w:t>
            </w:r>
            <w:r>
              <w:rPr>
                <w:rFonts w:hint="default" w:ascii="Times New Roman" w:hAnsi="Times New Roman" w:cs="Times New Roman"/>
                <w:color w:val="000000"/>
                <w:sz w:val="21"/>
                <w:szCs w:val="21"/>
                <w:highlight w:val="none"/>
                <w:lang w:val="en-US" w:eastAsia="zh-CN"/>
              </w:rPr>
              <w:t>3</w:t>
            </w:r>
            <w:r>
              <w:rPr>
                <w:rFonts w:hint="default" w:ascii="Times New Roman" w:hAnsi="Times New Roman" w:cs="Times New Roman"/>
                <w:color w:val="000000"/>
                <w:sz w:val="21"/>
                <w:szCs w:val="21"/>
                <w:highlight w:val="none"/>
              </w:rPr>
              <w:t>。</w:t>
            </w:r>
          </w:p>
          <w:p w14:paraId="213A4F62">
            <w:pPr>
              <w:keepNext w:val="0"/>
              <w:keepLines w:val="0"/>
              <w:pageBreakBefore w:val="0"/>
              <w:shd w:val="clear" w:color="auto" w:fill="auto"/>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表2-</w:t>
            </w:r>
            <w:r>
              <w:rPr>
                <w:rFonts w:hint="default" w:ascii="Times New Roman" w:hAnsi="Times New Roman" w:cs="Times New Roman"/>
                <w:b/>
                <w:color w:val="000000"/>
                <w:sz w:val="21"/>
                <w:szCs w:val="21"/>
                <w:highlight w:val="none"/>
                <w:lang w:val="en-US" w:eastAsia="zh-CN"/>
              </w:rPr>
              <w:t>3</w:t>
            </w:r>
            <w:r>
              <w:rPr>
                <w:rFonts w:hint="default" w:ascii="Times New Roman" w:hAnsi="Times New Roman" w:cs="Times New Roman"/>
                <w:b/>
                <w:color w:val="000000"/>
                <w:sz w:val="21"/>
                <w:szCs w:val="21"/>
                <w:highlight w:val="none"/>
              </w:rPr>
              <w:t xml:space="preserve">  主要生产设施一览表</w:t>
            </w:r>
          </w:p>
          <w:tbl>
            <w:tblPr>
              <w:tblStyle w:val="14"/>
              <w:tblW w:w="779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724"/>
              <w:gridCol w:w="1031"/>
              <w:gridCol w:w="1565"/>
              <w:gridCol w:w="1638"/>
              <w:gridCol w:w="538"/>
              <w:gridCol w:w="500"/>
              <w:gridCol w:w="1800"/>
            </w:tblGrid>
            <w:tr w14:paraId="46029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71" w:hRule="atLeast"/>
              </w:trPr>
              <w:tc>
                <w:tcPr>
                  <w:tcW w:w="724" w:type="dxa"/>
                  <w:tcBorders>
                    <w:top w:val="single" w:color="000000" w:sz="6" w:space="0"/>
                  </w:tcBorders>
                  <w:shd w:val="clear" w:color="auto" w:fill="auto"/>
                  <w:noWrap w:val="0"/>
                  <w:vAlign w:val="center"/>
                </w:tcPr>
                <w:p w14:paraId="63058AA0">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b/>
                      <w:bCs/>
                      <w:color w:val="000000"/>
                      <w:kern w:val="0"/>
                      <w:sz w:val="21"/>
                      <w:szCs w:val="21"/>
                      <w:highlight w:val="none"/>
                      <w:lang w:val="en-US" w:eastAsia="zh-CN"/>
                    </w:rPr>
                  </w:pPr>
                  <w:bookmarkStart w:id="21" w:name="OLE_LINK8"/>
                  <w:r>
                    <w:rPr>
                      <w:rFonts w:hint="default" w:ascii="Times New Roman" w:hAnsi="Times New Roman" w:eastAsia="宋体" w:cs="Times New Roman"/>
                      <w:b/>
                      <w:bCs/>
                      <w:color w:val="000000"/>
                      <w:kern w:val="0"/>
                      <w:sz w:val="21"/>
                      <w:szCs w:val="21"/>
                      <w:highlight w:val="none"/>
                      <w:lang w:val="en-US" w:eastAsia="zh-CN"/>
                    </w:rPr>
                    <w:t>序号</w:t>
                  </w:r>
                </w:p>
              </w:tc>
              <w:tc>
                <w:tcPr>
                  <w:tcW w:w="1031" w:type="dxa"/>
                  <w:tcBorders>
                    <w:top w:val="single" w:color="000000" w:sz="6" w:space="0"/>
                  </w:tcBorders>
                  <w:shd w:val="clear" w:color="auto" w:fill="auto"/>
                  <w:noWrap w:val="0"/>
                  <w:vAlign w:val="center"/>
                </w:tcPr>
                <w:p w14:paraId="03C22621">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b/>
                      <w:bCs/>
                      <w:color w:val="000000"/>
                      <w:kern w:val="0"/>
                      <w:sz w:val="21"/>
                      <w:szCs w:val="21"/>
                      <w:highlight w:val="none"/>
                      <w:lang w:val="en-US" w:eastAsia="zh-CN"/>
                    </w:rPr>
                  </w:pPr>
                  <w:r>
                    <w:rPr>
                      <w:rFonts w:hint="default" w:ascii="Times New Roman" w:hAnsi="Times New Roman" w:eastAsia="宋体" w:cs="Times New Roman"/>
                      <w:b/>
                      <w:bCs/>
                      <w:color w:val="000000"/>
                      <w:kern w:val="0"/>
                      <w:sz w:val="21"/>
                      <w:szCs w:val="21"/>
                      <w:highlight w:val="none"/>
                      <w:lang w:val="en-US" w:eastAsia="zh-CN"/>
                    </w:rPr>
                    <w:t>主要生产单元</w:t>
                  </w:r>
                </w:p>
              </w:tc>
              <w:tc>
                <w:tcPr>
                  <w:tcW w:w="1565" w:type="dxa"/>
                  <w:tcBorders>
                    <w:top w:val="single" w:color="000000" w:sz="6" w:space="0"/>
                  </w:tcBorders>
                  <w:shd w:val="clear" w:color="auto" w:fill="auto"/>
                  <w:noWrap w:val="0"/>
                  <w:vAlign w:val="center"/>
                </w:tcPr>
                <w:p w14:paraId="58DE2E5D">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b/>
                      <w:bCs/>
                      <w:color w:val="000000"/>
                      <w:kern w:val="0"/>
                      <w:sz w:val="21"/>
                      <w:szCs w:val="21"/>
                      <w:highlight w:val="none"/>
                      <w:lang w:val="en-US" w:eastAsia="zh-CN"/>
                    </w:rPr>
                  </w:pPr>
                  <w:r>
                    <w:rPr>
                      <w:rFonts w:hint="default" w:ascii="Times New Roman" w:hAnsi="Times New Roman" w:eastAsia="宋体" w:cs="Times New Roman"/>
                      <w:b/>
                      <w:bCs/>
                      <w:color w:val="000000"/>
                      <w:kern w:val="0"/>
                      <w:sz w:val="21"/>
                      <w:szCs w:val="21"/>
                      <w:highlight w:val="none"/>
                      <w:lang w:val="en-US" w:eastAsia="zh-CN"/>
                    </w:rPr>
                    <w:t>设备名称</w:t>
                  </w:r>
                </w:p>
              </w:tc>
              <w:tc>
                <w:tcPr>
                  <w:tcW w:w="1638" w:type="dxa"/>
                  <w:tcBorders>
                    <w:top w:val="single" w:color="000000" w:sz="6" w:space="0"/>
                  </w:tcBorders>
                  <w:shd w:val="clear" w:color="auto" w:fill="auto"/>
                  <w:noWrap w:val="0"/>
                  <w:vAlign w:val="center"/>
                </w:tcPr>
                <w:p w14:paraId="5736291D">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b/>
                      <w:bCs/>
                      <w:color w:val="000000"/>
                      <w:kern w:val="0"/>
                      <w:sz w:val="21"/>
                      <w:szCs w:val="21"/>
                      <w:highlight w:val="none"/>
                      <w:lang w:val="en-US" w:eastAsia="zh-CN"/>
                    </w:rPr>
                  </w:pPr>
                  <w:r>
                    <w:rPr>
                      <w:rFonts w:hint="default" w:ascii="Times New Roman" w:hAnsi="Times New Roman" w:eastAsia="宋体" w:cs="Times New Roman"/>
                      <w:b/>
                      <w:bCs/>
                      <w:color w:val="000000"/>
                      <w:kern w:val="0"/>
                      <w:sz w:val="21"/>
                      <w:szCs w:val="21"/>
                      <w:highlight w:val="none"/>
                      <w:lang w:val="en-US" w:eastAsia="zh-CN"/>
                    </w:rPr>
                    <w:t>规格/参数</w:t>
                  </w:r>
                </w:p>
              </w:tc>
              <w:tc>
                <w:tcPr>
                  <w:tcW w:w="538" w:type="dxa"/>
                  <w:tcBorders>
                    <w:top w:val="single" w:color="000000" w:sz="6" w:space="0"/>
                  </w:tcBorders>
                  <w:shd w:val="clear" w:color="auto" w:fill="auto"/>
                  <w:noWrap w:val="0"/>
                  <w:vAlign w:val="center"/>
                </w:tcPr>
                <w:p w14:paraId="5E398BDA">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b/>
                      <w:bCs/>
                      <w:color w:val="000000"/>
                      <w:kern w:val="0"/>
                      <w:sz w:val="21"/>
                      <w:szCs w:val="21"/>
                      <w:highlight w:val="none"/>
                      <w:lang w:val="en-US" w:eastAsia="zh-CN"/>
                    </w:rPr>
                  </w:pPr>
                  <w:r>
                    <w:rPr>
                      <w:rFonts w:hint="default" w:ascii="Times New Roman" w:hAnsi="Times New Roman" w:eastAsia="宋体" w:cs="Times New Roman"/>
                      <w:b/>
                      <w:bCs/>
                      <w:color w:val="000000"/>
                      <w:kern w:val="0"/>
                      <w:sz w:val="21"/>
                      <w:szCs w:val="21"/>
                      <w:highlight w:val="none"/>
                      <w:lang w:val="en-US" w:eastAsia="zh-CN"/>
                    </w:rPr>
                    <w:t>单位</w:t>
                  </w:r>
                </w:p>
              </w:tc>
              <w:tc>
                <w:tcPr>
                  <w:tcW w:w="500" w:type="dxa"/>
                  <w:tcBorders>
                    <w:top w:val="single" w:color="000000" w:sz="6" w:space="0"/>
                  </w:tcBorders>
                  <w:shd w:val="clear" w:color="auto" w:fill="auto"/>
                  <w:noWrap w:val="0"/>
                  <w:vAlign w:val="center"/>
                </w:tcPr>
                <w:p w14:paraId="2F6BD424">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b/>
                      <w:bCs/>
                      <w:color w:val="000000"/>
                      <w:kern w:val="0"/>
                      <w:sz w:val="21"/>
                      <w:szCs w:val="21"/>
                      <w:highlight w:val="none"/>
                      <w:lang w:val="en-US" w:eastAsia="zh-CN"/>
                    </w:rPr>
                  </w:pPr>
                  <w:r>
                    <w:rPr>
                      <w:rFonts w:hint="default" w:ascii="Times New Roman" w:hAnsi="Times New Roman" w:eastAsia="宋体" w:cs="Times New Roman"/>
                      <w:b/>
                      <w:bCs/>
                      <w:color w:val="000000"/>
                      <w:kern w:val="0"/>
                      <w:sz w:val="21"/>
                      <w:szCs w:val="21"/>
                      <w:highlight w:val="none"/>
                      <w:lang w:val="en-US" w:eastAsia="zh-CN"/>
                    </w:rPr>
                    <w:t>数量</w:t>
                  </w:r>
                </w:p>
              </w:tc>
              <w:tc>
                <w:tcPr>
                  <w:tcW w:w="1800" w:type="dxa"/>
                  <w:tcBorders>
                    <w:top w:val="single" w:color="000000" w:sz="6" w:space="0"/>
                  </w:tcBorders>
                  <w:shd w:val="clear" w:color="auto" w:fill="auto"/>
                  <w:noWrap w:val="0"/>
                  <w:vAlign w:val="center"/>
                </w:tcPr>
                <w:p w14:paraId="7CA944F4">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b/>
                      <w:bCs/>
                      <w:color w:val="000000"/>
                      <w:kern w:val="0"/>
                      <w:sz w:val="21"/>
                      <w:szCs w:val="21"/>
                      <w:highlight w:val="none"/>
                      <w:lang w:val="en-US" w:eastAsia="zh-CN"/>
                    </w:rPr>
                  </w:pPr>
                  <w:r>
                    <w:rPr>
                      <w:rFonts w:hint="default" w:ascii="Times New Roman" w:hAnsi="Times New Roman" w:eastAsia="宋体" w:cs="Times New Roman"/>
                      <w:b/>
                      <w:bCs/>
                      <w:color w:val="000000"/>
                      <w:kern w:val="0"/>
                      <w:sz w:val="21"/>
                      <w:szCs w:val="21"/>
                      <w:highlight w:val="none"/>
                      <w:lang w:val="en-US" w:eastAsia="zh-CN"/>
                    </w:rPr>
                    <w:t>备注</w:t>
                  </w:r>
                </w:p>
              </w:tc>
            </w:tr>
            <w:tr w14:paraId="402CE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74" w:hRule="atLeast"/>
              </w:trPr>
              <w:tc>
                <w:tcPr>
                  <w:tcW w:w="724" w:type="dxa"/>
                  <w:shd w:val="clear" w:color="auto" w:fill="auto"/>
                  <w:noWrap w:val="0"/>
                  <w:vAlign w:val="center"/>
                </w:tcPr>
                <w:p w14:paraId="3AED3893">
                  <w:pPr>
                    <w:shd w:val="clear" w:color="auto" w:fill="auto"/>
                    <w:bidi w:val="0"/>
                    <w:jc w:val="center"/>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1</w:t>
                  </w:r>
                </w:p>
              </w:tc>
              <w:tc>
                <w:tcPr>
                  <w:tcW w:w="1031" w:type="dxa"/>
                  <w:shd w:val="clear" w:color="auto" w:fill="auto"/>
                  <w:noWrap w:val="0"/>
                  <w:vAlign w:val="center"/>
                </w:tcPr>
                <w:p w14:paraId="355A086A">
                  <w:pPr>
                    <w:shd w:val="clear" w:color="auto" w:fill="auto"/>
                    <w:bidi w:val="0"/>
                    <w:jc w:val="center"/>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原料粉碎系统</w:t>
                  </w:r>
                </w:p>
              </w:tc>
              <w:tc>
                <w:tcPr>
                  <w:tcW w:w="1565" w:type="dxa"/>
                  <w:shd w:val="clear" w:color="auto" w:fill="auto"/>
                  <w:noWrap w:val="0"/>
                  <w:vAlign w:val="center"/>
                </w:tcPr>
                <w:p w14:paraId="269EFB77">
                  <w:pPr>
                    <w:shd w:val="clear" w:color="auto" w:fill="auto"/>
                    <w:bidi w:val="0"/>
                    <w:jc w:val="center"/>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粉碎机</w:t>
                  </w:r>
                </w:p>
              </w:tc>
              <w:tc>
                <w:tcPr>
                  <w:tcW w:w="1638" w:type="dxa"/>
                  <w:shd w:val="clear" w:color="auto" w:fill="auto"/>
                  <w:noWrap w:val="0"/>
                  <w:vAlign w:val="center"/>
                </w:tcPr>
                <w:p w14:paraId="016B1674">
                  <w:pPr>
                    <w:shd w:val="clear" w:color="auto" w:fill="auto"/>
                    <w:bidi w:val="0"/>
                    <w:jc w:val="center"/>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9FQ-40，粉碎能力2000</w:t>
                  </w:r>
                  <w:r>
                    <w:rPr>
                      <w:rFonts w:hint="eastAsia" w:cs="Times New Roman"/>
                      <w:color w:val="000000"/>
                      <w:highlight w:val="none"/>
                      <w:lang w:val="en-US" w:eastAsia="zh-CN"/>
                    </w:rPr>
                    <w:t>kg</w:t>
                  </w:r>
                  <w:r>
                    <w:rPr>
                      <w:rFonts w:hint="default" w:ascii="Times New Roman" w:hAnsi="Times New Roman" w:cs="Times New Roman"/>
                      <w:color w:val="000000"/>
                      <w:highlight w:val="none"/>
                      <w:lang w:val="en-US" w:eastAsia="zh-CN"/>
                    </w:rPr>
                    <w:t>/h</w:t>
                  </w:r>
                </w:p>
              </w:tc>
              <w:tc>
                <w:tcPr>
                  <w:tcW w:w="538" w:type="dxa"/>
                  <w:shd w:val="clear" w:color="auto" w:fill="auto"/>
                  <w:noWrap w:val="0"/>
                  <w:vAlign w:val="center"/>
                </w:tcPr>
                <w:p w14:paraId="7BF55DF1">
                  <w:pPr>
                    <w:shd w:val="clear" w:color="auto" w:fill="auto"/>
                    <w:bidi w:val="0"/>
                    <w:jc w:val="center"/>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台</w:t>
                  </w:r>
                </w:p>
              </w:tc>
              <w:tc>
                <w:tcPr>
                  <w:tcW w:w="500" w:type="dxa"/>
                  <w:shd w:val="clear" w:color="auto" w:fill="auto"/>
                  <w:noWrap w:val="0"/>
                  <w:vAlign w:val="center"/>
                </w:tcPr>
                <w:p w14:paraId="36B770CB">
                  <w:pPr>
                    <w:shd w:val="clear" w:color="auto" w:fill="auto"/>
                    <w:bidi w:val="0"/>
                    <w:jc w:val="center"/>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2</w:t>
                  </w:r>
                </w:p>
              </w:tc>
              <w:tc>
                <w:tcPr>
                  <w:tcW w:w="1800" w:type="dxa"/>
                  <w:shd w:val="clear" w:color="auto" w:fill="auto"/>
                  <w:noWrap w:val="0"/>
                  <w:vAlign w:val="center"/>
                </w:tcPr>
                <w:p w14:paraId="462F31F3">
                  <w:pPr>
                    <w:shd w:val="clear" w:color="auto" w:fill="auto"/>
                    <w:bidi w:val="0"/>
                    <w:jc w:val="center"/>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原粮</w:t>
                  </w:r>
                  <w:r>
                    <w:rPr>
                      <w:rFonts w:hint="eastAsia" w:cs="Times New Roman"/>
                      <w:color w:val="000000"/>
                      <w:highlight w:val="none"/>
                      <w:lang w:val="en-US" w:eastAsia="zh-CN"/>
                    </w:rPr>
                    <w:t>、</w:t>
                  </w:r>
                  <w:r>
                    <w:rPr>
                      <w:rFonts w:hint="default" w:ascii="Times New Roman" w:hAnsi="Times New Roman" w:cs="Times New Roman"/>
                      <w:color w:val="000000"/>
                      <w:highlight w:val="none"/>
                      <w:lang w:val="en-US" w:eastAsia="zh-CN"/>
                    </w:rPr>
                    <w:t>曲粉碎</w:t>
                  </w:r>
                  <w:r>
                    <w:rPr>
                      <w:rFonts w:hint="eastAsia" w:cs="Times New Roman"/>
                      <w:color w:val="000000"/>
                      <w:highlight w:val="none"/>
                      <w:lang w:val="en-US" w:eastAsia="zh-CN"/>
                    </w:rPr>
                    <w:t>工序</w:t>
                  </w:r>
                </w:p>
              </w:tc>
            </w:tr>
            <w:tr w14:paraId="2D96A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48" w:hRule="atLeast"/>
              </w:trPr>
              <w:tc>
                <w:tcPr>
                  <w:tcW w:w="724" w:type="dxa"/>
                  <w:shd w:val="clear" w:color="auto" w:fill="auto"/>
                  <w:noWrap w:val="0"/>
                  <w:vAlign w:val="center"/>
                </w:tcPr>
                <w:p w14:paraId="3182859F">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2</w:t>
                  </w:r>
                </w:p>
              </w:tc>
              <w:tc>
                <w:tcPr>
                  <w:tcW w:w="1031" w:type="dxa"/>
                  <w:shd w:val="clear" w:color="auto" w:fill="auto"/>
                  <w:noWrap w:val="0"/>
                  <w:vAlign w:val="center"/>
                </w:tcPr>
                <w:p w14:paraId="297932E4">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糖化、糊化系统</w:t>
                  </w:r>
                </w:p>
              </w:tc>
              <w:tc>
                <w:tcPr>
                  <w:tcW w:w="1565" w:type="dxa"/>
                  <w:shd w:val="clear" w:color="auto" w:fill="auto"/>
                  <w:noWrap w:val="0"/>
                  <w:vAlign w:val="center"/>
                </w:tcPr>
                <w:p w14:paraId="70A215DE">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蒸煮锅</w:t>
                  </w:r>
                </w:p>
              </w:tc>
              <w:tc>
                <w:tcPr>
                  <w:tcW w:w="1638" w:type="dxa"/>
                  <w:shd w:val="clear" w:color="auto" w:fill="auto"/>
                  <w:noWrap w:val="0"/>
                  <w:vAlign w:val="center"/>
                </w:tcPr>
                <w:p w14:paraId="6F4106DE">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容积：2m³/套</w:t>
                  </w:r>
                </w:p>
              </w:tc>
              <w:tc>
                <w:tcPr>
                  <w:tcW w:w="538" w:type="dxa"/>
                  <w:shd w:val="clear" w:color="auto" w:fill="auto"/>
                  <w:noWrap w:val="0"/>
                  <w:vAlign w:val="center"/>
                </w:tcPr>
                <w:p w14:paraId="3C99FD03">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套</w:t>
                  </w:r>
                </w:p>
              </w:tc>
              <w:tc>
                <w:tcPr>
                  <w:tcW w:w="500" w:type="dxa"/>
                  <w:shd w:val="clear" w:color="auto" w:fill="auto"/>
                  <w:noWrap w:val="0"/>
                  <w:vAlign w:val="center"/>
                </w:tcPr>
                <w:p w14:paraId="19BB8840">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2</w:t>
                  </w:r>
                </w:p>
              </w:tc>
              <w:tc>
                <w:tcPr>
                  <w:tcW w:w="1800" w:type="dxa"/>
                  <w:shd w:val="clear" w:color="auto" w:fill="auto"/>
                  <w:noWrap w:val="0"/>
                  <w:vAlign w:val="center"/>
                </w:tcPr>
                <w:p w14:paraId="1FB1B4BB">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r>
            <w:tr w14:paraId="6FC37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24" w:type="dxa"/>
                  <w:shd w:val="clear" w:color="auto" w:fill="auto"/>
                  <w:noWrap w:val="0"/>
                  <w:vAlign w:val="center"/>
                </w:tcPr>
                <w:p w14:paraId="22B08505">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3</w:t>
                  </w:r>
                </w:p>
              </w:tc>
              <w:tc>
                <w:tcPr>
                  <w:tcW w:w="1031" w:type="dxa"/>
                  <w:shd w:val="clear" w:color="auto" w:fill="auto"/>
                  <w:noWrap w:val="0"/>
                  <w:vAlign w:val="center"/>
                </w:tcPr>
                <w:p w14:paraId="27EEF953">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发酵系统</w:t>
                  </w:r>
                </w:p>
              </w:tc>
              <w:tc>
                <w:tcPr>
                  <w:tcW w:w="1565" w:type="dxa"/>
                  <w:shd w:val="clear" w:color="auto" w:fill="auto"/>
                  <w:noWrap w:val="0"/>
                  <w:vAlign w:val="center"/>
                </w:tcPr>
                <w:p w14:paraId="4E6BF6BB">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发酵池</w:t>
                  </w:r>
                </w:p>
              </w:tc>
              <w:tc>
                <w:tcPr>
                  <w:tcW w:w="1638" w:type="dxa"/>
                  <w:shd w:val="clear" w:color="auto" w:fill="auto"/>
                  <w:noWrap w:val="0"/>
                  <w:vAlign w:val="center"/>
                </w:tcPr>
                <w:p w14:paraId="6AFF48DA">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2×3×3m，18m</w:t>
                  </w:r>
                  <w:r>
                    <w:rPr>
                      <w:rFonts w:hint="default" w:ascii="Times New Roman" w:hAnsi="Times New Roman" w:eastAsia="宋体" w:cs="Times New Roman"/>
                      <w:color w:val="000000"/>
                      <w:kern w:val="0"/>
                      <w:sz w:val="21"/>
                      <w:szCs w:val="21"/>
                      <w:highlight w:val="none"/>
                      <w:vertAlign w:val="superscript"/>
                      <w:lang w:val="en-US" w:eastAsia="zh-CN"/>
                    </w:rPr>
                    <w:t>3</w:t>
                  </w:r>
                  <w:r>
                    <w:rPr>
                      <w:rFonts w:hint="default" w:ascii="Times New Roman" w:hAnsi="Times New Roman" w:eastAsia="宋体" w:cs="Times New Roman"/>
                      <w:color w:val="000000"/>
                      <w:kern w:val="0"/>
                      <w:sz w:val="21"/>
                      <w:szCs w:val="21"/>
                      <w:highlight w:val="none"/>
                      <w:lang w:val="en-US" w:eastAsia="zh-CN"/>
                    </w:rPr>
                    <w:t>/个</w:t>
                  </w:r>
                </w:p>
              </w:tc>
              <w:tc>
                <w:tcPr>
                  <w:tcW w:w="538" w:type="dxa"/>
                  <w:shd w:val="clear" w:color="auto" w:fill="auto"/>
                  <w:noWrap w:val="0"/>
                  <w:vAlign w:val="center"/>
                </w:tcPr>
                <w:p w14:paraId="5D1CED40">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个</w:t>
                  </w:r>
                </w:p>
              </w:tc>
              <w:tc>
                <w:tcPr>
                  <w:tcW w:w="500" w:type="dxa"/>
                  <w:shd w:val="clear" w:color="auto" w:fill="auto"/>
                  <w:noWrap w:val="0"/>
                  <w:vAlign w:val="center"/>
                </w:tcPr>
                <w:p w14:paraId="1C176E36">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150</w:t>
                  </w:r>
                </w:p>
              </w:tc>
              <w:tc>
                <w:tcPr>
                  <w:tcW w:w="1800" w:type="dxa"/>
                  <w:shd w:val="clear" w:color="auto" w:fill="auto"/>
                  <w:noWrap w:val="0"/>
                  <w:vAlign w:val="center"/>
                </w:tcPr>
                <w:p w14:paraId="4F512A4B">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r>
            <w:tr w14:paraId="422E1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5" w:hRule="atLeast"/>
              </w:trPr>
              <w:tc>
                <w:tcPr>
                  <w:tcW w:w="724" w:type="dxa"/>
                  <w:vMerge w:val="restart"/>
                  <w:tcBorders>
                    <w:bottom w:val="nil"/>
                  </w:tcBorders>
                  <w:shd w:val="clear" w:color="auto" w:fill="auto"/>
                  <w:noWrap w:val="0"/>
                  <w:vAlign w:val="center"/>
                </w:tcPr>
                <w:p w14:paraId="7EF3E0B8">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4</w:t>
                  </w:r>
                </w:p>
              </w:tc>
              <w:tc>
                <w:tcPr>
                  <w:tcW w:w="1031" w:type="dxa"/>
                  <w:vMerge w:val="restart"/>
                  <w:tcBorders>
                    <w:bottom w:val="nil"/>
                  </w:tcBorders>
                  <w:shd w:val="clear" w:color="auto" w:fill="auto"/>
                  <w:noWrap w:val="0"/>
                  <w:vAlign w:val="center"/>
                </w:tcPr>
                <w:p w14:paraId="6ED041E9">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蒸馏系统</w:t>
                  </w:r>
                </w:p>
              </w:tc>
              <w:tc>
                <w:tcPr>
                  <w:tcW w:w="1565" w:type="dxa"/>
                  <w:shd w:val="clear" w:color="auto" w:fill="auto"/>
                  <w:noWrap w:val="0"/>
                  <w:vAlign w:val="center"/>
                </w:tcPr>
                <w:p w14:paraId="50C19D27">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甑锅</w:t>
                  </w:r>
                </w:p>
              </w:tc>
              <w:tc>
                <w:tcPr>
                  <w:tcW w:w="1638" w:type="dxa"/>
                  <w:shd w:val="clear" w:color="auto" w:fill="auto"/>
                  <w:noWrap w:val="0"/>
                  <w:vAlign w:val="center"/>
                </w:tcPr>
                <w:p w14:paraId="7BB7E8C2">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容积：2m³</w:t>
                  </w:r>
                </w:p>
              </w:tc>
              <w:tc>
                <w:tcPr>
                  <w:tcW w:w="538" w:type="dxa"/>
                  <w:shd w:val="clear" w:color="auto" w:fill="auto"/>
                  <w:noWrap w:val="0"/>
                  <w:vAlign w:val="center"/>
                </w:tcPr>
                <w:p w14:paraId="59C10A4A">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套</w:t>
                  </w:r>
                </w:p>
              </w:tc>
              <w:tc>
                <w:tcPr>
                  <w:tcW w:w="500" w:type="dxa"/>
                  <w:shd w:val="clear" w:color="auto" w:fill="auto"/>
                  <w:noWrap w:val="0"/>
                  <w:vAlign w:val="center"/>
                </w:tcPr>
                <w:p w14:paraId="5FEC2C0E">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2</w:t>
                  </w:r>
                </w:p>
              </w:tc>
              <w:tc>
                <w:tcPr>
                  <w:tcW w:w="1800" w:type="dxa"/>
                  <w:shd w:val="clear" w:color="auto" w:fill="auto"/>
                  <w:noWrap w:val="0"/>
                  <w:vAlign w:val="center"/>
                </w:tcPr>
                <w:p w14:paraId="16B28227">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r>
            <w:tr w14:paraId="6CF79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49" w:hRule="atLeast"/>
              </w:trPr>
              <w:tc>
                <w:tcPr>
                  <w:tcW w:w="724" w:type="dxa"/>
                  <w:vMerge w:val="continue"/>
                  <w:tcBorders>
                    <w:top w:val="nil"/>
                  </w:tcBorders>
                  <w:shd w:val="clear" w:color="auto" w:fill="auto"/>
                  <w:noWrap w:val="0"/>
                  <w:vAlign w:val="center"/>
                </w:tcPr>
                <w:p w14:paraId="1DC5A016">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031" w:type="dxa"/>
                  <w:vMerge w:val="continue"/>
                  <w:tcBorders>
                    <w:top w:val="nil"/>
                  </w:tcBorders>
                  <w:shd w:val="clear" w:color="auto" w:fill="auto"/>
                  <w:noWrap w:val="0"/>
                  <w:vAlign w:val="center"/>
                </w:tcPr>
                <w:p w14:paraId="795DDC8F">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565" w:type="dxa"/>
                  <w:shd w:val="clear" w:color="auto" w:fill="auto"/>
                  <w:noWrap w:val="0"/>
                  <w:vAlign w:val="center"/>
                </w:tcPr>
                <w:p w14:paraId="5E48D207">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风冷器</w:t>
                  </w:r>
                </w:p>
              </w:tc>
              <w:tc>
                <w:tcPr>
                  <w:tcW w:w="1638" w:type="dxa"/>
                  <w:shd w:val="clear" w:color="auto" w:fill="auto"/>
                  <w:noWrap w:val="0"/>
                  <w:vAlign w:val="center"/>
                </w:tcPr>
                <w:p w14:paraId="7BEA5419">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3</w:t>
                  </w:r>
                  <w:r>
                    <w:rPr>
                      <w:rFonts w:hint="eastAsia" w:cs="Times New Roman"/>
                      <w:color w:val="000000"/>
                      <w:kern w:val="0"/>
                      <w:sz w:val="21"/>
                      <w:szCs w:val="21"/>
                      <w:highlight w:val="none"/>
                      <w:lang w:val="en-US" w:eastAsia="zh-CN"/>
                    </w:rPr>
                    <w:t>kW</w:t>
                  </w:r>
                </w:p>
              </w:tc>
              <w:tc>
                <w:tcPr>
                  <w:tcW w:w="538" w:type="dxa"/>
                  <w:shd w:val="clear" w:color="auto" w:fill="auto"/>
                  <w:noWrap w:val="0"/>
                  <w:vAlign w:val="center"/>
                </w:tcPr>
                <w:p w14:paraId="4CF3A436">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套</w:t>
                  </w:r>
                </w:p>
              </w:tc>
              <w:tc>
                <w:tcPr>
                  <w:tcW w:w="500" w:type="dxa"/>
                  <w:shd w:val="clear" w:color="auto" w:fill="auto"/>
                  <w:noWrap w:val="0"/>
                  <w:vAlign w:val="center"/>
                </w:tcPr>
                <w:p w14:paraId="518B1ADC">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2</w:t>
                  </w:r>
                </w:p>
              </w:tc>
              <w:tc>
                <w:tcPr>
                  <w:tcW w:w="1800" w:type="dxa"/>
                  <w:shd w:val="clear" w:color="auto" w:fill="auto"/>
                  <w:noWrap w:val="0"/>
                  <w:vAlign w:val="center"/>
                </w:tcPr>
                <w:p w14:paraId="50A82717">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r>
            <w:tr w14:paraId="0583CB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PrEx>
              <w:trPr>
                <w:trHeight w:val="548" w:hRule="atLeast"/>
              </w:trPr>
              <w:tc>
                <w:tcPr>
                  <w:tcW w:w="724" w:type="dxa"/>
                  <w:shd w:val="clear" w:color="auto" w:fill="auto"/>
                  <w:noWrap w:val="0"/>
                  <w:vAlign w:val="center"/>
                </w:tcPr>
                <w:p w14:paraId="0F13D313">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5</w:t>
                  </w:r>
                </w:p>
              </w:tc>
              <w:tc>
                <w:tcPr>
                  <w:tcW w:w="1031" w:type="dxa"/>
                  <w:shd w:val="clear" w:color="auto" w:fill="auto"/>
                  <w:noWrap w:val="0"/>
                  <w:vAlign w:val="center"/>
                </w:tcPr>
                <w:p w14:paraId="7EB098C9">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勾调系统</w:t>
                  </w:r>
                </w:p>
              </w:tc>
              <w:tc>
                <w:tcPr>
                  <w:tcW w:w="1565" w:type="dxa"/>
                  <w:shd w:val="clear" w:color="auto" w:fill="auto"/>
                  <w:noWrap w:val="0"/>
                  <w:vAlign w:val="center"/>
                </w:tcPr>
                <w:p w14:paraId="17D7E8F6">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勾酒罐</w:t>
                  </w:r>
                </w:p>
              </w:tc>
              <w:tc>
                <w:tcPr>
                  <w:tcW w:w="1638" w:type="dxa"/>
                  <w:shd w:val="clear" w:color="auto" w:fill="auto"/>
                  <w:noWrap w:val="0"/>
                  <w:vAlign w:val="center"/>
                </w:tcPr>
                <w:p w14:paraId="198A05D0">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容积：5m³/个</w:t>
                  </w:r>
                </w:p>
              </w:tc>
              <w:tc>
                <w:tcPr>
                  <w:tcW w:w="538" w:type="dxa"/>
                  <w:shd w:val="clear" w:color="auto" w:fill="auto"/>
                  <w:noWrap w:val="0"/>
                  <w:vAlign w:val="center"/>
                </w:tcPr>
                <w:p w14:paraId="55010682">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个</w:t>
                  </w:r>
                </w:p>
              </w:tc>
              <w:tc>
                <w:tcPr>
                  <w:tcW w:w="500" w:type="dxa"/>
                  <w:shd w:val="clear" w:color="auto" w:fill="auto"/>
                  <w:noWrap w:val="0"/>
                  <w:vAlign w:val="center"/>
                </w:tcPr>
                <w:p w14:paraId="4ECE1C1F">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2</w:t>
                  </w:r>
                </w:p>
              </w:tc>
              <w:tc>
                <w:tcPr>
                  <w:tcW w:w="1800" w:type="dxa"/>
                  <w:shd w:val="clear" w:color="auto" w:fill="auto"/>
                  <w:noWrap w:val="0"/>
                  <w:vAlign w:val="center"/>
                </w:tcPr>
                <w:p w14:paraId="4881680B">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r>
            <w:tr w14:paraId="1B030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49" w:hRule="atLeast"/>
              </w:trPr>
              <w:tc>
                <w:tcPr>
                  <w:tcW w:w="724" w:type="dxa"/>
                  <w:shd w:val="clear" w:color="auto" w:fill="auto"/>
                  <w:noWrap w:val="0"/>
                  <w:vAlign w:val="center"/>
                </w:tcPr>
                <w:p w14:paraId="754E73A0">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6</w:t>
                  </w:r>
                </w:p>
              </w:tc>
              <w:tc>
                <w:tcPr>
                  <w:tcW w:w="1031" w:type="dxa"/>
                  <w:shd w:val="clear" w:color="auto" w:fill="auto"/>
                  <w:noWrap w:val="0"/>
                  <w:vAlign w:val="center"/>
                </w:tcPr>
                <w:p w14:paraId="309702C4">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原酒储存系统</w:t>
                  </w:r>
                </w:p>
              </w:tc>
              <w:tc>
                <w:tcPr>
                  <w:tcW w:w="1565" w:type="dxa"/>
                  <w:shd w:val="clear" w:color="auto" w:fill="auto"/>
                  <w:noWrap w:val="0"/>
                  <w:vAlign w:val="center"/>
                </w:tcPr>
                <w:p w14:paraId="3A009A6F">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不锈钢储罐</w:t>
                  </w:r>
                </w:p>
              </w:tc>
              <w:tc>
                <w:tcPr>
                  <w:tcW w:w="1638" w:type="dxa"/>
                  <w:shd w:val="clear" w:color="auto" w:fill="auto"/>
                  <w:noWrap w:val="0"/>
                  <w:vAlign w:val="center"/>
                </w:tcPr>
                <w:p w14:paraId="7CA404A0">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容积：100</w:t>
                  </w:r>
                  <w:r>
                    <w:rPr>
                      <w:rFonts w:hint="eastAsia" w:ascii="Times New Roman" w:hAnsi="Times New Roman" w:eastAsia="宋体" w:cs="Times New Roman"/>
                      <w:color w:val="000000"/>
                      <w:kern w:val="0"/>
                      <w:sz w:val="21"/>
                      <w:szCs w:val="21"/>
                      <w:highlight w:val="none"/>
                      <w:lang w:val="en-US" w:eastAsia="zh-CN"/>
                    </w:rPr>
                    <w:t>t</w:t>
                  </w:r>
                  <w:r>
                    <w:rPr>
                      <w:rFonts w:hint="default" w:ascii="Times New Roman" w:hAnsi="Times New Roman" w:eastAsia="宋体" w:cs="Times New Roman"/>
                      <w:color w:val="000000"/>
                      <w:kern w:val="0"/>
                      <w:sz w:val="21"/>
                      <w:szCs w:val="21"/>
                      <w:highlight w:val="none"/>
                      <w:lang w:val="en-US" w:eastAsia="zh-CN"/>
                    </w:rPr>
                    <w:t>/个</w:t>
                  </w:r>
                </w:p>
              </w:tc>
              <w:tc>
                <w:tcPr>
                  <w:tcW w:w="538" w:type="dxa"/>
                  <w:shd w:val="clear" w:color="auto" w:fill="auto"/>
                  <w:noWrap w:val="0"/>
                  <w:vAlign w:val="center"/>
                </w:tcPr>
                <w:p w14:paraId="6D824016">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个</w:t>
                  </w:r>
                </w:p>
              </w:tc>
              <w:tc>
                <w:tcPr>
                  <w:tcW w:w="500" w:type="dxa"/>
                  <w:shd w:val="clear" w:color="auto" w:fill="auto"/>
                  <w:noWrap w:val="0"/>
                  <w:vAlign w:val="center"/>
                </w:tcPr>
                <w:p w14:paraId="0867218B">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5</w:t>
                  </w:r>
                </w:p>
              </w:tc>
              <w:tc>
                <w:tcPr>
                  <w:tcW w:w="1800" w:type="dxa"/>
                  <w:shd w:val="clear" w:color="auto" w:fill="auto"/>
                  <w:noWrap w:val="0"/>
                  <w:vAlign w:val="center"/>
                </w:tcPr>
                <w:p w14:paraId="7D886D2E">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r>
            <w:tr w14:paraId="01FA3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35" w:hRule="atLeast"/>
              </w:trPr>
              <w:tc>
                <w:tcPr>
                  <w:tcW w:w="724" w:type="dxa"/>
                  <w:vMerge w:val="restart"/>
                  <w:shd w:val="clear" w:color="auto" w:fill="auto"/>
                  <w:noWrap w:val="0"/>
                  <w:vAlign w:val="center"/>
                </w:tcPr>
                <w:p w14:paraId="5C18F4DA">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7</w:t>
                  </w:r>
                </w:p>
              </w:tc>
              <w:tc>
                <w:tcPr>
                  <w:tcW w:w="1031" w:type="dxa"/>
                  <w:vMerge w:val="restart"/>
                  <w:shd w:val="clear" w:color="auto" w:fill="auto"/>
                  <w:noWrap w:val="0"/>
                  <w:vAlign w:val="center"/>
                </w:tcPr>
                <w:p w14:paraId="05CC41F5">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灌装系统</w:t>
                  </w:r>
                </w:p>
              </w:tc>
              <w:tc>
                <w:tcPr>
                  <w:tcW w:w="1565" w:type="dxa"/>
                  <w:shd w:val="clear" w:color="auto" w:fill="auto"/>
                  <w:noWrap w:val="0"/>
                  <w:vAlign w:val="center"/>
                </w:tcPr>
                <w:p w14:paraId="5DC051D3">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right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精滤机</w:t>
                  </w:r>
                </w:p>
              </w:tc>
              <w:tc>
                <w:tcPr>
                  <w:tcW w:w="1638" w:type="dxa"/>
                  <w:shd w:val="clear" w:color="auto" w:fill="auto"/>
                  <w:noWrap w:val="0"/>
                  <w:vAlign w:val="center"/>
                </w:tcPr>
                <w:p w14:paraId="3B1AADEF">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right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Wgl-5，过滤面积5m</w:t>
                  </w:r>
                  <w:r>
                    <w:rPr>
                      <w:rFonts w:hint="default" w:ascii="Times New Roman" w:hAnsi="Times New Roman" w:eastAsia="宋体" w:cs="Times New Roman"/>
                      <w:color w:val="000000"/>
                      <w:kern w:val="0"/>
                      <w:sz w:val="21"/>
                      <w:szCs w:val="21"/>
                      <w:highlight w:val="none"/>
                      <w:vertAlign w:val="superscript"/>
                      <w:lang w:val="en-US" w:eastAsia="zh-CN"/>
                    </w:rPr>
                    <w:t>2</w:t>
                  </w:r>
                </w:p>
              </w:tc>
              <w:tc>
                <w:tcPr>
                  <w:tcW w:w="538" w:type="dxa"/>
                  <w:shd w:val="clear" w:color="auto" w:fill="auto"/>
                  <w:noWrap w:val="0"/>
                  <w:vAlign w:val="center"/>
                </w:tcPr>
                <w:p w14:paraId="2DA23BE9">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right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台</w:t>
                  </w:r>
                </w:p>
              </w:tc>
              <w:tc>
                <w:tcPr>
                  <w:tcW w:w="500" w:type="dxa"/>
                  <w:shd w:val="clear" w:color="auto" w:fill="auto"/>
                  <w:noWrap w:val="0"/>
                  <w:vAlign w:val="center"/>
                </w:tcPr>
                <w:p w14:paraId="7D21F433">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rightChars="0"/>
                    <w:jc w:val="center"/>
                    <w:textAlignment w:val="auto"/>
                    <w:rPr>
                      <w:rFonts w:hint="eastAsia"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1</w:t>
                  </w:r>
                </w:p>
              </w:tc>
              <w:tc>
                <w:tcPr>
                  <w:tcW w:w="1800" w:type="dxa"/>
                  <w:shd w:val="clear" w:color="auto" w:fill="auto"/>
                  <w:noWrap w:val="0"/>
                  <w:vAlign w:val="center"/>
                </w:tcPr>
                <w:p w14:paraId="0ABA0CCD">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r>
            <w:tr w14:paraId="04EAA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PrEx>
              <w:trPr>
                <w:trHeight w:val="335" w:hRule="atLeast"/>
              </w:trPr>
              <w:tc>
                <w:tcPr>
                  <w:tcW w:w="724" w:type="dxa"/>
                  <w:vMerge w:val="continue"/>
                  <w:shd w:val="clear" w:color="auto" w:fill="auto"/>
                  <w:noWrap w:val="0"/>
                  <w:vAlign w:val="center"/>
                </w:tcPr>
                <w:p w14:paraId="2C39E1E4">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eastAsia" w:ascii="Times New Roman" w:hAnsi="Times New Roman" w:eastAsia="宋体" w:cs="Times New Roman"/>
                      <w:color w:val="000000"/>
                      <w:kern w:val="0"/>
                      <w:sz w:val="21"/>
                      <w:szCs w:val="21"/>
                      <w:highlight w:val="none"/>
                      <w:lang w:val="en-US" w:eastAsia="zh-CN"/>
                    </w:rPr>
                  </w:pPr>
                </w:p>
              </w:tc>
              <w:tc>
                <w:tcPr>
                  <w:tcW w:w="1031" w:type="dxa"/>
                  <w:vMerge w:val="continue"/>
                  <w:shd w:val="clear" w:color="auto" w:fill="auto"/>
                  <w:noWrap w:val="0"/>
                  <w:vAlign w:val="center"/>
                </w:tcPr>
                <w:p w14:paraId="258EAA3A">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565" w:type="dxa"/>
                  <w:shd w:val="clear" w:color="auto" w:fill="auto"/>
                  <w:noWrap w:val="0"/>
                  <w:vAlign w:val="center"/>
                </w:tcPr>
                <w:p w14:paraId="03CDB0B6">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right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不锈钢酒泵</w:t>
                  </w:r>
                </w:p>
              </w:tc>
              <w:tc>
                <w:tcPr>
                  <w:tcW w:w="1638" w:type="dxa"/>
                  <w:shd w:val="clear" w:color="auto" w:fill="auto"/>
                  <w:noWrap w:val="0"/>
                  <w:vAlign w:val="center"/>
                </w:tcPr>
                <w:p w14:paraId="110698B8">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right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BYLB-2025</w:t>
                  </w:r>
                </w:p>
              </w:tc>
              <w:tc>
                <w:tcPr>
                  <w:tcW w:w="538" w:type="dxa"/>
                  <w:shd w:val="clear" w:color="auto" w:fill="auto"/>
                  <w:noWrap w:val="0"/>
                  <w:vAlign w:val="center"/>
                </w:tcPr>
                <w:p w14:paraId="3636FB0B">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right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台</w:t>
                  </w:r>
                </w:p>
              </w:tc>
              <w:tc>
                <w:tcPr>
                  <w:tcW w:w="500" w:type="dxa"/>
                  <w:shd w:val="clear" w:color="auto" w:fill="auto"/>
                  <w:noWrap w:val="0"/>
                  <w:vAlign w:val="center"/>
                </w:tcPr>
                <w:p w14:paraId="4F1D50E1">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rightChars="0"/>
                    <w:jc w:val="center"/>
                    <w:textAlignment w:val="auto"/>
                    <w:rPr>
                      <w:rFonts w:hint="default" w:ascii="Times New Roman" w:hAnsi="Times New Roman" w:eastAsia="宋体" w:cs="Times New Roman"/>
                      <w:color w:val="000000"/>
                      <w:kern w:val="0"/>
                      <w:sz w:val="21"/>
                      <w:szCs w:val="21"/>
                      <w:highlight w:val="none"/>
                      <w:lang w:val="en-US" w:eastAsia="zh-CN" w:bidi="ar-SA"/>
                    </w:rPr>
                  </w:pPr>
                  <w:r>
                    <w:rPr>
                      <w:rFonts w:hint="default" w:ascii="Times New Roman" w:hAnsi="Times New Roman" w:eastAsia="宋体" w:cs="Times New Roman"/>
                      <w:color w:val="000000"/>
                      <w:kern w:val="0"/>
                      <w:sz w:val="21"/>
                      <w:szCs w:val="21"/>
                      <w:highlight w:val="none"/>
                      <w:lang w:val="en-US" w:eastAsia="zh-CN"/>
                    </w:rPr>
                    <w:t>1</w:t>
                  </w:r>
                </w:p>
              </w:tc>
              <w:tc>
                <w:tcPr>
                  <w:tcW w:w="1800" w:type="dxa"/>
                  <w:shd w:val="clear" w:color="auto" w:fill="auto"/>
                  <w:noWrap w:val="0"/>
                  <w:vAlign w:val="center"/>
                </w:tcPr>
                <w:p w14:paraId="25E7230C">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r>
            <w:tr w14:paraId="3E00B7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24" w:type="dxa"/>
                  <w:vMerge w:val="continue"/>
                  <w:shd w:val="clear" w:color="auto" w:fill="auto"/>
                  <w:noWrap w:val="0"/>
                  <w:vAlign w:val="center"/>
                </w:tcPr>
                <w:p w14:paraId="6CBA75B8">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031" w:type="dxa"/>
                  <w:vMerge w:val="continue"/>
                  <w:shd w:val="clear" w:color="auto" w:fill="auto"/>
                  <w:noWrap w:val="0"/>
                  <w:vAlign w:val="center"/>
                </w:tcPr>
                <w:p w14:paraId="1EC1D926">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565" w:type="dxa"/>
                  <w:shd w:val="clear" w:color="auto" w:fill="auto"/>
                  <w:noWrap w:val="0"/>
                  <w:vAlign w:val="center"/>
                </w:tcPr>
                <w:p w14:paraId="54682582">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灌装机</w:t>
                  </w:r>
                </w:p>
              </w:tc>
              <w:tc>
                <w:tcPr>
                  <w:tcW w:w="1638" w:type="dxa"/>
                  <w:shd w:val="clear" w:color="auto" w:fill="auto"/>
                  <w:noWrap w:val="0"/>
                  <w:vAlign w:val="center"/>
                </w:tcPr>
                <w:p w14:paraId="3586047F">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Wc-12，处理能力0.8kL/h</w:t>
                  </w:r>
                </w:p>
              </w:tc>
              <w:tc>
                <w:tcPr>
                  <w:tcW w:w="538" w:type="dxa"/>
                  <w:shd w:val="clear" w:color="auto" w:fill="auto"/>
                  <w:noWrap w:val="0"/>
                  <w:vAlign w:val="center"/>
                </w:tcPr>
                <w:p w14:paraId="764E0566">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台</w:t>
                  </w:r>
                </w:p>
              </w:tc>
              <w:tc>
                <w:tcPr>
                  <w:tcW w:w="500" w:type="dxa"/>
                  <w:shd w:val="clear" w:color="auto" w:fill="auto"/>
                  <w:noWrap w:val="0"/>
                  <w:vAlign w:val="center"/>
                </w:tcPr>
                <w:p w14:paraId="0AD8CA33">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w:t>
                  </w:r>
                </w:p>
              </w:tc>
              <w:tc>
                <w:tcPr>
                  <w:tcW w:w="1800" w:type="dxa"/>
                  <w:shd w:val="clear" w:color="auto" w:fill="auto"/>
                  <w:noWrap w:val="0"/>
                  <w:vAlign w:val="center"/>
                </w:tcPr>
                <w:p w14:paraId="50E7013A">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r>
            <w:tr w14:paraId="25940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49" w:hRule="atLeast"/>
              </w:trPr>
              <w:tc>
                <w:tcPr>
                  <w:tcW w:w="724" w:type="dxa"/>
                  <w:vMerge w:val="continue"/>
                  <w:shd w:val="clear" w:color="auto" w:fill="auto"/>
                  <w:noWrap w:val="0"/>
                  <w:vAlign w:val="center"/>
                </w:tcPr>
                <w:p w14:paraId="0B41BA2E">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031" w:type="dxa"/>
                  <w:vMerge w:val="continue"/>
                  <w:shd w:val="clear" w:color="auto" w:fill="auto"/>
                  <w:noWrap w:val="0"/>
                  <w:vAlign w:val="center"/>
                </w:tcPr>
                <w:p w14:paraId="72E959A5">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565" w:type="dxa"/>
                  <w:shd w:val="clear" w:color="auto" w:fill="auto"/>
                  <w:noWrap w:val="0"/>
                  <w:vAlign w:val="center"/>
                </w:tcPr>
                <w:p w14:paraId="68A0307C">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洗</w:t>
                  </w:r>
                  <w:r>
                    <w:rPr>
                      <w:rFonts w:hint="default" w:ascii="Times New Roman" w:hAnsi="Times New Roman" w:eastAsia="宋体" w:cs="Times New Roman"/>
                      <w:color w:val="000000"/>
                      <w:kern w:val="0"/>
                      <w:sz w:val="21"/>
                      <w:szCs w:val="21"/>
                      <w:highlight w:val="none"/>
                      <w:lang w:val="en-US" w:eastAsia="zh-CN"/>
                    </w:rPr>
                    <w:t>瓶机</w:t>
                  </w:r>
                </w:p>
              </w:tc>
              <w:tc>
                <w:tcPr>
                  <w:tcW w:w="1638" w:type="dxa"/>
                  <w:shd w:val="clear" w:color="auto" w:fill="auto"/>
                  <w:noWrap w:val="0"/>
                  <w:vAlign w:val="center"/>
                </w:tcPr>
                <w:p w14:paraId="7A0C77F0">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QX-7.1500/H，处理能力：2t/h</w:t>
                  </w:r>
                </w:p>
              </w:tc>
              <w:tc>
                <w:tcPr>
                  <w:tcW w:w="538" w:type="dxa"/>
                  <w:shd w:val="clear" w:color="auto" w:fill="auto"/>
                  <w:noWrap w:val="0"/>
                  <w:vAlign w:val="center"/>
                </w:tcPr>
                <w:p w14:paraId="5C5B1B22">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台</w:t>
                  </w:r>
                </w:p>
              </w:tc>
              <w:tc>
                <w:tcPr>
                  <w:tcW w:w="500" w:type="dxa"/>
                  <w:shd w:val="clear" w:color="auto" w:fill="auto"/>
                  <w:noWrap w:val="0"/>
                  <w:vAlign w:val="center"/>
                </w:tcPr>
                <w:p w14:paraId="2B7CF19C">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p>
              </w:tc>
              <w:tc>
                <w:tcPr>
                  <w:tcW w:w="1800" w:type="dxa"/>
                  <w:shd w:val="clear" w:color="auto" w:fill="auto"/>
                  <w:noWrap w:val="0"/>
                  <w:vAlign w:val="center"/>
                </w:tcPr>
                <w:p w14:paraId="5510FCC5">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r>
            <w:tr w14:paraId="7FB37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35" w:hRule="atLeast"/>
              </w:trPr>
              <w:tc>
                <w:tcPr>
                  <w:tcW w:w="724" w:type="dxa"/>
                  <w:vMerge w:val="continue"/>
                  <w:tcBorders>
                    <w:bottom w:val="single" w:color="auto" w:sz="4" w:space="0"/>
                  </w:tcBorders>
                  <w:shd w:val="clear" w:color="auto" w:fill="auto"/>
                  <w:noWrap w:val="0"/>
                  <w:vAlign w:val="center"/>
                </w:tcPr>
                <w:p w14:paraId="3CAC4E11">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031" w:type="dxa"/>
                  <w:vMerge w:val="continue"/>
                  <w:tcBorders>
                    <w:bottom w:val="single" w:color="auto" w:sz="4" w:space="0"/>
                  </w:tcBorders>
                  <w:shd w:val="clear" w:color="auto" w:fill="auto"/>
                  <w:noWrap w:val="0"/>
                  <w:vAlign w:val="center"/>
                </w:tcPr>
                <w:p w14:paraId="6F05D056">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565" w:type="dxa"/>
                  <w:tcBorders>
                    <w:bottom w:val="single" w:color="auto" w:sz="4" w:space="0"/>
                  </w:tcBorders>
                  <w:shd w:val="clear" w:color="auto" w:fill="auto"/>
                  <w:noWrap w:val="0"/>
                  <w:vAlign w:val="center"/>
                </w:tcPr>
                <w:p w14:paraId="185A03DC">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激光</w:t>
                  </w:r>
                  <w:r>
                    <w:rPr>
                      <w:rFonts w:hint="eastAsia" w:ascii="Times New Roman" w:hAnsi="Times New Roman" w:eastAsia="宋体" w:cs="Times New Roman"/>
                      <w:color w:val="000000"/>
                      <w:kern w:val="0"/>
                      <w:sz w:val="21"/>
                      <w:szCs w:val="21"/>
                      <w:highlight w:val="none"/>
                      <w:lang w:val="en-US" w:eastAsia="zh-CN"/>
                    </w:rPr>
                    <w:t>打印</w:t>
                  </w:r>
                  <w:r>
                    <w:rPr>
                      <w:rFonts w:hint="default" w:ascii="Times New Roman" w:hAnsi="Times New Roman" w:eastAsia="宋体" w:cs="Times New Roman"/>
                      <w:color w:val="000000"/>
                      <w:kern w:val="0"/>
                      <w:sz w:val="21"/>
                      <w:szCs w:val="21"/>
                      <w:highlight w:val="none"/>
                      <w:lang w:val="en-US" w:eastAsia="zh-CN"/>
                    </w:rPr>
                    <w:t>机</w:t>
                  </w:r>
                </w:p>
              </w:tc>
              <w:tc>
                <w:tcPr>
                  <w:tcW w:w="1638" w:type="dxa"/>
                  <w:tcBorders>
                    <w:bottom w:val="single" w:color="auto" w:sz="4" w:space="0"/>
                  </w:tcBorders>
                  <w:shd w:val="clear" w:color="auto" w:fill="auto"/>
                  <w:noWrap w:val="0"/>
                  <w:vAlign w:val="center"/>
                </w:tcPr>
                <w:p w14:paraId="0AEB6E93">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BLJ-706i</w:t>
                  </w:r>
                </w:p>
              </w:tc>
              <w:tc>
                <w:tcPr>
                  <w:tcW w:w="538" w:type="dxa"/>
                  <w:tcBorders>
                    <w:bottom w:val="single" w:color="auto" w:sz="4" w:space="0"/>
                  </w:tcBorders>
                  <w:shd w:val="clear" w:color="auto" w:fill="auto"/>
                  <w:noWrap w:val="0"/>
                  <w:vAlign w:val="center"/>
                </w:tcPr>
                <w:p w14:paraId="0E64292B">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台</w:t>
                  </w:r>
                </w:p>
              </w:tc>
              <w:tc>
                <w:tcPr>
                  <w:tcW w:w="500" w:type="dxa"/>
                  <w:tcBorders>
                    <w:bottom w:val="single" w:color="auto" w:sz="4" w:space="0"/>
                  </w:tcBorders>
                  <w:shd w:val="clear" w:color="auto" w:fill="auto"/>
                  <w:noWrap w:val="0"/>
                  <w:vAlign w:val="center"/>
                </w:tcPr>
                <w:p w14:paraId="149FF3A3">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10</w:t>
                  </w:r>
                </w:p>
              </w:tc>
              <w:tc>
                <w:tcPr>
                  <w:tcW w:w="1800" w:type="dxa"/>
                  <w:tcBorders>
                    <w:bottom w:val="single" w:color="auto" w:sz="4" w:space="0"/>
                  </w:tcBorders>
                  <w:shd w:val="clear" w:color="auto" w:fill="auto"/>
                  <w:noWrap w:val="0"/>
                  <w:vAlign w:val="center"/>
                </w:tcPr>
                <w:p w14:paraId="7E21251B">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r>
            <w:tr w14:paraId="7466F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 w:hRule="atLeast"/>
              </w:trPr>
              <w:tc>
                <w:tcPr>
                  <w:tcW w:w="724"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75B5500D">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8</w:t>
                  </w:r>
                </w:p>
              </w:tc>
              <w:tc>
                <w:tcPr>
                  <w:tcW w:w="1031"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613EECAD">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酒糟处理系统</w:t>
                  </w: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D29BC9">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固液分离机</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699694">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处理能力：1.2t/h</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69E194">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台</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2DE4A4">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p>
              </w:tc>
              <w:tc>
                <w:tcPr>
                  <w:tcW w:w="1800"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01E03589">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r>
            <w:tr w14:paraId="7BC5D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2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71CF5965">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031"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D4074A8">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F90704">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摊晾床</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854152">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30×3m</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41370E5">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台</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97C7B5">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2</w:t>
                  </w:r>
                </w:p>
              </w:tc>
              <w:tc>
                <w:tcPr>
                  <w:tcW w:w="180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BE07193">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r>
            <w:tr w14:paraId="31324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35" w:hRule="atLeast"/>
              </w:trPr>
              <w:tc>
                <w:tcPr>
                  <w:tcW w:w="724"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60899992">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9</w:t>
                  </w:r>
                </w:p>
              </w:tc>
              <w:tc>
                <w:tcPr>
                  <w:tcW w:w="1031"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72105211">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公用</w:t>
                  </w: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E04451D">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行车</w:t>
                  </w:r>
                  <w:r>
                    <w:rPr>
                      <w:rFonts w:hint="eastAsia" w:ascii="Times New Roman" w:hAnsi="Times New Roman" w:eastAsia="宋体" w:cs="Times New Roman"/>
                      <w:color w:val="000000"/>
                      <w:kern w:val="0"/>
                      <w:sz w:val="21"/>
                      <w:szCs w:val="21"/>
                      <w:highlight w:val="none"/>
                      <w:lang w:val="en-US" w:eastAsia="zh-CN"/>
                    </w:rPr>
                    <w:t>系统</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A4ACF7B">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2T</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4E69B26">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台</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AF1504">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898D2A">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r>
            <w:tr w14:paraId="60ED7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35" w:hRule="atLeast"/>
              </w:trPr>
              <w:tc>
                <w:tcPr>
                  <w:tcW w:w="72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45C4D3FB">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031"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0336A0F">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43C2E8">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纯水制备系统</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6E7733">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KG-200，处理能力2.0t/h</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492B01">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台</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AAD51A">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00F099E">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r>
            <w:tr w14:paraId="30FC5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21" w:hRule="atLeast"/>
              </w:trPr>
              <w:tc>
                <w:tcPr>
                  <w:tcW w:w="72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82F757A">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031"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292A87BA">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5E7221">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天然气锅炉</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F4F1027">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2.0t/h</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C920B73">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台</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AAE0FE">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2</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A8F6D2">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一备一用</w:t>
                  </w:r>
                </w:p>
                <w:p w14:paraId="4BFC7C22">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低氮燃烧</w:t>
                  </w:r>
                </w:p>
              </w:tc>
            </w:tr>
            <w:tr w14:paraId="53877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77" w:hRule="atLeast"/>
              </w:trPr>
              <w:tc>
                <w:tcPr>
                  <w:tcW w:w="72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0E5B999A">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031"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60BE5616">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ACDAC7">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软水制备系统</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07F783A">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处理能力：</w:t>
                  </w:r>
                  <w:r>
                    <w:rPr>
                      <w:rFonts w:hint="eastAsia" w:cs="Times New Roman"/>
                      <w:color w:val="000000"/>
                      <w:kern w:val="0"/>
                      <w:sz w:val="21"/>
                      <w:szCs w:val="21"/>
                      <w:highlight w:val="none"/>
                      <w:lang w:val="en-US" w:eastAsia="zh-CN"/>
                    </w:rPr>
                    <w:t>2.0</w:t>
                  </w:r>
                  <w:r>
                    <w:rPr>
                      <w:rFonts w:hint="default" w:ascii="Times New Roman" w:hAnsi="Times New Roman" w:eastAsia="宋体" w:cs="Times New Roman"/>
                      <w:color w:val="000000"/>
                      <w:kern w:val="0"/>
                      <w:sz w:val="21"/>
                      <w:szCs w:val="21"/>
                      <w:highlight w:val="none"/>
                      <w:lang w:val="en-US" w:eastAsia="zh-CN"/>
                    </w:rPr>
                    <w:t>t/h</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255F41">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台</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7972BF">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8667AA">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r>
            <w:tr w14:paraId="5C595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724"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1E51DCA6">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10</w:t>
                  </w:r>
                </w:p>
              </w:tc>
              <w:tc>
                <w:tcPr>
                  <w:tcW w:w="1031"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14:paraId="75A5DE0A">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p w14:paraId="7797C33F">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p w14:paraId="44AF0E26">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p w14:paraId="1B070804">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p w14:paraId="3A9304C8">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检测设备</w:t>
                  </w: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F7E5BD">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白酒专用气相色谱仪</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562BD27">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检测组分：可检测近30种成分</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DEE699">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套</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0D7196D">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CB96D2D">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r>
            <w:tr w14:paraId="350B3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2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6E91EDBB">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031"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4719E6AC">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859C3A">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电热鼓风干燥箱</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5CFE81">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8262149">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台</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C19B1A5">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6CE7A06">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r>
            <w:tr w14:paraId="05BD7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57" w:hRule="atLeast"/>
              </w:trPr>
              <w:tc>
                <w:tcPr>
                  <w:tcW w:w="72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E9AE2AE">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031"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20483180">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7CFE689">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电热恒温水浴锅</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DACDD5">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EB6B460">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台</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2BB9A4">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DB903D1">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r>
            <w:tr w14:paraId="5FED2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35" w:hRule="atLeast"/>
              </w:trPr>
              <w:tc>
                <w:tcPr>
                  <w:tcW w:w="72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5DE16E4B">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031"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2E70A411">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47D81D">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酒精度计</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1A3655">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电子数显</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386974E">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支</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8FE329">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3</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B0BDCA2">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酒精度测量</w:t>
                  </w:r>
                </w:p>
              </w:tc>
            </w:tr>
            <w:tr w14:paraId="7DC57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2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5C8ABB9F">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031"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E5247BE">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1F0D44">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酒精度计</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39E03D">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玻璃</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A3F32D8">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支</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2DFF55">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3</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DBCE3D">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密度计法</w:t>
                  </w:r>
                </w:p>
              </w:tc>
            </w:tr>
            <w:tr w14:paraId="067D5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35" w:hRule="atLeast"/>
              </w:trPr>
              <w:tc>
                <w:tcPr>
                  <w:tcW w:w="72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6C0A0B87">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031"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6D33E123">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18D952">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比色计</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44BCD57">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2237C2">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支</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AC0AB58">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3</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C052B3">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r>
            <w:tr w14:paraId="1A37D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2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3DBF4D74">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031"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42B60CF2">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539D0C">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电子分析天平</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A2781E">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0.01mg</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0D73443">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台</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885B31">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90619B0">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r>
            <w:tr w14:paraId="398F5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724"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8EF9065">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031"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7AC14BC1">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DB31677">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电子天平</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6D03AA3">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0.1mg</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B930B3">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台</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471D0D0">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BC8363">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r>
            <w:tr w14:paraId="76F6B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vMerge w:val="restart"/>
                  <w:tcBorders>
                    <w:top w:val="single" w:color="auto" w:sz="4" w:space="0"/>
                    <w:left w:val="single" w:color="auto" w:sz="4" w:space="0"/>
                    <w:right w:val="single" w:color="auto" w:sz="4" w:space="0"/>
                  </w:tcBorders>
                  <w:shd w:val="clear" w:color="auto" w:fill="auto"/>
                  <w:noWrap w:val="0"/>
                  <w:vAlign w:val="center"/>
                </w:tcPr>
                <w:p w14:paraId="1634BBEF">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11</w:t>
                  </w:r>
                </w:p>
              </w:tc>
              <w:tc>
                <w:tcPr>
                  <w:tcW w:w="1031" w:type="dxa"/>
                  <w:vMerge w:val="restart"/>
                  <w:tcBorders>
                    <w:top w:val="single" w:color="auto" w:sz="4" w:space="0"/>
                    <w:left w:val="single" w:color="auto" w:sz="4" w:space="0"/>
                    <w:right w:val="single" w:color="auto" w:sz="4" w:space="0"/>
                  </w:tcBorders>
                  <w:shd w:val="clear" w:color="auto" w:fill="auto"/>
                  <w:noWrap w:val="0"/>
                  <w:vAlign w:val="center"/>
                </w:tcPr>
                <w:p w14:paraId="49180D2E">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废气处理设施</w:t>
                  </w:r>
                </w:p>
              </w:tc>
              <w:tc>
                <w:tcPr>
                  <w:tcW w:w="320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13D4E068">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布袋除尘器</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9C5D29">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套</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89BBF0">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F930E3">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粉碎</w:t>
                  </w:r>
                  <w:r>
                    <w:rPr>
                      <w:rFonts w:hint="eastAsia" w:cs="Times New Roman"/>
                      <w:color w:val="000000"/>
                      <w:kern w:val="0"/>
                      <w:sz w:val="21"/>
                      <w:szCs w:val="21"/>
                      <w:highlight w:val="none"/>
                      <w:lang w:val="en-US" w:eastAsia="zh-CN"/>
                    </w:rPr>
                    <w:t>工序</w:t>
                  </w:r>
                  <w:r>
                    <w:rPr>
                      <w:rFonts w:hint="eastAsia" w:ascii="Times New Roman" w:hAnsi="Times New Roman" w:eastAsia="宋体" w:cs="Times New Roman"/>
                      <w:color w:val="000000"/>
                      <w:kern w:val="0"/>
                      <w:sz w:val="21"/>
                      <w:szCs w:val="21"/>
                      <w:highlight w:val="none"/>
                      <w:lang w:val="en-US" w:eastAsia="zh-CN"/>
                    </w:rPr>
                    <w:t>处理</w:t>
                  </w:r>
                </w:p>
              </w:tc>
            </w:tr>
            <w:tr w14:paraId="0F012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 w:hRule="atLeast"/>
              </w:trPr>
              <w:tc>
                <w:tcPr>
                  <w:tcW w:w="724" w:type="dxa"/>
                  <w:vMerge w:val="continue"/>
                  <w:tcBorders>
                    <w:left w:val="single" w:color="auto" w:sz="4" w:space="0"/>
                    <w:right w:val="single" w:color="auto" w:sz="4" w:space="0"/>
                  </w:tcBorders>
                  <w:shd w:val="clear" w:color="auto" w:fill="auto"/>
                  <w:noWrap w:val="0"/>
                  <w:vAlign w:val="center"/>
                </w:tcPr>
                <w:p w14:paraId="681ABFCB">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031" w:type="dxa"/>
                  <w:vMerge w:val="continue"/>
                  <w:tcBorders>
                    <w:left w:val="single" w:color="auto" w:sz="4" w:space="0"/>
                    <w:right w:val="single" w:color="auto" w:sz="4" w:space="0"/>
                  </w:tcBorders>
                  <w:shd w:val="clear" w:color="auto" w:fill="auto"/>
                  <w:noWrap w:val="0"/>
                  <w:vAlign w:val="center"/>
                </w:tcPr>
                <w:p w14:paraId="4F054DE8">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320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2C521BEF">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活性炭吸附设施</w:t>
                  </w:r>
                  <w:bookmarkStart w:id="22" w:name="OLE_LINK6"/>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6CAE79">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套</w:t>
                  </w:r>
                  <w:bookmarkEnd w:id="22"/>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DF20311">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1</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69539C">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恶臭处理</w:t>
                  </w:r>
                </w:p>
              </w:tc>
            </w:tr>
            <w:tr w14:paraId="062F5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 w:hRule="atLeast"/>
              </w:trPr>
              <w:tc>
                <w:tcPr>
                  <w:tcW w:w="724" w:type="dxa"/>
                  <w:vMerge w:val="continue"/>
                  <w:tcBorders>
                    <w:left w:val="single" w:color="auto" w:sz="4" w:space="0"/>
                    <w:right w:val="single" w:color="auto" w:sz="4" w:space="0"/>
                  </w:tcBorders>
                  <w:shd w:val="clear" w:color="auto" w:fill="auto"/>
                  <w:noWrap w:val="0"/>
                  <w:vAlign w:val="center"/>
                </w:tcPr>
                <w:p w14:paraId="29942C63">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031" w:type="dxa"/>
                  <w:vMerge w:val="continue"/>
                  <w:tcBorders>
                    <w:left w:val="single" w:color="auto" w:sz="4" w:space="0"/>
                    <w:right w:val="single" w:color="auto" w:sz="4" w:space="0"/>
                  </w:tcBorders>
                  <w:shd w:val="clear" w:color="auto" w:fill="auto"/>
                  <w:noWrap w:val="0"/>
                  <w:vAlign w:val="center"/>
                </w:tcPr>
                <w:p w14:paraId="04B724E5">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3203"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4BFF5EFA">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油烟净化器</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C1D1C9">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套</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8A50BB">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F03969">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r>
            <w:tr w14:paraId="0C865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 w:hRule="atLeast"/>
              </w:trPr>
              <w:tc>
                <w:tcPr>
                  <w:tcW w:w="724" w:type="dxa"/>
                  <w:vMerge w:val="restart"/>
                  <w:tcBorders>
                    <w:left w:val="single" w:color="auto" w:sz="4" w:space="0"/>
                    <w:right w:val="single" w:color="auto" w:sz="4" w:space="0"/>
                  </w:tcBorders>
                  <w:shd w:val="clear" w:color="auto" w:fill="auto"/>
                  <w:noWrap w:val="0"/>
                  <w:vAlign w:val="center"/>
                </w:tcPr>
                <w:p w14:paraId="6AE178F8">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12</w:t>
                  </w:r>
                </w:p>
              </w:tc>
              <w:tc>
                <w:tcPr>
                  <w:tcW w:w="1031" w:type="dxa"/>
                  <w:vMerge w:val="restart"/>
                  <w:tcBorders>
                    <w:left w:val="single" w:color="auto" w:sz="4" w:space="0"/>
                    <w:right w:val="single" w:color="auto" w:sz="4" w:space="0"/>
                  </w:tcBorders>
                  <w:shd w:val="clear" w:color="auto" w:fill="auto"/>
                  <w:noWrap w:val="0"/>
                  <w:vAlign w:val="center"/>
                </w:tcPr>
                <w:p w14:paraId="55A91138">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污水处理设施</w:t>
                  </w: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6427830">
                  <w:pPr>
                    <w:shd w:val="clear" w:color="auto" w:fill="auto"/>
                    <w:bidi w:val="0"/>
                    <w:jc w:val="center"/>
                    <w:rPr>
                      <w:rFonts w:hint="default"/>
                      <w:color w:val="000000"/>
                      <w:kern w:val="2"/>
                      <w:sz w:val="21"/>
                      <w:szCs w:val="21"/>
                      <w:highlight w:val="none"/>
                      <w:lang w:val="en-US" w:eastAsia="zh-CN" w:bidi="ar-SA"/>
                    </w:rPr>
                  </w:pPr>
                  <w:r>
                    <w:rPr>
                      <w:rFonts w:hint="default"/>
                      <w:color w:val="000000"/>
                      <w:highlight w:val="none"/>
                    </w:rPr>
                    <w:t>调节池</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E2C28B8">
                  <w:pPr>
                    <w:shd w:val="clear" w:color="auto" w:fill="auto"/>
                    <w:bidi w:val="0"/>
                    <w:jc w:val="center"/>
                    <w:rPr>
                      <w:rFonts w:hint="eastAsia"/>
                      <w:color w:val="000000"/>
                      <w:kern w:val="2"/>
                      <w:sz w:val="21"/>
                      <w:szCs w:val="21"/>
                      <w:highlight w:val="none"/>
                      <w:lang w:val="en-US" w:eastAsia="zh-CN" w:bidi="ar-SA"/>
                    </w:rPr>
                  </w:pPr>
                  <w:r>
                    <w:rPr>
                      <w:rFonts w:hint="default"/>
                      <w:color w:val="000000"/>
                      <w:highlight w:val="none"/>
                    </w:rPr>
                    <w:t>20</w:t>
                  </w:r>
                  <w:r>
                    <w:rPr>
                      <w:rFonts w:hint="eastAsia"/>
                      <w:color w:val="000000"/>
                      <w:highlight w:val="none"/>
                      <w:lang w:eastAsia="zh-CN"/>
                    </w:rPr>
                    <w:t>m³</w:t>
                  </w:r>
                  <w:r>
                    <w:rPr>
                      <w:rFonts w:hint="default"/>
                      <w:color w:val="000000"/>
                      <w:highlight w:val="none"/>
                    </w:rPr>
                    <w:t>（有效）</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1CEFF53">
                  <w:pPr>
                    <w:shd w:val="clear" w:color="auto" w:fill="auto"/>
                    <w:bidi w:val="0"/>
                    <w:jc w:val="center"/>
                    <w:rPr>
                      <w:rFonts w:hint="default"/>
                      <w:color w:val="000000"/>
                      <w:kern w:val="2"/>
                      <w:sz w:val="21"/>
                      <w:szCs w:val="21"/>
                      <w:highlight w:val="none"/>
                      <w:lang w:val="en-US" w:eastAsia="zh-CN" w:bidi="ar-SA"/>
                    </w:rPr>
                  </w:pPr>
                  <w:r>
                    <w:rPr>
                      <w:rFonts w:hint="default"/>
                      <w:color w:val="000000"/>
                      <w:highlight w:val="none"/>
                    </w:rPr>
                    <w:t>座</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335EE56">
                  <w:pPr>
                    <w:shd w:val="clear" w:color="auto" w:fill="auto"/>
                    <w:bidi w:val="0"/>
                    <w:jc w:val="center"/>
                    <w:rPr>
                      <w:rFonts w:hint="eastAsia"/>
                      <w:color w:val="000000"/>
                      <w:highlight w:val="none"/>
                    </w:rPr>
                  </w:pPr>
                  <w:r>
                    <w:rPr>
                      <w:rFonts w:hint="eastAsia" w:ascii="Times New Roman" w:hAnsi="Times New Roman" w:eastAsia="宋体" w:cs="Times New Roman"/>
                      <w:color w:val="000000"/>
                      <w:kern w:val="0"/>
                      <w:sz w:val="21"/>
                      <w:szCs w:val="21"/>
                      <w:highlight w:val="none"/>
                      <w:lang w:val="en-US" w:eastAsia="zh-CN"/>
                    </w:rPr>
                    <w:t>1</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13C0EB">
                  <w:pPr>
                    <w:shd w:val="clear" w:color="auto" w:fill="auto"/>
                    <w:bidi w:val="0"/>
                    <w:jc w:val="center"/>
                    <w:rPr>
                      <w:rFonts w:hint="eastAsia"/>
                      <w:color w:val="000000"/>
                      <w:highlight w:val="none"/>
                    </w:rPr>
                  </w:pPr>
                </w:p>
              </w:tc>
            </w:tr>
            <w:tr w14:paraId="76A25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 w:hRule="atLeast"/>
              </w:trPr>
              <w:tc>
                <w:tcPr>
                  <w:tcW w:w="724" w:type="dxa"/>
                  <w:vMerge w:val="continue"/>
                  <w:tcBorders>
                    <w:left w:val="single" w:color="auto" w:sz="4" w:space="0"/>
                    <w:right w:val="single" w:color="auto" w:sz="4" w:space="0"/>
                  </w:tcBorders>
                  <w:shd w:val="clear" w:color="auto" w:fill="auto"/>
                  <w:noWrap w:val="0"/>
                  <w:vAlign w:val="center"/>
                </w:tcPr>
                <w:p w14:paraId="30484172">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eastAsia" w:ascii="Times New Roman" w:hAnsi="Times New Roman" w:eastAsia="宋体" w:cs="Times New Roman"/>
                      <w:color w:val="000000"/>
                      <w:kern w:val="0"/>
                      <w:sz w:val="21"/>
                      <w:szCs w:val="21"/>
                      <w:highlight w:val="none"/>
                      <w:lang w:val="en-US" w:eastAsia="zh-CN"/>
                    </w:rPr>
                  </w:pPr>
                </w:p>
              </w:tc>
              <w:tc>
                <w:tcPr>
                  <w:tcW w:w="1031" w:type="dxa"/>
                  <w:vMerge w:val="continue"/>
                  <w:tcBorders>
                    <w:left w:val="single" w:color="auto" w:sz="4" w:space="0"/>
                    <w:right w:val="single" w:color="auto" w:sz="4" w:space="0"/>
                  </w:tcBorders>
                  <w:shd w:val="clear" w:color="auto" w:fill="auto"/>
                  <w:noWrap w:val="0"/>
                  <w:vAlign w:val="center"/>
                </w:tcPr>
                <w:p w14:paraId="237AC4AD">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eastAsia" w:ascii="Times New Roman" w:hAnsi="Times New Roman" w:eastAsia="宋体" w:cs="Times New Roman"/>
                      <w:color w:val="000000"/>
                      <w:kern w:val="0"/>
                      <w:sz w:val="21"/>
                      <w:szCs w:val="21"/>
                      <w:highlight w:val="none"/>
                      <w:lang w:val="en-US" w:eastAsia="zh-CN"/>
                    </w:rPr>
                  </w:pP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7428237">
                  <w:pPr>
                    <w:shd w:val="clear" w:color="auto" w:fill="auto"/>
                    <w:bidi w:val="0"/>
                    <w:jc w:val="center"/>
                    <w:rPr>
                      <w:rFonts w:hint="default"/>
                      <w:color w:val="000000"/>
                      <w:kern w:val="2"/>
                      <w:sz w:val="21"/>
                      <w:szCs w:val="21"/>
                      <w:highlight w:val="none"/>
                      <w:lang w:val="en-US" w:eastAsia="zh-CN" w:bidi="ar-SA"/>
                    </w:rPr>
                  </w:pPr>
                  <w:r>
                    <w:rPr>
                      <w:rFonts w:hint="default"/>
                      <w:color w:val="000000"/>
                      <w:highlight w:val="none"/>
                    </w:rPr>
                    <w:t>污泥池</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9EB5356">
                  <w:pPr>
                    <w:shd w:val="clear" w:color="auto" w:fill="auto"/>
                    <w:bidi w:val="0"/>
                    <w:jc w:val="center"/>
                    <w:rPr>
                      <w:rFonts w:hint="eastAsia"/>
                      <w:color w:val="000000"/>
                      <w:kern w:val="2"/>
                      <w:sz w:val="21"/>
                      <w:szCs w:val="21"/>
                      <w:highlight w:val="none"/>
                      <w:lang w:val="en-US" w:eastAsia="zh-CN" w:bidi="ar-SA"/>
                    </w:rPr>
                  </w:pPr>
                  <w:r>
                    <w:rPr>
                      <w:rFonts w:hint="default"/>
                      <w:color w:val="000000"/>
                      <w:highlight w:val="none"/>
                    </w:rPr>
                    <w:t>5</w:t>
                  </w:r>
                  <w:r>
                    <w:rPr>
                      <w:rFonts w:hint="eastAsia"/>
                      <w:color w:val="000000"/>
                      <w:highlight w:val="none"/>
                      <w:lang w:eastAsia="zh-CN"/>
                    </w:rPr>
                    <w:t>m³</w:t>
                  </w:r>
                  <w:r>
                    <w:rPr>
                      <w:rFonts w:hint="default"/>
                      <w:color w:val="000000"/>
                      <w:highlight w:val="none"/>
                    </w:rPr>
                    <w:t>（有效）</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3A9B3778">
                  <w:pPr>
                    <w:shd w:val="clear" w:color="auto" w:fill="auto"/>
                    <w:bidi w:val="0"/>
                    <w:jc w:val="center"/>
                    <w:rPr>
                      <w:rFonts w:hint="default"/>
                      <w:color w:val="000000"/>
                      <w:kern w:val="2"/>
                      <w:sz w:val="21"/>
                      <w:szCs w:val="21"/>
                      <w:highlight w:val="none"/>
                      <w:lang w:val="en-US" w:eastAsia="zh-CN" w:bidi="ar-SA"/>
                    </w:rPr>
                  </w:pPr>
                  <w:r>
                    <w:rPr>
                      <w:rFonts w:hint="default"/>
                      <w:color w:val="000000"/>
                      <w:highlight w:val="none"/>
                    </w:rPr>
                    <w:t>座</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EDEAF3">
                  <w:pPr>
                    <w:shd w:val="clear" w:color="auto" w:fill="auto"/>
                    <w:bidi w:val="0"/>
                    <w:jc w:val="center"/>
                    <w:rPr>
                      <w:rFonts w:hint="eastAsia"/>
                      <w:color w:val="000000"/>
                      <w:highlight w:val="none"/>
                    </w:rPr>
                  </w:pPr>
                  <w:r>
                    <w:rPr>
                      <w:rFonts w:hint="eastAsia" w:ascii="Times New Roman" w:hAnsi="Times New Roman" w:eastAsia="宋体" w:cs="Times New Roman"/>
                      <w:color w:val="000000"/>
                      <w:kern w:val="0"/>
                      <w:sz w:val="21"/>
                      <w:szCs w:val="21"/>
                      <w:highlight w:val="none"/>
                      <w:lang w:val="en-US" w:eastAsia="zh-CN"/>
                    </w:rPr>
                    <w:t>1</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595EA1">
                  <w:pPr>
                    <w:shd w:val="clear" w:color="auto" w:fill="auto"/>
                    <w:bidi w:val="0"/>
                    <w:jc w:val="center"/>
                    <w:rPr>
                      <w:rFonts w:hint="eastAsia"/>
                      <w:color w:val="000000"/>
                      <w:highlight w:val="none"/>
                    </w:rPr>
                  </w:pPr>
                </w:p>
              </w:tc>
            </w:tr>
            <w:tr w14:paraId="5DC29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5" w:hRule="atLeast"/>
              </w:trPr>
              <w:tc>
                <w:tcPr>
                  <w:tcW w:w="724" w:type="dxa"/>
                  <w:vMerge w:val="continue"/>
                  <w:tcBorders>
                    <w:left w:val="single" w:color="auto" w:sz="4" w:space="0"/>
                    <w:right w:val="single" w:color="auto" w:sz="4" w:space="0"/>
                  </w:tcBorders>
                  <w:shd w:val="clear" w:color="auto" w:fill="auto"/>
                  <w:noWrap w:val="0"/>
                  <w:vAlign w:val="center"/>
                </w:tcPr>
                <w:p w14:paraId="734DFC49">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eastAsia" w:ascii="Times New Roman" w:hAnsi="Times New Roman" w:eastAsia="宋体" w:cs="Times New Roman"/>
                      <w:color w:val="000000"/>
                      <w:kern w:val="0"/>
                      <w:sz w:val="21"/>
                      <w:szCs w:val="21"/>
                      <w:highlight w:val="none"/>
                      <w:lang w:val="en-US" w:eastAsia="zh-CN"/>
                    </w:rPr>
                  </w:pPr>
                </w:p>
              </w:tc>
              <w:tc>
                <w:tcPr>
                  <w:tcW w:w="1031" w:type="dxa"/>
                  <w:vMerge w:val="continue"/>
                  <w:tcBorders>
                    <w:left w:val="single" w:color="auto" w:sz="4" w:space="0"/>
                    <w:right w:val="single" w:color="auto" w:sz="4" w:space="0"/>
                  </w:tcBorders>
                  <w:shd w:val="clear" w:color="auto" w:fill="auto"/>
                  <w:noWrap w:val="0"/>
                  <w:vAlign w:val="center"/>
                </w:tcPr>
                <w:p w14:paraId="2D356C52">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eastAsia" w:ascii="Times New Roman" w:hAnsi="Times New Roman" w:eastAsia="宋体" w:cs="Times New Roman"/>
                      <w:color w:val="000000"/>
                      <w:kern w:val="0"/>
                      <w:sz w:val="21"/>
                      <w:szCs w:val="21"/>
                      <w:highlight w:val="none"/>
                      <w:lang w:val="en-US" w:eastAsia="zh-CN"/>
                    </w:rPr>
                  </w:pP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5343A31E">
                  <w:pPr>
                    <w:shd w:val="clear" w:color="auto" w:fill="auto"/>
                    <w:bidi w:val="0"/>
                    <w:jc w:val="center"/>
                    <w:rPr>
                      <w:rFonts w:hint="default"/>
                      <w:color w:val="000000"/>
                      <w:kern w:val="2"/>
                      <w:sz w:val="21"/>
                      <w:szCs w:val="21"/>
                      <w:highlight w:val="none"/>
                      <w:lang w:val="en-US" w:eastAsia="zh-CN" w:bidi="ar-SA"/>
                    </w:rPr>
                  </w:pPr>
                  <w:r>
                    <w:rPr>
                      <w:rFonts w:hint="default"/>
                      <w:color w:val="000000"/>
                      <w:highlight w:val="none"/>
                    </w:rPr>
                    <w:t>设备房</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F2D3A76">
                  <w:pPr>
                    <w:shd w:val="clear" w:color="auto" w:fill="auto"/>
                    <w:bidi w:val="0"/>
                    <w:jc w:val="center"/>
                    <w:rPr>
                      <w:rFonts w:hint="eastAsia"/>
                      <w:color w:val="000000"/>
                      <w:kern w:val="2"/>
                      <w:sz w:val="21"/>
                      <w:szCs w:val="21"/>
                      <w:highlight w:val="none"/>
                      <w:lang w:val="en-US" w:eastAsia="zh-CN" w:bidi="ar-SA"/>
                    </w:rPr>
                  </w:pPr>
                  <w:r>
                    <w:rPr>
                      <w:rFonts w:hint="default"/>
                      <w:color w:val="000000"/>
                      <w:highlight w:val="none"/>
                    </w:rPr>
                    <w:t>9×3×2.8m</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67513B3">
                  <w:pPr>
                    <w:shd w:val="clear" w:color="auto" w:fill="auto"/>
                    <w:bidi w:val="0"/>
                    <w:jc w:val="center"/>
                    <w:rPr>
                      <w:rFonts w:hint="default"/>
                      <w:color w:val="000000"/>
                      <w:kern w:val="2"/>
                      <w:sz w:val="21"/>
                      <w:szCs w:val="21"/>
                      <w:highlight w:val="none"/>
                      <w:lang w:val="en-US" w:eastAsia="zh-CN" w:bidi="ar-SA"/>
                    </w:rPr>
                  </w:pPr>
                  <w:r>
                    <w:rPr>
                      <w:rFonts w:hint="default"/>
                      <w:color w:val="000000"/>
                      <w:highlight w:val="none"/>
                    </w:rPr>
                    <w:t>间</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1DC8956">
                  <w:pPr>
                    <w:shd w:val="clear" w:color="auto" w:fill="auto"/>
                    <w:bidi w:val="0"/>
                    <w:jc w:val="center"/>
                    <w:rPr>
                      <w:rFonts w:hint="eastAsia"/>
                      <w:color w:val="000000"/>
                      <w:highlight w:val="none"/>
                    </w:rPr>
                  </w:pPr>
                  <w:r>
                    <w:rPr>
                      <w:rFonts w:hint="eastAsia" w:ascii="Times New Roman" w:hAnsi="Times New Roman" w:eastAsia="宋体" w:cs="Times New Roman"/>
                      <w:color w:val="000000"/>
                      <w:kern w:val="0"/>
                      <w:sz w:val="21"/>
                      <w:szCs w:val="21"/>
                      <w:highlight w:val="none"/>
                      <w:lang w:val="en-US" w:eastAsia="zh-CN"/>
                    </w:rPr>
                    <w:t>1</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77DE529">
                  <w:pPr>
                    <w:shd w:val="clear" w:color="auto" w:fill="auto"/>
                    <w:bidi w:val="0"/>
                    <w:jc w:val="center"/>
                    <w:rPr>
                      <w:rFonts w:hint="eastAsia"/>
                      <w:color w:val="000000"/>
                      <w:highlight w:val="none"/>
                    </w:rPr>
                  </w:pPr>
                </w:p>
              </w:tc>
            </w:tr>
            <w:tr w14:paraId="57546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5" w:hRule="atLeast"/>
              </w:trPr>
              <w:tc>
                <w:tcPr>
                  <w:tcW w:w="724" w:type="dxa"/>
                  <w:vMerge w:val="continue"/>
                  <w:tcBorders>
                    <w:left w:val="single" w:color="auto" w:sz="4" w:space="0"/>
                    <w:right w:val="single" w:color="auto" w:sz="4" w:space="0"/>
                  </w:tcBorders>
                  <w:shd w:val="clear" w:color="auto" w:fill="auto"/>
                  <w:noWrap w:val="0"/>
                  <w:vAlign w:val="center"/>
                </w:tcPr>
                <w:p w14:paraId="3511358C">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eastAsia" w:ascii="Times New Roman" w:hAnsi="Times New Roman" w:eastAsia="宋体" w:cs="Times New Roman"/>
                      <w:color w:val="000000"/>
                      <w:kern w:val="0"/>
                      <w:sz w:val="21"/>
                      <w:szCs w:val="21"/>
                      <w:highlight w:val="none"/>
                      <w:lang w:val="en-US" w:eastAsia="zh-CN"/>
                    </w:rPr>
                  </w:pPr>
                </w:p>
              </w:tc>
              <w:tc>
                <w:tcPr>
                  <w:tcW w:w="1031" w:type="dxa"/>
                  <w:vMerge w:val="continue"/>
                  <w:tcBorders>
                    <w:left w:val="single" w:color="auto" w:sz="4" w:space="0"/>
                    <w:right w:val="single" w:color="auto" w:sz="4" w:space="0"/>
                  </w:tcBorders>
                  <w:shd w:val="clear" w:color="auto" w:fill="auto"/>
                  <w:noWrap w:val="0"/>
                  <w:vAlign w:val="center"/>
                </w:tcPr>
                <w:p w14:paraId="25BDF496">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eastAsia" w:ascii="Times New Roman" w:hAnsi="Times New Roman" w:eastAsia="宋体" w:cs="Times New Roman"/>
                      <w:color w:val="000000"/>
                      <w:kern w:val="0"/>
                      <w:sz w:val="21"/>
                      <w:szCs w:val="21"/>
                      <w:highlight w:val="none"/>
                      <w:lang w:val="en-US" w:eastAsia="zh-CN"/>
                    </w:rPr>
                  </w:pP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4D7AE97E">
                  <w:pPr>
                    <w:shd w:val="clear" w:color="auto" w:fill="auto"/>
                    <w:bidi w:val="0"/>
                    <w:jc w:val="center"/>
                    <w:rPr>
                      <w:rFonts w:hint="default"/>
                      <w:color w:val="000000"/>
                      <w:kern w:val="2"/>
                      <w:sz w:val="21"/>
                      <w:szCs w:val="21"/>
                      <w:highlight w:val="none"/>
                      <w:lang w:val="en-US" w:eastAsia="zh-CN" w:bidi="ar-SA"/>
                    </w:rPr>
                  </w:pPr>
                  <w:r>
                    <w:rPr>
                      <w:rFonts w:hint="default"/>
                      <w:color w:val="000000"/>
                      <w:highlight w:val="none"/>
                    </w:rPr>
                    <w:t>一体</w:t>
                  </w:r>
                  <w:r>
                    <w:rPr>
                      <w:rFonts w:hint="eastAsia"/>
                      <w:color w:val="000000"/>
                      <w:highlight w:val="none"/>
                      <w:lang w:val="en-US" w:eastAsia="zh-CN"/>
                    </w:rPr>
                    <w:t>化</w:t>
                  </w:r>
                  <w:r>
                    <w:rPr>
                      <w:rFonts w:hint="default"/>
                      <w:color w:val="000000"/>
                      <w:highlight w:val="none"/>
                    </w:rPr>
                    <w:t>设备基础</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FD26653">
                  <w:pPr>
                    <w:shd w:val="clear" w:color="auto" w:fill="auto"/>
                    <w:bidi w:val="0"/>
                    <w:jc w:val="center"/>
                    <w:rPr>
                      <w:rFonts w:hint="eastAsia"/>
                      <w:color w:val="000000"/>
                      <w:kern w:val="2"/>
                      <w:sz w:val="21"/>
                      <w:szCs w:val="21"/>
                      <w:highlight w:val="none"/>
                      <w:lang w:val="en-US" w:eastAsia="zh-CN" w:bidi="ar-SA"/>
                    </w:rPr>
                  </w:pPr>
                  <w:r>
                    <w:rPr>
                      <w:rFonts w:hint="default"/>
                      <w:color w:val="000000"/>
                      <w:highlight w:val="none"/>
                    </w:rPr>
                    <w:t>8.0×2.6×0.2</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12153BEC">
                  <w:pPr>
                    <w:shd w:val="clear" w:color="auto" w:fill="auto"/>
                    <w:bidi w:val="0"/>
                    <w:jc w:val="center"/>
                    <w:rPr>
                      <w:rFonts w:hint="default"/>
                      <w:color w:val="000000"/>
                      <w:kern w:val="2"/>
                      <w:sz w:val="21"/>
                      <w:szCs w:val="21"/>
                      <w:highlight w:val="none"/>
                      <w:lang w:val="en-US" w:eastAsia="zh-CN" w:bidi="ar-SA"/>
                    </w:rPr>
                  </w:pPr>
                  <w:r>
                    <w:rPr>
                      <w:rFonts w:hint="default"/>
                      <w:color w:val="000000"/>
                      <w:highlight w:val="none"/>
                    </w:rPr>
                    <w:t>座</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F63B90">
                  <w:pPr>
                    <w:shd w:val="clear" w:color="auto" w:fill="auto"/>
                    <w:bidi w:val="0"/>
                    <w:jc w:val="center"/>
                    <w:rPr>
                      <w:rFonts w:hint="eastAsia"/>
                      <w:color w:val="000000"/>
                      <w:highlight w:val="none"/>
                    </w:rPr>
                  </w:pPr>
                  <w:r>
                    <w:rPr>
                      <w:rFonts w:hint="eastAsia" w:ascii="Times New Roman" w:hAnsi="Times New Roman" w:eastAsia="宋体" w:cs="Times New Roman"/>
                      <w:color w:val="000000"/>
                      <w:kern w:val="0"/>
                      <w:sz w:val="21"/>
                      <w:szCs w:val="21"/>
                      <w:highlight w:val="none"/>
                      <w:lang w:val="en-US" w:eastAsia="zh-CN"/>
                    </w:rPr>
                    <w:t>1</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F69F58B">
                  <w:pPr>
                    <w:shd w:val="clear" w:color="auto" w:fill="auto"/>
                    <w:bidi w:val="0"/>
                    <w:jc w:val="center"/>
                    <w:rPr>
                      <w:rFonts w:hint="eastAsia"/>
                      <w:color w:val="000000"/>
                      <w:highlight w:val="none"/>
                    </w:rPr>
                  </w:pPr>
                </w:p>
              </w:tc>
            </w:tr>
            <w:tr w14:paraId="47B91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 w:hRule="atLeast"/>
              </w:trPr>
              <w:tc>
                <w:tcPr>
                  <w:tcW w:w="724" w:type="dxa"/>
                  <w:vMerge w:val="continue"/>
                  <w:tcBorders>
                    <w:left w:val="single" w:color="auto" w:sz="4" w:space="0"/>
                    <w:right w:val="single" w:color="auto" w:sz="4" w:space="0"/>
                  </w:tcBorders>
                  <w:shd w:val="clear" w:color="auto" w:fill="auto"/>
                  <w:noWrap w:val="0"/>
                  <w:vAlign w:val="center"/>
                </w:tcPr>
                <w:p w14:paraId="6BA44C27">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031" w:type="dxa"/>
                  <w:vMerge w:val="continue"/>
                  <w:tcBorders>
                    <w:left w:val="single" w:color="auto" w:sz="4" w:space="0"/>
                    <w:right w:val="single" w:color="auto" w:sz="4" w:space="0"/>
                  </w:tcBorders>
                  <w:shd w:val="clear" w:color="auto" w:fill="auto"/>
                  <w:noWrap w:val="0"/>
                  <w:vAlign w:val="center"/>
                </w:tcPr>
                <w:p w14:paraId="23F81599">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D4098A4">
                  <w:pPr>
                    <w:shd w:val="clear" w:color="auto" w:fill="auto"/>
                    <w:bidi w:val="0"/>
                    <w:jc w:val="center"/>
                    <w:rPr>
                      <w:rFonts w:hint="eastAsia"/>
                      <w:color w:val="000000"/>
                      <w:kern w:val="2"/>
                      <w:sz w:val="21"/>
                      <w:szCs w:val="21"/>
                      <w:highlight w:val="none"/>
                      <w:lang w:val="en-US" w:eastAsia="zh-CN" w:bidi="ar-SA"/>
                    </w:rPr>
                  </w:pPr>
                  <w:r>
                    <w:rPr>
                      <w:color w:val="000000"/>
                      <w:highlight w:val="none"/>
                    </w:rPr>
                    <w:t>调节池提升泵</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49F9B3">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3</w:t>
                  </w:r>
                  <w:r>
                    <w:rPr>
                      <w:rFonts w:hint="eastAsia"/>
                      <w:color w:val="000000"/>
                      <w:highlight w:val="none"/>
                      <w:lang w:eastAsia="zh-CN"/>
                    </w:rPr>
                    <w:t>m³</w:t>
                  </w:r>
                  <w:r>
                    <w:rPr>
                      <w:rFonts w:hint="eastAsia"/>
                      <w:color w:val="000000"/>
                      <w:highlight w:val="none"/>
                    </w:rPr>
                    <w:t>/h</w:t>
                  </w:r>
                  <w:r>
                    <w:rPr>
                      <w:rFonts w:hint="eastAsia"/>
                      <w:color w:val="000000"/>
                      <w:highlight w:val="none"/>
                      <w:lang w:eastAsia="zh-CN"/>
                    </w:rPr>
                    <w:t>,</w:t>
                  </w:r>
                  <w:r>
                    <w:rPr>
                      <w:rFonts w:hint="eastAsia"/>
                      <w:color w:val="000000"/>
                      <w:highlight w:val="none"/>
                    </w:rPr>
                    <w:t>10m</w:t>
                  </w:r>
                  <w:r>
                    <w:rPr>
                      <w:rFonts w:hint="eastAsia"/>
                      <w:color w:val="000000"/>
                      <w:highlight w:val="none"/>
                      <w:lang w:eastAsia="zh-CN"/>
                    </w:rPr>
                    <w:t>,</w:t>
                  </w:r>
                  <w:r>
                    <w:rPr>
                      <w:rFonts w:hint="eastAsia"/>
                      <w:color w:val="000000"/>
                      <w:highlight w:val="none"/>
                    </w:rPr>
                    <w:t>0.75</w:t>
                  </w:r>
                  <w:r>
                    <w:rPr>
                      <w:rFonts w:hint="eastAsia"/>
                      <w:color w:val="000000"/>
                      <w:highlight w:val="none"/>
                      <w:lang w:eastAsia="zh-CN"/>
                    </w:rPr>
                    <w:t>kW</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65F83CA">
                  <w:pPr>
                    <w:shd w:val="clear" w:color="auto" w:fill="auto"/>
                    <w:bidi w:val="0"/>
                    <w:jc w:val="center"/>
                    <w:rPr>
                      <w:rFonts w:hint="eastAsia"/>
                      <w:color w:val="000000"/>
                      <w:kern w:val="2"/>
                      <w:sz w:val="21"/>
                      <w:szCs w:val="21"/>
                      <w:highlight w:val="none"/>
                      <w:lang w:val="en-US" w:eastAsia="zh-CN" w:bidi="ar-SA"/>
                    </w:rPr>
                  </w:pPr>
                  <w:r>
                    <w:rPr>
                      <w:color w:val="000000"/>
                      <w:highlight w:val="none"/>
                    </w:rPr>
                    <w:t>台</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0AC342">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2</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89649B9">
                  <w:pPr>
                    <w:shd w:val="clear" w:color="auto" w:fill="auto"/>
                    <w:bidi w:val="0"/>
                    <w:jc w:val="center"/>
                    <w:rPr>
                      <w:rFonts w:hint="default"/>
                      <w:color w:val="000000"/>
                      <w:kern w:val="2"/>
                      <w:sz w:val="21"/>
                      <w:szCs w:val="21"/>
                      <w:highlight w:val="none"/>
                      <w:lang w:val="en-US" w:eastAsia="zh-CN" w:bidi="ar-SA"/>
                    </w:rPr>
                  </w:pPr>
                  <w:r>
                    <w:rPr>
                      <w:rFonts w:hint="eastAsia"/>
                      <w:color w:val="000000"/>
                      <w:highlight w:val="none"/>
                    </w:rPr>
                    <w:t>1用1备</w:t>
                  </w:r>
                </w:p>
              </w:tc>
            </w:tr>
            <w:tr w14:paraId="34950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 w:hRule="atLeast"/>
              </w:trPr>
              <w:tc>
                <w:tcPr>
                  <w:tcW w:w="724" w:type="dxa"/>
                  <w:vMerge w:val="continue"/>
                  <w:tcBorders>
                    <w:left w:val="single" w:color="auto" w:sz="4" w:space="0"/>
                    <w:right w:val="single" w:color="auto" w:sz="4" w:space="0"/>
                  </w:tcBorders>
                  <w:shd w:val="clear" w:color="auto" w:fill="auto"/>
                  <w:noWrap w:val="0"/>
                  <w:vAlign w:val="center"/>
                </w:tcPr>
                <w:p w14:paraId="043A8D77">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031" w:type="dxa"/>
                  <w:vMerge w:val="continue"/>
                  <w:tcBorders>
                    <w:left w:val="single" w:color="auto" w:sz="4" w:space="0"/>
                    <w:right w:val="single" w:color="auto" w:sz="4" w:space="0"/>
                  </w:tcBorders>
                  <w:shd w:val="clear" w:color="auto" w:fill="auto"/>
                  <w:noWrap w:val="0"/>
                  <w:vAlign w:val="center"/>
                </w:tcPr>
                <w:p w14:paraId="02C912F5">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C9D7112">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气浮槽</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3D8D46">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3</w:t>
                  </w:r>
                  <w:r>
                    <w:rPr>
                      <w:rFonts w:hint="eastAsia"/>
                      <w:color w:val="000000"/>
                      <w:highlight w:val="none"/>
                      <w:lang w:eastAsia="zh-CN"/>
                    </w:rPr>
                    <w:t>m³</w:t>
                  </w:r>
                  <w:r>
                    <w:rPr>
                      <w:rFonts w:hint="eastAsia"/>
                      <w:color w:val="000000"/>
                      <w:highlight w:val="none"/>
                    </w:rPr>
                    <w:t>/h</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746209">
                  <w:pPr>
                    <w:shd w:val="clear" w:color="auto" w:fill="auto"/>
                    <w:bidi w:val="0"/>
                    <w:jc w:val="center"/>
                    <w:rPr>
                      <w:rFonts w:hint="eastAsia"/>
                      <w:color w:val="000000"/>
                      <w:kern w:val="2"/>
                      <w:sz w:val="21"/>
                      <w:szCs w:val="21"/>
                      <w:highlight w:val="none"/>
                      <w:lang w:val="en-US" w:eastAsia="zh-CN" w:bidi="ar-SA"/>
                    </w:rPr>
                  </w:pPr>
                  <w:r>
                    <w:rPr>
                      <w:color w:val="000000"/>
                      <w:highlight w:val="none"/>
                    </w:rPr>
                    <w:t>套</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9F3FF21">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1</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765592">
                  <w:pPr>
                    <w:shd w:val="clear" w:color="auto" w:fill="auto"/>
                    <w:bidi w:val="0"/>
                    <w:jc w:val="center"/>
                    <w:rPr>
                      <w:rFonts w:hint="default"/>
                      <w:color w:val="000000"/>
                      <w:kern w:val="2"/>
                      <w:sz w:val="21"/>
                      <w:szCs w:val="21"/>
                      <w:highlight w:val="none"/>
                      <w:lang w:val="en-US" w:eastAsia="zh-CN" w:bidi="ar-SA"/>
                    </w:rPr>
                  </w:pPr>
                </w:p>
              </w:tc>
            </w:tr>
            <w:tr w14:paraId="1A3F8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5" w:hRule="atLeast"/>
              </w:trPr>
              <w:tc>
                <w:tcPr>
                  <w:tcW w:w="724" w:type="dxa"/>
                  <w:vMerge w:val="continue"/>
                  <w:tcBorders>
                    <w:left w:val="single" w:color="auto" w:sz="4" w:space="0"/>
                    <w:right w:val="single" w:color="auto" w:sz="4" w:space="0"/>
                  </w:tcBorders>
                  <w:shd w:val="clear" w:color="auto" w:fill="auto"/>
                  <w:noWrap w:val="0"/>
                  <w:vAlign w:val="center"/>
                </w:tcPr>
                <w:p w14:paraId="15829955">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031" w:type="dxa"/>
                  <w:vMerge w:val="continue"/>
                  <w:tcBorders>
                    <w:left w:val="single" w:color="auto" w:sz="4" w:space="0"/>
                    <w:right w:val="single" w:color="auto" w:sz="4" w:space="0"/>
                  </w:tcBorders>
                  <w:shd w:val="clear" w:color="auto" w:fill="auto"/>
                  <w:noWrap w:val="0"/>
                  <w:vAlign w:val="center"/>
                </w:tcPr>
                <w:p w14:paraId="1B8C7CBE">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D404B7">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PAC加药装置</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192C075">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800L</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6C75EB2">
                  <w:pPr>
                    <w:shd w:val="clear" w:color="auto" w:fill="auto"/>
                    <w:bidi w:val="0"/>
                    <w:jc w:val="center"/>
                    <w:rPr>
                      <w:rFonts w:hint="eastAsia"/>
                      <w:color w:val="000000"/>
                      <w:kern w:val="2"/>
                      <w:sz w:val="21"/>
                      <w:szCs w:val="21"/>
                      <w:highlight w:val="none"/>
                      <w:lang w:val="en-US" w:eastAsia="zh-CN" w:bidi="ar-SA"/>
                    </w:rPr>
                  </w:pPr>
                  <w:r>
                    <w:rPr>
                      <w:color w:val="000000"/>
                      <w:highlight w:val="none"/>
                    </w:rPr>
                    <w:t>套</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0591C6">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1</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EE9538">
                  <w:pPr>
                    <w:shd w:val="clear" w:color="auto" w:fill="auto"/>
                    <w:bidi w:val="0"/>
                    <w:jc w:val="center"/>
                    <w:rPr>
                      <w:rFonts w:hint="eastAsia" w:eastAsia="宋体"/>
                      <w:color w:val="000000"/>
                      <w:kern w:val="2"/>
                      <w:sz w:val="21"/>
                      <w:szCs w:val="21"/>
                      <w:highlight w:val="none"/>
                      <w:lang w:val="en-US" w:eastAsia="zh-CN" w:bidi="ar-SA"/>
                    </w:rPr>
                  </w:pPr>
                  <w:r>
                    <w:rPr>
                      <w:rFonts w:hint="eastAsia"/>
                      <w:color w:val="000000"/>
                      <w:highlight w:val="none"/>
                    </w:rPr>
                    <w:t>含计量泵、搅拌机</w:t>
                  </w:r>
                  <w:r>
                    <w:rPr>
                      <w:rFonts w:hint="eastAsia"/>
                      <w:lang w:val="en-US" w:eastAsia="zh-CN"/>
                    </w:rPr>
                    <w:t>等</w:t>
                  </w:r>
                </w:p>
              </w:tc>
            </w:tr>
            <w:tr w14:paraId="2FD52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 w:hRule="atLeast"/>
              </w:trPr>
              <w:tc>
                <w:tcPr>
                  <w:tcW w:w="724" w:type="dxa"/>
                  <w:vMerge w:val="continue"/>
                  <w:tcBorders>
                    <w:left w:val="single" w:color="auto" w:sz="4" w:space="0"/>
                    <w:right w:val="single" w:color="auto" w:sz="4" w:space="0"/>
                  </w:tcBorders>
                  <w:shd w:val="clear" w:color="auto" w:fill="auto"/>
                  <w:noWrap w:val="0"/>
                  <w:vAlign w:val="center"/>
                </w:tcPr>
                <w:p w14:paraId="61659A99">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031" w:type="dxa"/>
                  <w:vMerge w:val="continue"/>
                  <w:tcBorders>
                    <w:left w:val="single" w:color="auto" w:sz="4" w:space="0"/>
                    <w:right w:val="single" w:color="auto" w:sz="4" w:space="0"/>
                  </w:tcBorders>
                  <w:shd w:val="clear" w:color="auto" w:fill="auto"/>
                  <w:noWrap w:val="0"/>
                  <w:vAlign w:val="center"/>
                </w:tcPr>
                <w:p w14:paraId="5BC75E10">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E0E054">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PAM加药装置</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7107B0E">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800L</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E3ADCE">
                  <w:pPr>
                    <w:shd w:val="clear" w:color="auto" w:fill="auto"/>
                    <w:bidi w:val="0"/>
                    <w:jc w:val="center"/>
                    <w:rPr>
                      <w:rFonts w:hint="eastAsia"/>
                      <w:color w:val="000000"/>
                      <w:kern w:val="2"/>
                      <w:sz w:val="21"/>
                      <w:szCs w:val="21"/>
                      <w:highlight w:val="none"/>
                      <w:lang w:val="en-US" w:eastAsia="zh-CN" w:bidi="ar-SA"/>
                    </w:rPr>
                  </w:pPr>
                  <w:r>
                    <w:rPr>
                      <w:color w:val="000000"/>
                      <w:highlight w:val="none"/>
                    </w:rPr>
                    <w:t>套</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503941">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1</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38AF221">
                  <w:pPr>
                    <w:shd w:val="clear" w:color="auto" w:fill="auto"/>
                    <w:bidi w:val="0"/>
                    <w:jc w:val="center"/>
                    <w:rPr>
                      <w:rFonts w:hint="eastAsia" w:eastAsia="宋体"/>
                      <w:color w:val="000000"/>
                      <w:kern w:val="2"/>
                      <w:sz w:val="21"/>
                      <w:szCs w:val="21"/>
                      <w:highlight w:val="none"/>
                      <w:lang w:val="en-US" w:eastAsia="zh-CN" w:bidi="ar-SA"/>
                    </w:rPr>
                  </w:pPr>
                  <w:r>
                    <w:rPr>
                      <w:rFonts w:hint="eastAsia"/>
                      <w:color w:val="000000"/>
                      <w:highlight w:val="none"/>
                    </w:rPr>
                    <w:t>含计量泵、搅拌机</w:t>
                  </w:r>
                  <w:r>
                    <w:rPr>
                      <w:rFonts w:hint="eastAsia"/>
                      <w:lang w:val="en-US" w:eastAsia="zh-CN"/>
                    </w:rPr>
                    <w:t>等</w:t>
                  </w:r>
                </w:p>
              </w:tc>
            </w:tr>
            <w:tr w14:paraId="44881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 w:hRule="atLeast"/>
              </w:trPr>
              <w:tc>
                <w:tcPr>
                  <w:tcW w:w="724" w:type="dxa"/>
                  <w:vMerge w:val="continue"/>
                  <w:tcBorders>
                    <w:left w:val="single" w:color="auto" w:sz="4" w:space="0"/>
                    <w:right w:val="single" w:color="auto" w:sz="4" w:space="0"/>
                  </w:tcBorders>
                  <w:shd w:val="clear" w:color="auto" w:fill="auto"/>
                  <w:noWrap w:val="0"/>
                  <w:vAlign w:val="center"/>
                </w:tcPr>
                <w:p w14:paraId="43426ED7">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031" w:type="dxa"/>
                  <w:vMerge w:val="continue"/>
                  <w:tcBorders>
                    <w:left w:val="single" w:color="auto" w:sz="4" w:space="0"/>
                    <w:right w:val="single" w:color="auto" w:sz="4" w:space="0"/>
                  </w:tcBorders>
                  <w:shd w:val="clear" w:color="auto" w:fill="auto"/>
                  <w:noWrap w:val="0"/>
                  <w:vAlign w:val="center"/>
                </w:tcPr>
                <w:p w14:paraId="25ABBDAA">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C369E9">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A</w:t>
                  </w:r>
                  <w:r>
                    <w:rPr>
                      <w:rFonts w:hint="eastAsia"/>
                      <w:color w:val="000000"/>
                      <w:sz w:val="21"/>
                      <w:highlight w:val="none"/>
                      <w:vertAlign w:val="superscript"/>
                      <w:lang w:val="en-US" w:eastAsia="zh-CN"/>
                    </w:rPr>
                    <w:t>2</w:t>
                  </w:r>
                  <w:r>
                    <w:rPr>
                      <w:rFonts w:hint="eastAsia"/>
                      <w:color w:val="000000"/>
                      <w:highlight w:val="none"/>
                    </w:rPr>
                    <w:t>/O生化一体机</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5930F1">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Q=</w:t>
                  </w:r>
                  <w:r>
                    <w:rPr>
                      <w:rFonts w:hint="eastAsia"/>
                      <w:color w:val="000000"/>
                      <w:highlight w:val="none"/>
                      <w:lang w:val="en-US" w:eastAsia="zh-CN"/>
                    </w:rPr>
                    <w:t>2</w:t>
                  </w:r>
                  <w:r>
                    <w:rPr>
                      <w:rFonts w:hint="eastAsia"/>
                      <w:color w:val="000000"/>
                      <w:highlight w:val="none"/>
                    </w:rPr>
                    <w:t>0</w:t>
                  </w:r>
                  <w:r>
                    <w:rPr>
                      <w:rFonts w:hint="eastAsia"/>
                      <w:color w:val="000000"/>
                      <w:highlight w:val="none"/>
                      <w:lang w:eastAsia="zh-CN"/>
                    </w:rPr>
                    <w:t>m³</w:t>
                  </w:r>
                  <w:r>
                    <w:rPr>
                      <w:rFonts w:hint="eastAsia"/>
                      <w:color w:val="000000"/>
                      <w:highlight w:val="none"/>
                    </w:rPr>
                    <w:t>/d</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552A82">
                  <w:pPr>
                    <w:shd w:val="clear" w:color="auto" w:fill="auto"/>
                    <w:bidi w:val="0"/>
                    <w:jc w:val="center"/>
                    <w:rPr>
                      <w:rFonts w:hint="eastAsia"/>
                      <w:color w:val="000000"/>
                      <w:kern w:val="2"/>
                      <w:sz w:val="21"/>
                      <w:szCs w:val="21"/>
                      <w:highlight w:val="none"/>
                      <w:lang w:val="en-US" w:eastAsia="zh-CN" w:bidi="ar-SA"/>
                    </w:rPr>
                  </w:pPr>
                  <w:r>
                    <w:rPr>
                      <w:color w:val="000000"/>
                      <w:highlight w:val="none"/>
                    </w:rPr>
                    <w:t>套</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0AB3554">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1</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1BA53FC">
                  <w:pPr>
                    <w:shd w:val="clear" w:color="auto" w:fill="auto"/>
                    <w:bidi w:val="0"/>
                    <w:jc w:val="center"/>
                    <w:rPr>
                      <w:rFonts w:hint="default"/>
                      <w:color w:val="000000"/>
                      <w:kern w:val="2"/>
                      <w:sz w:val="21"/>
                      <w:szCs w:val="21"/>
                      <w:highlight w:val="none"/>
                      <w:lang w:val="en-US" w:eastAsia="zh-CN" w:bidi="ar-SA"/>
                    </w:rPr>
                  </w:pPr>
                  <w:r>
                    <w:rPr>
                      <w:color w:val="000000"/>
                      <w:highlight w:val="none"/>
                    </w:rPr>
                    <w:t>含</w:t>
                  </w:r>
                  <w:r>
                    <w:rPr>
                      <w:rFonts w:hint="eastAsia"/>
                      <w:color w:val="000000"/>
                      <w:highlight w:val="none"/>
                      <w:lang w:eastAsia="zh-CN"/>
                    </w:rPr>
                    <w:t>厌氧池、</w:t>
                  </w:r>
                  <w:r>
                    <w:rPr>
                      <w:color w:val="000000"/>
                      <w:highlight w:val="none"/>
                    </w:rPr>
                    <w:t>缺氧池、好氧池、</w:t>
                  </w:r>
                  <w:r>
                    <w:rPr>
                      <w:rFonts w:hint="eastAsia"/>
                      <w:color w:val="000000"/>
                      <w:highlight w:val="none"/>
                      <w:lang w:eastAsia="zh-CN"/>
                    </w:rPr>
                    <w:t>二沉池、中间水池</w:t>
                  </w:r>
                </w:p>
              </w:tc>
            </w:tr>
            <w:tr w14:paraId="70A85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 w:hRule="atLeast"/>
              </w:trPr>
              <w:tc>
                <w:tcPr>
                  <w:tcW w:w="724" w:type="dxa"/>
                  <w:vMerge w:val="continue"/>
                  <w:tcBorders>
                    <w:left w:val="single" w:color="auto" w:sz="4" w:space="0"/>
                    <w:right w:val="single" w:color="auto" w:sz="4" w:space="0"/>
                  </w:tcBorders>
                  <w:shd w:val="clear" w:color="auto" w:fill="auto"/>
                  <w:noWrap w:val="0"/>
                  <w:vAlign w:val="center"/>
                </w:tcPr>
                <w:p w14:paraId="5F03CD0A">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031" w:type="dxa"/>
                  <w:vMerge w:val="continue"/>
                  <w:tcBorders>
                    <w:left w:val="single" w:color="auto" w:sz="4" w:space="0"/>
                    <w:right w:val="single" w:color="auto" w:sz="4" w:space="0"/>
                  </w:tcBorders>
                  <w:shd w:val="clear" w:color="auto" w:fill="auto"/>
                  <w:noWrap w:val="0"/>
                  <w:vAlign w:val="center"/>
                </w:tcPr>
                <w:p w14:paraId="57822DB4">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F7FC54">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鼓风机</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2FFCE7">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HC30S</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D6E6BD">
                  <w:pPr>
                    <w:shd w:val="clear" w:color="auto" w:fill="auto"/>
                    <w:bidi w:val="0"/>
                    <w:jc w:val="center"/>
                    <w:rPr>
                      <w:rFonts w:hint="eastAsia"/>
                      <w:color w:val="000000"/>
                      <w:kern w:val="2"/>
                      <w:sz w:val="21"/>
                      <w:szCs w:val="21"/>
                      <w:highlight w:val="none"/>
                      <w:lang w:val="en-US" w:eastAsia="zh-CN" w:bidi="ar-SA"/>
                    </w:rPr>
                  </w:pPr>
                  <w:r>
                    <w:rPr>
                      <w:color w:val="000000"/>
                      <w:highlight w:val="none"/>
                    </w:rPr>
                    <w:t>台</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8C645B">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2</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0B8C679">
                  <w:pPr>
                    <w:shd w:val="clear" w:color="auto" w:fill="auto"/>
                    <w:bidi w:val="0"/>
                    <w:jc w:val="center"/>
                    <w:rPr>
                      <w:rFonts w:hint="default"/>
                      <w:color w:val="000000"/>
                      <w:kern w:val="2"/>
                      <w:sz w:val="21"/>
                      <w:szCs w:val="21"/>
                      <w:highlight w:val="none"/>
                      <w:lang w:val="en-US" w:eastAsia="zh-CN" w:bidi="ar-SA"/>
                    </w:rPr>
                  </w:pPr>
                </w:p>
              </w:tc>
            </w:tr>
            <w:tr w14:paraId="03FF1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 w:hRule="atLeast"/>
              </w:trPr>
              <w:tc>
                <w:tcPr>
                  <w:tcW w:w="724" w:type="dxa"/>
                  <w:vMerge w:val="continue"/>
                  <w:tcBorders>
                    <w:left w:val="single" w:color="auto" w:sz="4" w:space="0"/>
                    <w:right w:val="single" w:color="auto" w:sz="4" w:space="0"/>
                  </w:tcBorders>
                  <w:shd w:val="clear" w:color="auto" w:fill="auto"/>
                  <w:noWrap w:val="0"/>
                  <w:vAlign w:val="center"/>
                </w:tcPr>
                <w:p w14:paraId="3EA9A6A8">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031" w:type="dxa"/>
                  <w:vMerge w:val="continue"/>
                  <w:tcBorders>
                    <w:left w:val="single" w:color="auto" w:sz="4" w:space="0"/>
                    <w:right w:val="single" w:color="auto" w:sz="4" w:space="0"/>
                  </w:tcBorders>
                  <w:shd w:val="clear" w:color="auto" w:fill="auto"/>
                  <w:noWrap w:val="0"/>
                  <w:vAlign w:val="center"/>
                </w:tcPr>
                <w:p w14:paraId="7498DB25">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123F2A">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曝气系统</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F2C4094">
                  <w:pPr>
                    <w:shd w:val="clear" w:color="auto" w:fill="auto"/>
                    <w:bidi w:val="0"/>
                    <w:jc w:val="center"/>
                    <w:rPr>
                      <w:rFonts w:hint="eastAsia"/>
                      <w:color w:val="000000"/>
                      <w:kern w:val="2"/>
                      <w:sz w:val="21"/>
                      <w:szCs w:val="21"/>
                      <w:highlight w:val="none"/>
                      <w:lang w:val="en-US" w:eastAsia="zh-CN" w:bidi="ar-SA"/>
                    </w:rPr>
                  </w:pP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A96888">
                  <w:pPr>
                    <w:shd w:val="clear" w:color="auto" w:fill="auto"/>
                    <w:bidi w:val="0"/>
                    <w:jc w:val="center"/>
                    <w:rPr>
                      <w:rFonts w:hint="eastAsia"/>
                      <w:color w:val="000000"/>
                      <w:kern w:val="2"/>
                      <w:sz w:val="21"/>
                      <w:szCs w:val="21"/>
                      <w:highlight w:val="none"/>
                      <w:lang w:val="en-US" w:eastAsia="zh-CN" w:bidi="ar-SA"/>
                    </w:rPr>
                  </w:pPr>
                  <w:r>
                    <w:rPr>
                      <w:color w:val="000000"/>
                      <w:highlight w:val="none"/>
                    </w:rPr>
                    <w:t>套</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63A0C53">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1</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925E11E">
                  <w:pPr>
                    <w:shd w:val="clear" w:color="auto" w:fill="auto"/>
                    <w:bidi w:val="0"/>
                    <w:jc w:val="center"/>
                    <w:rPr>
                      <w:rFonts w:hint="default"/>
                      <w:color w:val="000000"/>
                      <w:kern w:val="2"/>
                      <w:sz w:val="21"/>
                      <w:szCs w:val="21"/>
                      <w:highlight w:val="none"/>
                      <w:lang w:val="en-US" w:eastAsia="zh-CN" w:bidi="ar-SA"/>
                    </w:rPr>
                  </w:pPr>
                  <w:r>
                    <w:rPr>
                      <w:color w:val="000000"/>
                      <w:highlight w:val="none"/>
                    </w:rPr>
                    <w:t>缺氧池、好氧池用</w:t>
                  </w:r>
                </w:p>
              </w:tc>
            </w:tr>
            <w:tr w14:paraId="102DB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 w:hRule="atLeast"/>
              </w:trPr>
              <w:tc>
                <w:tcPr>
                  <w:tcW w:w="724" w:type="dxa"/>
                  <w:vMerge w:val="continue"/>
                  <w:tcBorders>
                    <w:left w:val="single" w:color="auto" w:sz="4" w:space="0"/>
                    <w:right w:val="single" w:color="auto" w:sz="4" w:space="0"/>
                  </w:tcBorders>
                  <w:shd w:val="clear" w:color="auto" w:fill="auto"/>
                  <w:noWrap w:val="0"/>
                  <w:vAlign w:val="center"/>
                </w:tcPr>
                <w:p w14:paraId="7C5F92AC">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031" w:type="dxa"/>
                  <w:vMerge w:val="continue"/>
                  <w:tcBorders>
                    <w:left w:val="single" w:color="auto" w:sz="4" w:space="0"/>
                    <w:right w:val="single" w:color="auto" w:sz="4" w:space="0"/>
                  </w:tcBorders>
                  <w:shd w:val="clear" w:color="auto" w:fill="auto"/>
                  <w:noWrap w:val="0"/>
                  <w:vAlign w:val="center"/>
                </w:tcPr>
                <w:p w14:paraId="2532E52F">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9AEE8A">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lang w:eastAsia="zh-CN"/>
                    </w:rPr>
                    <w:t>机械过滤器</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941FB8">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lang w:val="en-US" w:eastAsia="zh-CN"/>
                    </w:rPr>
                    <w:t>GLP-800</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B95213">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lang w:eastAsia="zh-CN"/>
                    </w:rPr>
                    <w:t>台</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2227EA">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lang w:val="en-US" w:eastAsia="zh-CN"/>
                    </w:rPr>
                    <w:t>1</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4FBC4F">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r>
            <w:tr w14:paraId="6CF54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 w:hRule="atLeast"/>
              </w:trPr>
              <w:tc>
                <w:tcPr>
                  <w:tcW w:w="724" w:type="dxa"/>
                  <w:vMerge w:val="continue"/>
                  <w:tcBorders>
                    <w:left w:val="single" w:color="auto" w:sz="4" w:space="0"/>
                    <w:right w:val="single" w:color="auto" w:sz="4" w:space="0"/>
                  </w:tcBorders>
                  <w:shd w:val="clear" w:color="auto" w:fill="auto"/>
                  <w:noWrap w:val="0"/>
                  <w:vAlign w:val="center"/>
                </w:tcPr>
                <w:p w14:paraId="6CCC9405">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031" w:type="dxa"/>
                  <w:vMerge w:val="continue"/>
                  <w:tcBorders>
                    <w:left w:val="single" w:color="auto" w:sz="4" w:space="0"/>
                    <w:right w:val="single" w:color="auto" w:sz="4" w:space="0"/>
                  </w:tcBorders>
                  <w:shd w:val="clear" w:color="auto" w:fill="auto"/>
                  <w:noWrap w:val="0"/>
                  <w:vAlign w:val="center"/>
                </w:tcPr>
                <w:p w14:paraId="105787FD">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418998">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lang w:eastAsia="zh-CN"/>
                    </w:rPr>
                    <w:t>过滤提升泵</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E19C02">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3</w:t>
                  </w:r>
                  <w:r>
                    <w:rPr>
                      <w:rFonts w:hint="eastAsia"/>
                      <w:color w:val="000000"/>
                      <w:highlight w:val="none"/>
                      <w:lang w:eastAsia="zh-CN"/>
                    </w:rPr>
                    <w:t>m³</w:t>
                  </w:r>
                  <w:r>
                    <w:rPr>
                      <w:rFonts w:hint="eastAsia"/>
                      <w:color w:val="000000"/>
                      <w:highlight w:val="none"/>
                    </w:rPr>
                    <w:t>/h，15m</w:t>
                  </w:r>
                  <w:r>
                    <w:rPr>
                      <w:rFonts w:hint="eastAsia"/>
                      <w:color w:val="000000"/>
                      <w:highlight w:val="none"/>
                      <w:lang w:eastAsia="zh-CN"/>
                    </w:rPr>
                    <w:t>,</w:t>
                  </w:r>
                  <w:r>
                    <w:rPr>
                      <w:rFonts w:hint="eastAsia"/>
                      <w:color w:val="000000"/>
                      <w:highlight w:val="none"/>
                    </w:rPr>
                    <w:t>0.75</w:t>
                  </w:r>
                  <w:r>
                    <w:rPr>
                      <w:rFonts w:hint="eastAsia"/>
                      <w:color w:val="000000"/>
                      <w:highlight w:val="none"/>
                      <w:lang w:eastAsia="zh-CN"/>
                    </w:rPr>
                    <w:t>kW</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D424443">
                  <w:pPr>
                    <w:shd w:val="clear" w:color="auto" w:fill="auto"/>
                    <w:bidi w:val="0"/>
                    <w:jc w:val="center"/>
                    <w:rPr>
                      <w:rFonts w:hint="eastAsia"/>
                      <w:color w:val="000000"/>
                      <w:kern w:val="2"/>
                      <w:sz w:val="21"/>
                      <w:szCs w:val="21"/>
                      <w:highlight w:val="none"/>
                      <w:lang w:val="en-US" w:eastAsia="zh-CN" w:bidi="ar-SA"/>
                    </w:rPr>
                  </w:pPr>
                  <w:r>
                    <w:rPr>
                      <w:color w:val="000000"/>
                      <w:highlight w:val="none"/>
                    </w:rPr>
                    <w:t>台</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0D0F717">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2</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2C7B7E">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r>
            <w:tr w14:paraId="4C8FE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 w:hRule="atLeast"/>
              </w:trPr>
              <w:tc>
                <w:tcPr>
                  <w:tcW w:w="724" w:type="dxa"/>
                  <w:vMerge w:val="continue"/>
                  <w:tcBorders>
                    <w:left w:val="single" w:color="auto" w:sz="4" w:space="0"/>
                    <w:right w:val="single" w:color="auto" w:sz="4" w:space="0"/>
                  </w:tcBorders>
                  <w:shd w:val="clear" w:color="auto" w:fill="auto"/>
                  <w:noWrap w:val="0"/>
                  <w:vAlign w:val="center"/>
                </w:tcPr>
                <w:p w14:paraId="6B9D0FA3">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031" w:type="dxa"/>
                  <w:vMerge w:val="continue"/>
                  <w:tcBorders>
                    <w:left w:val="single" w:color="auto" w:sz="4" w:space="0"/>
                    <w:right w:val="single" w:color="auto" w:sz="4" w:space="0"/>
                  </w:tcBorders>
                  <w:shd w:val="clear" w:color="auto" w:fill="auto"/>
                  <w:noWrap w:val="0"/>
                  <w:vAlign w:val="center"/>
                </w:tcPr>
                <w:p w14:paraId="7221F058">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FE7F22C">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反洗泵</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93A05D">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5</w:t>
                  </w:r>
                  <w:r>
                    <w:rPr>
                      <w:rFonts w:hint="eastAsia"/>
                      <w:color w:val="000000"/>
                      <w:highlight w:val="none"/>
                      <w:lang w:eastAsia="zh-CN"/>
                    </w:rPr>
                    <w:t>m³</w:t>
                  </w:r>
                  <w:r>
                    <w:rPr>
                      <w:rFonts w:hint="eastAsia"/>
                      <w:color w:val="000000"/>
                      <w:highlight w:val="none"/>
                    </w:rPr>
                    <w:t>/h</w:t>
                  </w:r>
                  <w:r>
                    <w:rPr>
                      <w:rFonts w:hint="eastAsia"/>
                      <w:color w:val="000000"/>
                      <w:highlight w:val="none"/>
                      <w:lang w:eastAsia="zh-CN"/>
                    </w:rPr>
                    <w:t>,</w:t>
                  </w:r>
                  <w:r>
                    <w:rPr>
                      <w:rFonts w:hint="eastAsia"/>
                      <w:color w:val="000000"/>
                      <w:highlight w:val="none"/>
                    </w:rPr>
                    <w:t>15m</w:t>
                  </w:r>
                  <w:r>
                    <w:rPr>
                      <w:rFonts w:hint="eastAsia"/>
                      <w:color w:val="000000"/>
                      <w:highlight w:val="none"/>
                      <w:lang w:eastAsia="zh-CN"/>
                    </w:rPr>
                    <w:t>,</w:t>
                  </w:r>
                  <w:r>
                    <w:rPr>
                      <w:rFonts w:hint="eastAsia"/>
                      <w:color w:val="000000"/>
                      <w:highlight w:val="none"/>
                    </w:rPr>
                    <w:t>1.1</w:t>
                  </w:r>
                  <w:r>
                    <w:rPr>
                      <w:rFonts w:hint="eastAsia"/>
                      <w:color w:val="000000"/>
                      <w:highlight w:val="none"/>
                      <w:lang w:eastAsia="zh-CN"/>
                    </w:rPr>
                    <w:t>kW</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9DAECC5">
                  <w:pPr>
                    <w:shd w:val="clear" w:color="auto" w:fill="auto"/>
                    <w:bidi w:val="0"/>
                    <w:jc w:val="center"/>
                    <w:rPr>
                      <w:rFonts w:hint="eastAsia"/>
                      <w:color w:val="000000"/>
                      <w:kern w:val="2"/>
                      <w:sz w:val="21"/>
                      <w:szCs w:val="21"/>
                      <w:highlight w:val="none"/>
                      <w:lang w:val="en-US" w:eastAsia="zh-CN" w:bidi="ar-SA"/>
                    </w:rPr>
                  </w:pPr>
                  <w:r>
                    <w:rPr>
                      <w:color w:val="000000"/>
                      <w:highlight w:val="none"/>
                    </w:rPr>
                    <w:t>台</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A12BF4">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1</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6CFE5E">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r>
            <w:tr w14:paraId="260BC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 w:hRule="atLeast"/>
              </w:trPr>
              <w:tc>
                <w:tcPr>
                  <w:tcW w:w="724" w:type="dxa"/>
                  <w:vMerge w:val="continue"/>
                  <w:tcBorders>
                    <w:left w:val="single" w:color="auto" w:sz="4" w:space="0"/>
                    <w:right w:val="single" w:color="auto" w:sz="4" w:space="0"/>
                  </w:tcBorders>
                  <w:shd w:val="clear" w:color="auto" w:fill="auto"/>
                  <w:noWrap w:val="0"/>
                  <w:vAlign w:val="center"/>
                </w:tcPr>
                <w:p w14:paraId="7D768987">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031" w:type="dxa"/>
                  <w:vMerge w:val="continue"/>
                  <w:tcBorders>
                    <w:left w:val="single" w:color="auto" w:sz="4" w:space="0"/>
                    <w:right w:val="single" w:color="auto" w:sz="4" w:space="0"/>
                  </w:tcBorders>
                  <w:shd w:val="clear" w:color="auto" w:fill="auto"/>
                  <w:noWrap w:val="0"/>
                  <w:vAlign w:val="center"/>
                </w:tcPr>
                <w:p w14:paraId="3ABFE9E6">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824B67">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污泥泵</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BCEBD3">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3</w:t>
                  </w:r>
                  <w:r>
                    <w:rPr>
                      <w:rFonts w:hint="eastAsia"/>
                      <w:color w:val="000000"/>
                      <w:highlight w:val="none"/>
                      <w:lang w:eastAsia="zh-CN"/>
                    </w:rPr>
                    <w:t>m³</w:t>
                  </w:r>
                  <w:r>
                    <w:rPr>
                      <w:rFonts w:hint="eastAsia"/>
                      <w:color w:val="000000"/>
                      <w:highlight w:val="none"/>
                    </w:rPr>
                    <w:t>/h，15m</w:t>
                  </w:r>
                  <w:r>
                    <w:rPr>
                      <w:rFonts w:hint="eastAsia"/>
                      <w:color w:val="000000"/>
                      <w:highlight w:val="none"/>
                      <w:lang w:eastAsia="zh-CN"/>
                    </w:rPr>
                    <w:t>,</w:t>
                  </w:r>
                  <w:r>
                    <w:rPr>
                      <w:rFonts w:hint="eastAsia"/>
                      <w:color w:val="000000"/>
                      <w:highlight w:val="none"/>
                    </w:rPr>
                    <w:t>0.75</w:t>
                  </w:r>
                  <w:r>
                    <w:rPr>
                      <w:rFonts w:hint="eastAsia"/>
                      <w:color w:val="000000"/>
                      <w:highlight w:val="none"/>
                      <w:lang w:eastAsia="zh-CN"/>
                    </w:rPr>
                    <w:t>kW</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07C6B3">
                  <w:pPr>
                    <w:shd w:val="clear" w:color="auto" w:fill="auto"/>
                    <w:bidi w:val="0"/>
                    <w:jc w:val="center"/>
                    <w:rPr>
                      <w:rFonts w:hint="eastAsia"/>
                      <w:color w:val="000000"/>
                      <w:kern w:val="2"/>
                      <w:sz w:val="21"/>
                      <w:szCs w:val="21"/>
                      <w:highlight w:val="none"/>
                      <w:lang w:val="en-US" w:eastAsia="zh-CN" w:bidi="ar-SA"/>
                    </w:rPr>
                  </w:pPr>
                  <w:r>
                    <w:rPr>
                      <w:color w:val="000000"/>
                      <w:highlight w:val="none"/>
                    </w:rPr>
                    <w:t>台</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49A93E3">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1</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EBFDE21">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r>
            <w:tr w14:paraId="1DC08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PrEx>
              <w:trPr>
                <w:trHeight w:val="95" w:hRule="atLeast"/>
              </w:trPr>
              <w:tc>
                <w:tcPr>
                  <w:tcW w:w="724" w:type="dxa"/>
                  <w:vMerge w:val="continue"/>
                  <w:tcBorders>
                    <w:left w:val="single" w:color="auto" w:sz="4" w:space="0"/>
                    <w:right w:val="single" w:color="auto" w:sz="4" w:space="0"/>
                  </w:tcBorders>
                  <w:shd w:val="clear" w:color="auto" w:fill="auto"/>
                  <w:noWrap w:val="0"/>
                  <w:vAlign w:val="center"/>
                </w:tcPr>
                <w:p w14:paraId="0A9CB528">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031" w:type="dxa"/>
                  <w:vMerge w:val="continue"/>
                  <w:tcBorders>
                    <w:left w:val="single" w:color="auto" w:sz="4" w:space="0"/>
                    <w:right w:val="single" w:color="auto" w:sz="4" w:space="0"/>
                  </w:tcBorders>
                  <w:shd w:val="clear" w:color="auto" w:fill="auto"/>
                  <w:noWrap w:val="0"/>
                  <w:vAlign w:val="center"/>
                </w:tcPr>
                <w:p w14:paraId="202CF8CA">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E33534D">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紫外线消毒</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9B2BF75">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Q=3</w:t>
                  </w:r>
                  <w:r>
                    <w:rPr>
                      <w:rFonts w:hint="eastAsia"/>
                      <w:color w:val="000000"/>
                      <w:highlight w:val="none"/>
                      <w:lang w:eastAsia="zh-CN"/>
                    </w:rPr>
                    <w:t>m³</w:t>
                  </w:r>
                  <w:r>
                    <w:rPr>
                      <w:rFonts w:hint="eastAsia"/>
                      <w:color w:val="000000"/>
                      <w:highlight w:val="none"/>
                    </w:rPr>
                    <w:t>/h</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A8A6413">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套</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11A5B5">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1</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4A7267">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r>
            <w:tr w14:paraId="36132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 w:hRule="atLeast"/>
              </w:trPr>
              <w:tc>
                <w:tcPr>
                  <w:tcW w:w="724" w:type="dxa"/>
                  <w:vMerge w:val="continue"/>
                  <w:tcBorders>
                    <w:left w:val="single" w:color="auto" w:sz="4" w:space="0"/>
                    <w:right w:val="single" w:color="auto" w:sz="4" w:space="0"/>
                  </w:tcBorders>
                  <w:shd w:val="clear" w:color="auto" w:fill="auto"/>
                  <w:noWrap w:val="0"/>
                  <w:vAlign w:val="center"/>
                </w:tcPr>
                <w:p w14:paraId="2A7121BF">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031" w:type="dxa"/>
                  <w:vMerge w:val="continue"/>
                  <w:tcBorders>
                    <w:left w:val="single" w:color="auto" w:sz="4" w:space="0"/>
                    <w:right w:val="single" w:color="auto" w:sz="4" w:space="0"/>
                  </w:tcBorders>
                  <w:shd w:val="clear" w:color="auto" w:fill="auto"/>
                  <w:noWrap w:val="0"/>
                  <w:vAlign w:val="center"/>
                </w:tcPr>
                <w:p w14:paraId="7290C59F">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0310FD">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自动控制系统</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6E3970">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RDK-</w:t>
                  </w:r>
                  <w:r>
                    <w:t>Ⅱ</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6F2A50C">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套</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7A3D99">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1</w:t>
                  </w:r>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03EA386">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r>
            <w:tr w14:paraId="152E4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5" w:hRule="atLeast"/>
              </w:trPr>
              <w:tc>
                <w:tcPr>
                  <w:tcW w:w="724" w:type="dxa"/>
                  <w:vMerge w:val="continue"/>
                  <w:tcBorders>
                    <w:left w:val="single" w:color="auto" w:sz="4" w:space="0"/>
                    <w:right w:val="single" w:color="auto" w:sz="4" w:space="0"/>
                  </w:tcBorders>
                  <w:shd w:val="clear" w:color="auto" w:fill="auto"/>
                  <w:noWrap w:val="0"/>
                  <w:vAlign w:val="center"/>
                </w:tcPr>
                <w:p w14:paraId="0754EDA3">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031" w:type="dxa"/>
                  <w:vMerge w:val="continue"/>
                  <w:tcBorders>
                    <w:left w:val="single" w:color="auto" w:sz="4" w:space="0"/>
                    <w:right w:val="single" w:color="auto" w:sz="4" w:space="0"/>
                  </w:tcBorders>
                  <w:shd w:val="clear" w:color="auto" w:fill="auto"/>
                  <w:noWrap w:val="0"/>
                  <w:vAlign w:val="center"/>
                </w:tcPr>
                <w:p w14:paraId="7AAD762A">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c>
                <w:tcPr>
                  <w:tcW w:w="156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6A74A79">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除臭系统</w:t>
                  </w:r>
                </w:p>
              </w:tc>
              <w:tc>
                <w:tcPr>
                  <w:tcW w:w="16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18DEF2">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Q=5000</w:t>
                  </w:r>
                  <w:r>
                    <w:rPr>
                      <w:rFonts w:hint="eastAsia"/>
                      <w:color w:val="000000"/>
                      <w:highlight w:val="none"/>
                      <w:lang w:eastAsia="zh-CN"/>
                    </w:rPr>
                    <w:t>m³</w:t>
                  </w:r>
                  <w:r>
                    <w:rPr>
                      <w:rFonts w:hint="eastAsia"/>
                      <w:color w:val="000000"/>
                      <w:highlight w:val="none"/>
                    </w:rPr>
                    <w:t>/h</w:t>
                  </w:r>
                </w:p>
              </w:tc>
              <w:tc>
                <w:tcPr>
                  <w:tcW w:w="5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9B0DAA4">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套</w:t>
                  </w:r>
                </w:p>
              </w:tc>
              <w:tc>
                <w:tcPr>
                  <w:tcW w:w="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B5EA57">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1</w:t>
                  </w:r>
                  <w:bookmarkEnd w:id="21"/>
                </w:p>
              </w:tc>
              <w:tc>
                <w:tcPr>
                  <w:tcW w:w="1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A105203">
                  <w:pPr>
                    <w:keepNext w:val="0"/>
                    <w:keepLines w:val="0"/>
                    <w:pageBreakBefore w:val="0"/>
                    <w:widowControl w:val="0"/>
                    <w:shd w:val="clear" w:color="auto" w:fill="auto"/>
                    <w:kinsoku/>
                    <w:wordWrap/>
                    <w:overflowPunct/>
                    <w:topLinePunct w:val="0"/>
                    <w:autoSpaceDE/>
                    <w:autoSpaceDN/>
                    <w:bidi w:val="0"/>
                    <w:adjustRightInd/>
                    <w:snapToGrid w:val="0"/>
                    <w:spacing w:line="240" w:lineRule="atLeast"/>
                    <w:ind w:left="0" w:leftChars="0" w:right="0"/>
                    <w:jc w:val="center"/>
                    <w:textAlignment w:val="auto"/>
                    <w:rPr>
                      <w:rFonts w:hint="default" w:ascii="Times New Roman" w:hAnsi="Times New Roman" w:eastAsia="宋体" w:cs="Times New Roman"/>
                      <w:color w:val="000000"/>
                      <w:kern w:val="0"/>
                      <w:sz w:val="21"/>
                      <w:szCs w:val="21"/>
                      <w:highlight w:val="none"/>
                      <w:lang w:val="en-US" w:eastAsia="zh-CN"/>
                    </w:rPr>
                  </w:pPr>
                </w:p>
              </w:tc>
            </w:tr>
          </w:tbl>
          <w:p w14:paraId="28054405">
            <w:pPr>
              <w:widowControl/>
              <w:numPr>
                <w:ilvl w:val="0"/>
                <w:numId w:val="3"/>
              </w:numPr>
              <w:shd w:val="clear" w:color="auto" w:fill="auto"/>
              <w:adjustRightInd w:val="0"/>
              <w:snapToGrid w:val="0"/>
              <w:spacing w:line="360" w:lineRule="auto"/>
              <w:ind w:firstLine="422" w:firstLineChars="200"/>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产品方案</w:t>
            </w:r>
          </w:p>
          <w:p w14:paraId="03443802">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line="360" w:lineRule="auto"/>
              <w:ind w:leftChars="200"/>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本项目产品方案详见下表。</w:t>
            </w:r>
          </w:p>
          <w:p w14:paraId="4CDF143A">
            <w:pPr>
              <w:keepNext w:val="0"/>
              <w:keepLines w:val="0"/>
              <w:pageBreakBefore w:val="0"/>
              <w:shd w:val="clear" w:color="auto" w:fill="auto"/>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b/>
                <w:color w:val="000000"/>
                <w:sz w:val="21"/>
                <w:szCs w:val="21"/>
                <w:highlight w:val="none"/>
              </w:rPr>
              <w:t>表2-</w:t>
            </w:r>
            <w:r>
              <w:rPr>
                <w:rFonts w:hint="default" w:ascii="Times New Roman" w:hAnsi="Times New Roman" w:eastAsia="宋体" w:cs="Times New Roman"/>
                <w:b/>
                <w:color w:val="000000"/>
                <w:sz w:val="21"/>
                <w:szCs w:val="21"/>
                <w:highlight w:val="none"/>
                <w:lang w:val="en-US" w:eastAsia="zh-CN"/>
              </w:rPr>
              <w:t>4</w:t>
            </w:r>
            <w:r>
              <w:rPr>
                <w:rFonts w:hint="default" w:ascii="Times New Roman" w:hAnsi="Times New Roman" w:eastAsia="宋体" w:cs="Times New Roman"/>
                <w:b/>
                <w:color w:val="000000"/>
                <w:sz w:val="21"/>
                <w:szCs w:val="21"/>
                <w:highlight w:val="none"/>
              </w:rPr>
              <w:t xml:space="preserve">  项目产品方案一览表</w:t>
            </w:r>
          </w:p>
          <w:tbl>
            <w:tblPr>
              <w:tblStyle w:val="13"/>
              <w:tblW w:w="78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58"/>
              <w:gridCol w:w="1189"/>
              <w:gridCol w:w="951"/>
              <w:gridCol w:w="1411"/>
              <w:gridCol w:w="1421"/>
              <w:gridCol w:w="1305"/>
            </w:tblGrid>
            <w:tr w14:paraId="1FA4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558" w:type="dxa"/>
                  <w:shd w:val="clear" w:color="auto" w:fill="auto"/>
                  <w:noWrap w:val="0"/>
                  <w:vAlign w:val="top"/>
                </w:tcPr>
                <w:p w14:paraId="2201F9F1">
                  <w:pPr>
                    <w:shd w:val="clear" w:color="auto" w:fill="auto"/>
                    <w:bidi w:val="0"/>
                    <w:jc w:val="center"/>
                    <w:rPr>
                      <w:rFonts w:hint="default"/>
                      <w:b/>
                      <w:bCs/>
                      <w:color w:val="000000"/>
                      <w:highlight w:val="none"/>
                      <w:vertAlign w:val="baseline"/>
                      <w:lang w:val="en-US" w:eastAsia="zh-CN"/>
                    </w:rPr>
                  </w:pPr>
                  <w:r>
                    <w:rPr>
                      <w:rFonts w:hint="eastAsia"/>
                      <w:b/>
                      <w:bCs/>
                      <w:color w:val="000000"/>
                      <w:highlight w:val="none"/>
                      <w:vertAlign w:val="baseline"/>
                      <w:lang w:val="en-US" w:eastAsia="zh-CN"/>
                    </w:rPr>
                    <w:t>产品名称</w:t>
                  </w:r>
                </w:p>
              </w:tc>
              <w:tc>
                <w:tcPr>
                  <w:tcW w:w="1189" w:type="dxa"/>
                  <w:shd w:val="clear" w:color="auto" w:fill="auto"/>
                  <w:noWrap w:val="0"/>
                  <w:vAlign w:val="top"/>
                </w:tcPr>
                <w:p w14:paraId="2B1A6CE0">
                  <w:pPr>
                    <w:shd w:val="clear" w:color="auto" w:fill="auto"/>
                    <w:bidi w:val="0"/>
                    <w:jc w:val="center"/>
                    <w:rPr>
                      <w:rFonts w:hint="default"/>
                      <w:b/>
                      <w:bCs/>
                      <w:color w:val="000000"/>
                      <w:highlight w:val="none"/>
                      <w:vertAlign w:val="baseline"/>
                      <w:lang w:val="en-US" w:eastAsia="zh-CN"/>
                    </w:rPr>
                  </w:pPr>
                  <w:r>
                    <w:rPr>
                      <w:rFonts w:hint="eastAsia"/>
                      <w:b/>
                      <w:bCs/>
                      <w:color w:val="000000"/>
                      <w:highlight w:val="none"/>
                      <w:vertAlign w:val="baseline"/>
                      <w:lang w:val="en-US" w:eastAsia="zh-CN"/>
                    </w:rPr>
                    <w:t>规格</w:t>
                  </w:r>
                </w:p>
              </w:tc>
              <w:tc>
                <w:tcPr>
                  <w:tcW w:w="951" w:type="dxa"/>
                  <w:shd w:val="clear" w:color="auto" w:fill="auto"/>
                  <w:noWrap w:val="0"/>
                  <w:vAlign w:val="top"/>
                </w:tcPr>
                <w:p w14:paraId="1F02112E">
                  <w:pPr>
                    <w:shd w:val="clear" w:color="auto" w:fill="auto"/>
                    <w:bidi w:val="0"/>
                    <w:jc w:val="center"/>
                    <w:rPr>
                      <w:rFonts w:hint="default"/>
                      <w:b/>
                      <w:bCs/>
                      <w:color w:val="000000"/>
                      <w:highlight w:val="none"/>
                      <w:vertAlign w:val="baseline"/>
                      <w:lang w:val="en-US" w:eastAsia="zh-CN"/>
                    </w:rPr>
                  </w:pPr>
                  <w:r>
                    <w:rPr>
                      <w:rFonts w:hint="eastAsia"/>
                      <w:b/>
                      <w:bCs/>
                      <w:color w:val="000000"/>
                      <w:highlight w:val="none"/>
                      <w:vertAlign w:val="baseline"/>
                      <w:lang w:val="en-US" w:eastAsia="zh-CN"/>
                    </w:rPr>
                    <w:t>单位</w:t>
                  </w:r>
                </w:p>
              </w:tc>
              <w:tc>
                <w:tcPr>
                  <w:tcW w:w="1411" w:type="dxa"/>
                  <w:shd w:val="clear" w:color="auto" w:fill="auto"/>
                  <w:noWrap w:val="0"/>
                  <w:vAlign w:val="top"/>
                </w:tcPr>
                <w:p w14:paraId="181FBD89">
                  <w:pPr>
                    <w:shd w:val="clear" w:color="auto" w:fill="auto"/>
                    <w:bidi w:val="0"/>
                    <w:jc w:val="center"/>
                    <w:rPr>
                      <w:rFonts w:hint="default"/>
                      <w:b/>
                      <w:bCs/>
                      <w:color w:val="000000"/>
                      <w:highlight w:val="none"/>
                      <w:vertAlign w:val="baseline"/>
                      <w:lang w:val="en-US" w:eastAsia="zh-CN"/>
                    </w:rPr>
                  </w:pPr>
                  <w:r>
                    <w:rPr>
                      <w:rFonts w:hint="eastAsia"/>
                      <w:b/>
                      <w:bCs/>
                      <w:color w:val="000000"/>
                      <w:highlight w:val="none"/>
                      <w:vertAlign w:val="baseline"/>
                      <w:lang w:val="en-US" w:eastAsia="zh-CN"/>
                    </w:rPr>
                    <w:t>产量</w:t>
                  </w:r>
                </w:p>
              </w:tc>
              <w:tc>
                <w:tcPr>
                  <w:tcW w:w="1421" w:type="dxa"/>
                  <w:shd w:val="clear" w:color="auto" w:fill="auto"/>
                  <w:noWrap w:val="0"/>
                  <w:vAlign w:val="top"/>
                </w:tcPr>
                <w:p w14:paraId="7A1F2B40">
                  <w:pPr>
                    <w:shd w:val="clear" w:color="auto" w:fill="auto"/>
                    <w:bidi w:val="0"/>
                    <w:jc w:val="center"/>
                    <w:rPr>
                      <w:rFonts w:hint="default"/>
                      <w:b/>
                      <w:bCs/>
                      <w:color w:val="000000"/>
                      <w:highlight w:val="none"/>
                      <w:vertAlign w:val="baseline"/>
                      <w:lang w:val="en-US" w:eastAsia="zh-CN"/>
                    </w:rPr>
                  </w:pPr>
                  <w:r>
                    <w:rPr>
                      <w:rFonts w:hint="eastAsia"/>
                      <w:b/>
                      <w:bCs/>
                      <w:color w:val="000000"/>
                      <w:highlight w:val="none"/>
                      <w:vertAlign w:val="baseline"/>
                      <w:lang w:val="en-US" w:eastAsia="zh-CN"/>
                    </w:rPr>
                    <w:t>执行标准</w:t>
                  </w:r>
                </w:p>
              </w:tc>
              <w:tc>
                <w:tcPr>
                  <w:tcW w:w="1305" w:type="dxa"/>
                  <w:shd w:val="clear" w:color="auto" w:fill="auto"/>
                  <w:noWrap w:val="0"/>
                  <w:vAlign w:val="top"/>
                </w:tcPr>
                <w:p w14:paraId="06F98F3B">
                  <w:pPr>
                    <w:shd w:val="clear" w:color="auto" w:fill="auto"/>
                    <w:bidi w:val="0"/>
                    <w:jc w:val="center"/>
                    <w:rPr>
                      <w:rFonts w:hint="default"/>
                      <w:b/>
                      <w:bCs/>
                      <w:color w:val="000000"/>
                      <w:highlight w:val="none"/>
                      <w:vertAlign w:val="baseline"/>
                      <w:lang w:val="en-US" w:eastAsia="zh-CN"/>
                    </w:rPr>
                  </w:pPr>
                  <w:r>
                    <w:rPr>
                      <w:rFonts w:hint="eastAsia"/>
                      <w:b/>
                      <w:bCs/>
                      <w:color w:val="000000"/>
                      <w:highlight w:val="none"/>
                      <w:vertAlign w:val="baseline"/>
                      <w:lang w:val="en-US" w:eastAsia="zh-CN"/>
                    </w:rPr>
                    <w:t>备注</w:t>
                  </w:r>
                </w:p>
              </w:tc>
            </w:tr>
            <w:tr w14:paraId="084F5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558" w:type="dxa"/>
                  <w:shd w:val="clear" w:color="auto" w:fill="auto"/>
                  <w:noWrap w:val="0"/>
                  <w:vAlign w:val="center"/>
                </w:tcPr>
                <w:p w14:paraId="2DC85431">
                  <w:pPr>
                    <w:shd w:val="clear" w:color="auto" w:fill="auto"/>
                    <w:bidi w:val="0"/>
                    <w:jc w:val="center"/>
                    <w:rPr>
                      <w:rFonts w:hint="default"/>
                      <w:color w:val="000000"/>
                      <w:highlight w:val="none"/>
                      <w:vertAlign w:val="baseline"/>
                      <w:lang w:val="en-US" w:eastAsia="zh-CN"/>
                    </w:rPr>
                  </w:pPr>
                  <w:r>
                    <w:rPr>
                      <w:rFonts w:hint="eastAsia"/>
                      <w:color w:val="000000"/>
                      <w:highlight w:val="none"/>
                      <w:vertAlign w:val="baseline"/>
                      <w:lang w:val="en-US" w:eastAsia="zh-CN"/>
                    </w:rPr>
                    <w:t>白酒（原浆酒）</w:t>
                  </w:r>
                </w:p>
              </w:tc>
              <w:tc>
                <w:tcPr>
                  <w:tcW w:w="1189" w:type="dxa"/>
                  <w:shd w:val="clear" w:color="auto" w:fill="auto"/>
                  <w:noWrap w:val="0"/>
                  <w:vAlign w:val="center"/>
                </w:tcPr>
                <w:p w14:paraId="06EBED20">
                  <w:pPr>
                    <w:shd w:val="clear" w:color="auto" w:fill="auto"/>
                    <w:bidi w:val="0"/>
                    <w:jc w:val="center"/>
                    <w:rPr>
                      <w:rFonts w:hint="default"/>
                      <w:color w:val="000000"/>
                      <w:highlight w:val="none"/>
                      <w:vertAlign w:val="baseline"/>
                      <w:lang w:val="en-US" w:eastAsia="zh-CN"/>
                    </w:rPr>
                  </w:pPr>
                  <w:r>
                    <w:rPr>
                      <w:rFonts w:hint="eastAsia"/>
                      <w:color w:val="000000"/>
                      <w:highlight w:val="none"/>
                      <w:vertAlign w:val="baseline"/>
                      <w:lang w:val="en-US" w:eastAsia="zh-CN"/>
                    </w:rPr>
                    <w:t>酒精度为65%</w:t>
                  </w:r>
                </w:p>
              </w:tc>
              <w:tc>
                <w:tcPr>
                  <w:tcW w:w="951" w:type="dxa"/>
                  <w:shd w:val="clear" w:color="auto" w:fill="auto"/>
                  <w:noWrap w:val="0"/>
                  <w:vAlign w:val="center"/>
                </w:tcPr>
                <w:p w14:paraId="1536A925">
                  <w:pPr>
                    <w:shd w:val="clear" w:color="auto" w:fill="auto"/>
                    <w:bidi w:val="0"/>
                    <w:jc w:val="center"/>
                    <w:rPr>
                      <w:rFonts w:hint="default"/>
                      <w:color w:val="000000"/>
                      <w:highlight w:val="none"/>
                      <w:vertAlign w:val="baseline"/>
                      <w:lang w:val="en-US" w:eastAsia="zh-CN"/>
                    </w:rPr>
                  </w:pPr>
                  <w:r>
                    <w:rPr>
                      <w:rFonts w:hint="eastAsia"/>
                      <w:color w:val="000000"/>
                      <w:highlight w:val="none"/>
                      <w:vertAlign w:val="baseline"/>
                      <w:lang w:val="en-US" w:eastAsia="zh-CN"/>
                    </w:rPr>
                    <w:t>t/a</w:t>
                  </w:r>
                </w:p>
              </w:tc>
              <w:tc>
                <w:tcPr>
                  <w:tcW w:w="1411" w:type="dxa"/>
                  <w:shd w:val="clear" w:color="auto" w:fill="auto"/>
                  <w:noWrap w:val="0"/>
                  <w:vAlign w:val="center"/>
                </w:tcPr>
                <w:p w14:paraId="5CD9F0AF">
                  <w:pPr>
                    <w:shd w:val="clear" w:color="auto" w:fill="auto"/>
                    <w:bidi w:val="0"/>
                    <w:jc w:val="center"/>
                    <w:rPr>
                      <w:rFonts w:hint="default"/>
                      <w:color w:val="000000"/>
                      <w:highlight w:val="none"/>
                      <w:vertAlign w:val="baseline"/>
                      <w:lang w:val="en-US" w:eastAsia="zh-CN"/>
                    </w:rPr>
                  </w:pPr>
                  <w:r>
                    <w:rPr>
                      <w:rFonts w:hint="eastAsia"/>
                      <w:color w:val="000000"/>
                      <w:highlight w:val="none"/>
                      <w:vertAlign w:val="baseline"/>
                      <w:lang w:val="en-US" w:eastAsia="zh-CN"/>
                    </w:rPr>
                    <w:t>600(689.66)</w:t>
                  </w:r>
                </w:p>
              </w:tc>
              <w:tc>
                <w:tcPr>
                  <w:tcW w:w="1421" w:type="dxa"/>
                  <w:vMerge w:val="restart"/>
                  <w:shd w:val="clear" w:color="auto" w:fill="auto"/>
                  <w:noWrap w:val="0"/>
                  <w:vAlign w:val="center"/>
                </w:tcPr>
                <w:p w14:paraId="2430BC76">
                  <w:pPr>
                    <w:shd w:val="clear" w:color="auto" w:fill="auto"/>
                    <w:bidi w:val="0"/>
                    <w:jc w:val="center"/>
                    <w:rPr>
                      <w:rFonts w:hint="default"/>
                      <w:color w:val="000000"/>
                      <w:highlight w:val="none"/>
                      <w:vertAlign w:val="baseline"/>
                      <w:lang w:val="en-US" w:eastAsia="zh-CN"/>
                    </w:rPr>
                  </w:pPr>
                  <w:r>
                    <w:rPr>
                      <w:rFonts w:hint="default" w:ascii="Times New Roman" w:hAnsi="Times New Roman" w:eastAsia="宋体" w:cs="Times New Roman"/>
                      <w:color w:val="000000"/>
                      <w:sz w:val="21"/>
                      <w:szCs w:val="21"/>
                      <w:highlight w:val="none"/>
                      <w:lang w:val="en-US" w:eastAsia="zh-CN"/>
                    </w:rPr>
                    <w:t>GB/T14867-2007</w:t>
                  </w:r>
                </w:p>
              </w:tc>
              <w:tc>
                <w:tcPr>
                  <w:tcW w:w="1305" w:type="dxa"/>
                  <w:shd w:val="clear" w:color="auto" w:fill="auto"/>
                  <w:noWrap w:val="0"/>
                  <w:vAlign w:val="center"/>
                </w:tcPr>
                <w:p w14:paraId="4E4B56B9">
                  <w:pPr>
                    <w:shd w:val="clear" w:color="auto" w:fill="auto"/>
                    <w:bidi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原浆酒保留10%</w:t>
                  </w:r>
                </w:p>
              </w:tc>
            </w:tr>
            <w:tr w14:paraId="7A38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8" w:hRule="atLeast"/>
              </w:trPr>
              <w:tc>
                <w:tcPr>
                  <w:tcW w:w="1558" w:type="dxa"/>
                  <w:shd w:val="clear" w:color="auto" w:fill="auto"/>
                  <w:noWrap w:val="0"/>
                  <w:vAlign w:val="center"/>
                </w:tcPr>
                <w:p w14:paraId="3A14F7BE">
                  <w:pPr>
                    <w:shd w:val="clear" w:color="auto" w:fill="auto"/>
                    <w:bidi w:val="0"/>
                    <w:jc w:val="center"/>
                    <w:rPr>
                      <w:rFonts w:hint="default"/>
                      <w:color w:val="000000"/>
                      <w:highlight w:val="none"/>
                      <w:vertAlign w:val="baseline"/>
                      <w:lang w:val="en-US" w:eastAsia="zh-CN"/>
                    </w:rPr>
                  </w:pPr>
                  <w:r>
                    <w:rPr>
                      <w:rFonts w:hint="eastAsia"/>
                      <w:color w:val="000000"/>
                      <w:highlight w:val="none"/>
                      <w:vertAlign w:val="baseline"/>
                      <w:lang w:val="en-US" w:eastAsia="zh-CN"/>
                    </w:rPr>
                    <w:t>成品酒</w:t>
                  </w:r>
                </w:p>
              </w:tc>
              <w:tc>
                <w:tcPr>
                  <w:tcW w:w="1189" w:type="dxa"/>
                  <w:shd w:val="clear" w:color="auto" w:fill="auto"/>
                  <w:noWrap w:val="0"/>
                  <w:vAlign w:val="center"/>
                </w:tcPr>
                <w:p w14:paraId="7812D98F">
                  <w:pPr>
                    <w:shd w:val="clear" w:color="auto" w:fill="auto"/>
                    <w:bidi w:val="0"/>
                    <w:jc w:val="center"/>
                    <w:rPr>
                      <w:rFonts w:hint="default"/>
                      <w:color w:val="000000"/>
                      <w:highlight w:val="none"/>
                      <w:vertAlign w:val="baseline"/>
                      <w:lang w:val="en-US" w:eastAsia="zh-CN"/>
                    </w:rPr>
                  </w:pPr>
                  <w:r>
                    <w:rPr>
                      <w:rFonts w:hint="eastAsia"/>
                      <w:color w:val="000000"/>
                      <w:highlight w:val="none"/>
                      <w:vertAlign w:val="baseline"/>
                      <w:lang w:val="en-US" w:eastAsia="zh-CN"/>
                    </w:rPr>
                    <w:t>酒精度为45%</w:t>
                  </w:r>
                </w:p>
              </w:tc>
              <w:tc>
                <w:tcPr>
                  <w:tcW w:w="951" w:type="dxa"/>
                  <w:shd w:val="clear" w:color="auto" w:fill="auto"/>
                  <w:noWrap w:val="0"/>
                  <w:vAlign w:val="center"/>
                </w:tcPr>
                <w:p w14:paraId="69E48568">
                  <w:pPr>
                    <w:shd w:val="clear" w:color="auto" w:fill="auto"/>
                    <w:bidi w:val="0"/>
                    <w:jc w:val="center"/>
                    <w:rPr>
                      <w:rFonts w:hint="eastAsia"/>
                      <w:color w:val="000000"/>
                      <w:highlight w:val="none"/>
                      <w:vertAlign w:val="baseline"/>
                      <w:lang w:val="en-US" w:eastAsia="zh-CN"/>
                    </w:rPr>
                  </w:pPr>
                  <w:r>
                    <w:rPr>
                      <w:rFonts w:hint="eastAsia"/>
                      <w:color w:val="000000"/>
                      <w:highlight w:val="none"/>
                      <w:vertAlign w:val="baseline"/>
                      <w:lang w:val="en-US" w:eastAsia="zh-CN"/>
                    </w:rPr>
                    <w:t>t/a</w:t>
                  </w:r>
                </w:p>
              </w:tc>
              <w:tc>
                <w:tcPr>
                  <w:tcW w:w="1411" w:type="dxa"/>
                  <w:shd w:val="clear" w:color="auto" w:fill="auto"/>
                  <w:noWrap w:val="0"/>
                  <w:vAlign w:val="center"/>
                </w:tcPr>
                <w:p w14:paraId="053FB9FC">
                  <w:pPr>
                    <w:shd w:val="clear" w:color="auto" w:fill="auto"/>
                    <w:bidi w:val="0"/>
                    <w:jc w:val="center"/>
                    <w:rPr>
                      <w:rFonts w:hint="default"/>
                      <w:color w:val="000000"/>
                      <w:highlight w:val="none"/>
                      <w:vertAlign w:val="baseline"/>
                      <w:lang w:val="en-US" w:eastAsia="zh-CN"/>
                    </w:rPr>
                  </w:pPr>
                  <w:r>
                    <w:rPr>
                      <w:rFonts w:hint="eastAsia"/>
                      <w:color w:val="000000"/>
                      <w:highlight w:val="none"/>
                      <w:vertAlign w:val="baseline"/>
                      <w:lang w:val="en-US" w:eastAsia="zh-CN"/>
                    </w:rPr>
                    <w:t>345.6(379.78)</w:t>
                  </w:r>
                </w:p>
              </w:tc>
              <w:tc>
                <w:tcPr>
                  <w:tcW w:w="1421" w:type="dxa"/>
                  <w:vMerge w:val="continue"/>
                  <w:shd w:val="clear" w:color="auto" w:fill="auto"/>
                  <w:noWrap w:val="0"/>
                  <w:vAlign w:val="center"/>
                </w:tcPr>
                <w:p w14:paraId="736C3300">
                  <w:pPr>
                    <w:shd w:val="clear" w:color="auto" w:fill="auto"/>
                    <w:bidi w:val="0"/>
                    <w:jc w:val="center"/>
                    <w:rPr>
                      <w:rFonts w:hint="default" w:ascii="Times New Roman" w:hAnsi="Times New Roman" w:eastAsia="宋体" w:cs="Times New Roman"/>
                      <w:color w:val="000000"/>
                      <w:sz w:val="21"/>
                      <w:szCs w:val="21"/>
                      <w:highlight w:val="none"/>
                      <w:lang w:val="en-US" w:eastAsia="zh-CN"/>
                    </w:rPr>
                  </w:pPr>
                </w:p>
              </w:tc>
              <w:tc>
                <w:tcPr>
                  <w:tcW w:w="1305" w:type="dxa"/>
                  <w:shd w:val="clear" w:color="auto" w:fill="auto"/>
                  <w:noWrap w:val="0"/>
                  <w:vAlign w:val="center"/>
                </w:tcPr>
                <w:p w14:paraId="5AC5618E">
                  <w:pPr>
                    <w:shd w:val="clear" w:color="auto" w:fill="auto"/>
                    <w:bidi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占</w:t>
                  </w:r>
                  <w:r>
                    <w:t>原浆酒的</w:t>
                  </w:r>
                  <w:r>
                    <w:rPr>
                      <w:rFonts w:hint="eastAsia" w:ascii="Times New Roman" w:hAnsi="Times New Roman" w:eastAsia="宋体" w:cs="Times New Roman"/>
                      <w:color w:val="000000"/>
                      <w:sz w:val="21"/>
                      <w:szCs w:val="21"/>
                      <w:highlight w:val="none"/>
                      <w:lang w:val="en-US" w:eastAsia="zh-CN"/>
                    </w:rPr>
                    <w:t>40%</w:t>
                  </w:r>
                </w:p>
              </w:tc>
            </w:tr>
            <w:tr w14:paraId="5645B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1558" w:type="dxa"/>
                  <w:shd w:val="clear" w:color="auto" w:fill="auto"/>
                  <w:noWrap w:val="0"/>
                  <w:vAlign w:val="center"/>
                </w:tcPr>
                <w:p w14:paraId="29DB8991">
                  <w:pPr>
                    <w:shd w:val="clear" w:color="auto" w:fill="auto"/>
                    <w:bidi w:val="0"/>
                    <w:jc w:val="center"/>
                    <w:rPr>
                      <w:rFonts w:hint="eastAsia"/>
                      <w:color w:val="000000"/>
                      <w:highlight w:val="none"/>
                      <w:vertAlign w:val="baseline"/>
                      <w:lang w:val="en-US" w:eastAsia="zh-CN"/>
                    </w:rPr>
                  </w:pPr>
                  <w:r>
                    <w:rPr>
                      <w:rFonts w:hint="eastAsia"/>
                      <w:color w:val="000000"/>
                      <w:highlight w:val="none"/>
                      <w:vertAlign w:val="baseline"/>
                      <w:lang w:val="en-US" w:eastAsia="zh-CN"/>
                    </w:rPr>
                    <w:t>成品酒</w:t>
                  </w:r>
                </w:p>
              </w:tc>
              <w:tc>
                <w:tcPr>
                  <w:tcW w:w="1189" w:type="dxa"/>
                  <w:shd w:val="clear" w:color="auto" w:fill="auto"/>
                  <w:noWrap w:val="0"/>
                  <w:vAlign w:val="center"/>
                </w:tcPr>
                <w:p w14:paraId="239764B0">
                  <w:pPr>
                    <w:shd w:val="clear" w:color="auto" w:fill="auto"/>
                    <w:bidi w:val="0"/>
                    <w:jc w:val="center"/>
                    <w:rPr>
                      <w:rFonts w:hint="default"/>
                      <w:color w:val="000000"/>
                      <w:highlight w:val="none"/>
                      <w:vertAlign w:val="baseline"/>
                      <w:lang w:val="en-US" w:eastAsia="zh-CN"/>
                    </w:rPr>
                  </w:pPr>
                  <w:r>
                    <w:rPr>
                      <w:rFonts w:hint="eastAsia"/>
                      <w:color w:val="000000"/>
                      <w:highlight w:val="none"/>
                      <w:vertAlign w:val="baseline"/>
                      <w:lang w:val="en-US" w:eastAsia="zh-CN"/>
                    </w:rPr>
                    <w:t>酒精度为55%</w:t>
                  </w:r>
                </w:p>
              </w:tc>
              <w:tc>
                <w:tcPr>
                  <w:tcW w:w="951" w:type="dxa"/>
                  <w:shd w:val="clear" w:color="auto" w:fill="auto"/>
                  <w:noWrap w:val="0"/>
                  <w:vAlign w:val="center"/>
                </w:tcPr>
                <w:p w14:paraId="45E16A66">
                  <w:pPr>
                    <w:shd w:val="clear" w:color="auto" w:fill="auto"/>
                    <w:bidi w:val="0"/>
                    <w:jc w:val="center"/>
                    <w:rPr>
                      <w:rFonts w:hint="eastAsia"/>
                      <w:color w:val="000000"/>
                      <w:highlight w:val="none"/>
                      <w:vertAlign w:val="baseline"/>
                      <w:lang w:val="en-US" w:eastAsia="zh-CN"/>
                    </w:rPr>
                  </w:pPr>
                  <w:r>
                    <w:rPr>
                      <w:rFonts w:hint="eastAsia"/>
                      <w:color w:val="000000"/>
                      <w:highlight w:val="none"/>
                      <w:vertAlign w:val="baseline"/>
                      <w:lang w:val="en-US" w:eastAsia="zh-CN"/>
                    </w:rPr>
                    <w:t>t/a</w:t>
                  </w:r>
                </w:p>
              </w:tc>
              <w:tc>
                <w:tcPr>
                  <w:tcW w:w="1411" w:type="dxa"/>
                  <w:shd w:val="clear" w:color="auto" w:fill="auto"/>
                  <w:noWrap w:val="0"/>
                  <w:vAlign w:val="center"/>
                </w:tcPr>
                <w:p w14:paraId="4BF94CA2">
                  <w:pPr>
                    <w:shd w:val="clear" w:color="auto" w:fill="auto"/>
                    <w:bidi w:val="0"/>
                    <w:jc w:val="center"/>
                    <w:rPr>
                      <w:rFonts w:hint="default"/>
                      <w:color w:val="000000"/>
                      <w:highlight w:val="none"/>
                      <w:vertAlign w:val="baseline"/>
                      <w:lang w:val="en-US" w:eastAsia="zh-CN"/>
                    </w:rPr>
                  </w:pPr>
                  <w:r>
                    <w:rPr>
                      <w:rFonts w:hint="eastAsia"/>
                      <w:color w:val="000000"/>
                      <w:highlight w:val="none"/>
                      <w:vertAlign w:val="baseline"/>
                      <w:lang w:val="en-US" w:eastAsia="zh-CN"/>
                    </w:rPr>
                    <w:t>315(353.93)</w:t>
                  </w:r>
                </w:p>
              </w:tc>
              <w:tc>
                <w:tcPr>
                  <w:tcW w:w="1421" w:type="dxa"/>
                  <w:vMerge w:val="continue"/>
                  <w:shd w:val="clear" w:color="auto" w:fill="auto"/>
                  <w:noWrap w:val="0"/>
                  <w:vAlign w:val="center"/>
                </w:tcPr>
                <w:p w14:paraId="5FCD815A">
                  <w:pPr>
                    <w:shd w:val="clear" w:color="auto" w:fill="auto"/>
                    <w:bidi w:val="0"/>
                    <w:jc w:val="center"/>
                    <w:rPr>
                      <w:rFonts w:hint="default" w:ascii="Times New Roman" w:hAnsi="Times New Roman" w:eastAsia="宋体" w:cs="Times New Roman"/>
                      <w:color w:val="000000"/>
                      <w:sz w:val="21"/>
                      <w:szCs w:val="21"/>
                      <w:highlight w:val="none"/>
                      <w:lang w:val="en-US" w:eastAsia="zh-CN"/>
                    </w:rPr>
                  </w:pPr>
                </w:p>
              </w:tc>
              <w:tc>
                <w:tcPr>
                  <w:tcW w:w="1305" w:type="dxa"/>
                  <w:shd w:val="clear" w:color="auto" w:fill="auto"/>
                  <w:noWrap w:val="0"/>
                  <w:vAlign w:val="center"/>
                </w:tcPr>
                <w:p w14:paraId="5810938B">
                  <w:pPr>
                    <w:shd w:val="clear" w:color="auto" w:fill="auto"/>
                    <w:bidi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占</w:t>
                  </w:r>
                  <w:r>
                    <w:t>原浆酒的</w:t>
                  </w:r>
                  <w:r>
                    <w:rPr>
                      <w:rFonts w:hint="eastAsia" w:ascii="Times New Roman" w:hAnsi="Times New Roman" w:eastAsia="宋体" w:cs="Times New Roman"/>
                      <w:color w:val="000000"/>
                      <w:sz w:val="21"/>
                      <w:szCs w:val="21"/>
                      <w:highlight w:val="none"/>
                      <w:lang w:val="en-US" w:eastAsia="zh-CN"/>
                    </w:rPr>
                    <w:t>50%</w:t>
                  </w:r>
                </w:p>
              </w:tc>
            </w:tr>
          </w:tbl>
          <w:p w14:paraId="63275A05">
            <w:pPr>
              <w:keepNext w:val="0"/>
              <w:keepLines w:val="0"/>
              <w:widowControl/>
              <w:suppressLineNumbers w:val="0"/>
              <w:shd w:val="clear" w:color="auto" w:fill="auto"/>
              <w:spacing w:line="360" w:lineRule="auto"/>
              <w:ind w:firstLine="420" w:firstLineChars="200"/>
              <w:jc w:val="left"/>
              <w:rPr>
                <w:b/>
                <w:bCs/>
                <w:color w:val="000000"/>
                <w:highlight w:val="none"/>
              </w:rPr>
            </w:pPr>
            <w:r>
              <w:rPr>
                <w:rFonts w:hint="eastAsia" w:ascii="Times New Roman" w:hAnsi="Times New Roman" w:eastAsia="宋体" w:cs="Times New Roman"/>
                <w:color w:val="000000"/>
                <w:sz w:val="21"/>
                <w:szCs w:val="21"/>
                <w:highlight w:val="none"/>
                <w:lang w:val="en-US" w:eastAsia="zh-CN"/>
              </w:rPr>
              <w:t>本项目生产的白酒为凤香型，执行《凤香型白酒》（</w:t>
            </w:r>
            <w:r>
              <w:rPr>
                <w:rFonts w:hint="default" w:ascii="Times New Roman" w:hAnsi="Times New Roman" w:eastAsia="宋体" w:cs="Times New Roman"/>
                <w:color w:val="000000"/>
                <w:sz w:val="21"/>
                <w:szCs w:val="21"/>
                <w:highlight w:val="none"/>
                <w:lang w:val="en-US" w:eastAsia="zh-CN"/>
              </w:rPr>
              <w:t>GB/T14867-2007</w:t>
            </w:r>
            <w:r>
              <w:rPr>
                <w:rFonts w:hint="eastAsia" w:ascii="Times New Roman" w:hAnsi="Times New Roman" w:eastAsia="宋体" w:cs="Times New Roman"/>
                <w:color w:val="000000"/>
                <w:sz w:val="21"/>
                <w:szCs w:val="21"/>
                <w:highlight w:val="none"/>
                <w:lang w:val="en-US" w:eastAsia="zh-CN"/>
              </w:rPr>
              <w:t>）</w:t>
            </w:r>
            <w:r>
              <w:t>标准中的</w:t>
            </w:r>
            <w:r>
              <w:rPr>
                <w:rFonts w:hint="eastAsia" w:ascii="Times New Roman" w:hAnsi="Times New Roman" w:eastAsia="宋体" w:cs="Times New Roman"/>
                <w:color w:val="000000"/>
                <w:sz w:val="21"/>
                <w:szCs w:val="21"/>
                <w:highlight w:val="none"/>
                <w:lang w:val="en-US" w:eastAsia="zh-CN"/>
              </w:rPr>
              <w:t>优级标准，具体质量指标见表2-5。</w:t>
            </w:r>
          </w:p>
          <w:p w14:paraId="549CD616">
            <w:pPr>
              <w:shd w:val="clear" w:color="auto" w:fill="auto"/>
              <w:bidi w:val="0"/>
              <w:jc w:val="center"/>
              <w:rPr>
                <w:b/>
                <w:bCs/>
                <w:color w:val="000000"/>
                <w:highlight w:val="none"/>
              </w:rPr>
            </w:pPr>
            <w:r>
              <w:rPr>
                <w:b/>
                <w:bCs/>
                <w:color w:val="000000"/>
                <w:highlight w:val="none"/>
              </w:rPr>
              <w:t xml:space="preserve">表 </w:t>
            </w:r>
            <w:r>
              <w:rPr>
                <w:rFonts w:hint="eastAsia"/>
                <w:b/>
                <w:bCs/>
                <w:color w:val="000000"/>
                <w:highlight w:val="none"/>
                <w:lang w:val="en-US" w:eastAsia="zh-CN"/>
              </w:rPr>
              <w:t>2-5</w:t>
            </w:r>
            <w:r>
              <w:rPr>
                <w:b/>
                <w:bCs/>
                <w:color w:val="000000"/>
                <w:highlight w:val="none"/>
              </w:rPr>
              <w:t xml:space="preserve">   产品质量指标一览表</w:t>
            </w:r>
          </w:p>
          <w:tbl>
            <w:tblPr>
              <w:tblStyle w:val="14"/>
              <w:tblW w:w="77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315"/>
              <w:gridCol w:w="1932"/>
              <w:gridCol w:w="4549"/>
            </w:tblGrid>
            <w:tr w14:paraId="4F6CC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50" w:hRule="atLeast"/>
              </w:trPr>
              <w:tc>
                <w:tcPr>
                  <w:tcW w:w="7796" w:type="dxa"/>
                  <w:gridSpan w:val="3"/>
                  <w:tcBorders>
                    <w:tl2br w:val="nil"/>
                    <w:tr2bl w:val="nil"/>
                  </w:tcBorders>
                  <w:shd w:val="clear" w:color="auto" w:fill="auto"/>
                  <w:noWrap w:val="0"/>
                  <w:vAlign w:val="top"/>
                </w:tcPr>
                <w:p w14:paraId="432A52D5">
                  <w:pPr>
                    <w:pStyle w:val="205"/>
                    <w:shd w:val="clear" w:color="auto" w:fill="auto"/>
                    <w:spacing w:before="69" w:line="228" w:lineRule="auto"/>
                    <w:ind w:left="3405"/>
                    <w:rPr>
                      <w:color w:val="000000"/>
                      <w:sz w:val="21"/>
                      <w:szCs w:val="21"/>
                      <w:highlight w:val="none"/>
                    </w:rPr>
                  </w:pPr>
                  <w:r>
                    <w:rPr>
                      <w:color w:val="000000"/>
                      <w:spacing w:val="8"/>
                      <w:sz w:val="21"/>
                      <w:szCs w:val="21"/>
                      <w:highlight w:val="none"/>
                    </w:rPr>
                    <w:t>高度酒</w:t>
                  </w:r>
                  <w:r>
                    <w:rPr>
                      <w:rFonts w:hint="eastAsia"/>
                      <w:color w:val="000000"/>
                      <w:spacing w:val="8"/>
                      <w:sz w:val="21"/>
                      <w:szCs w:val="21"/>
                      <w:highlight w:val="none"/>
                      <w:lang w:val="en-US" w:eastAsia="zh-CN"/>
                    </w:rPr>
                    <w:t>的</w:t>
                  </w:r>
                  <w:r>
                    <w:rPr>
                      <w:color w:val="000000"/>
                      <w:spacing w:val="8"/>
                      <w:sz w:val="21"/>
                      <w:szCs w:val="21"/>
                      <w:highlight w:val="none"/>
                    </w:rPr>
                    <w:t>感官要求</w:t>
                  </w:r>
                </w:p>
              </w:tc>
            </w:tr>
            <w:tr w14:paraId="67F9F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2" w:hRule="atLeast"/>
              </w:trPr>
              <w:tc>
                <w:tcPr>
                  <w:tcW w:w="1315" w:type="dxa"/>
                  <w:tcBorders>
                    <w:tl2br w:val="nil"/>
                    <w:tr2bl w:val="nil"/>
                  </w:tcBorders>
                  <w:shd w:val="clear" w:color="auto" w:fill="auto"/>
                  <w:noWrap w:val="0"/>
                  <w:vAlign w:val="top"/>
                </w:tcPr>
                <w:p w14:paraId="4FA28AC3">
                  <w:pPr>
                    <w:pStyle w:val="205"/>
                    <w:shd w:val="clear" w:color="auto" w:fill="auto"/>
                    <w:spacing w:before="64" w:line="229" w:lineRule="auto"/>
                    <w:ind w:left="441"/>
                    <w:rPr>
                      <w:color w:val="000000"/>
                      <w:sz w:val="21"/>
                      <w:szCs w:val="21"/>
                      <w:highlight w:val="none"/>
                    </w:rPr>
                  </w:pPr>
                  <w:r>
                    <w:rPr>
                      <w:color w:val="000000"/>
                      <w:spacing w:val="3"/>
                      <w:sz w:val="21"/>
                      <w:szCs w:val="21"/>
                      <w:highlight w:val="none"/>
                    </w:rPr>
                    <w:t>项目</w:t>
                  </w:r>
                </w:p>
              </w:tc>
              <w:tc>
                <w:tcPr>
                  <w:tcW w:w="6481" w:type="dxa"/>
                  <w:gridSpan w:val="2"/>
                  <w:tcBorders>
                    <w:tl2br w:val="nil"/>
                    <w:tr2bl w:val="nil"/>
                  </w:tcBorders>
                  <w:shd w:val="clear" w:color="auto" w:fill="auto"/>
                  <w:noWrap w:val="0"/>
                  <w:vAlign w:val="top"/>
                </w:tcPr>
                <w:p w14:paraId="131CD92E">
                  <w:pPr>
                    <w:pStyle w:val="205"/>
                    <w:shd w:val="clear" w:color="auto" w:fill="auto"/>
                    <w:spacing w:before="64" w:line="228" w:lineRule="auto"/>
                    <w:ind w:left="3270"/>
                    <w:rPr>
                      <w:color w:val="000000"/>
                      <w:sz w:val="21"/>
                      <w:szCs w:val="21"/>
                      <w:highlight w:val="none"/>
                    </w:rPr>
                  </w:pPr>
                  <w:r>
                    <w:rPr>
                      <w:color w:val="000000"/>
                      <w:spacing w:val="5"/>
                      <w:sz w:val="21"/>
                      <w:szCs w:val="21"/>
                      <w:highlight w:val="none"/>
                    </w:rPr>
                    <w:t>优级</w:t>
                  </w:r>
                </w:p>
              </w:tc>
            </w:tr>
            <w:tr w14:paraId="337D6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3" w:hRule="atLeast"/>
              </w:trPr>
              <w:tc>
                <w:tcPr>
                  <w:tcW w:w="1315" w:type="dxa"/>
                  <w:tcBorders>
                    <w:tl2br w:val="nil"/>
                    <w:tr2bl w:val="nil"/>
                  </w:tcBorders>
                  <w:shd w:val="clear" w:color="auto" w:fill="auto"/>
                  <w:noWrap w:val="0"/>
                  <w:vAlign w:val="top"/>
                </w:tcPr>
                <w:p w14:paraId="24AD552F">
                  <w:pPr>
                    <w:pStyle w:val="205"/>
                    <w:shd w:val="clear" w:color="auto" w:fill="auto"/>
                    <w:spacing w:before="67" w:line="229" w:lineRule="auto"/>
                    <w:ind w:left="126"/>
                    <w:rPr>
                      <w:color w:val="000000"/>
                      <w:sz w:val="21"/>
                      <w:szCs w:val="21"/>
                      <w:highlight w:val="none"/>
                    </w:rPr>
                  </w:pPr>
                  <w:r>
                    <w:rPr>
                      <w:color w:val="000000"/>
                      <w:spacing w:val="7"/>
                      <w:sz w:val="21"/>
                      <w:szCs w:val="21"/>
                      <w:highlight w:val="none"/>
                    </w:rPr>
                    <w:t>色泽和外观</w:t>
                  </w:r>
                </w:p>
              </w:tc>
              <w:tc>
                <w:tcPr>
                  <w:tcW w:w="6481" w:type="dxa"/>
                  <w:gridSpan w:val="2"/>
                  <w:tcBorders>
                    <w:tl2br w:val="nil"/>
                    <w:tr2bl w:val="nil"/>
                  </w:tcBorders>
                  <w:shd w:val="clear" w:color="auto" w:fill="auto"/>
                  <w:noWrap w:val="0"/>
                  <w:vAlign w:val="top"/>
                </w:tcPr>
                <w:p w14:paraId="228FFC6C">
                  <w:pPr>
                    <w:pStyle w:val="205"/>
                    <w:shd w:val="clear" w:color="auto" w:fill="auto"/>
                    <w:spacing w:before="67" w:line="228" w:lineRule="auto"/>
                    <w:ind w:left="1487"/>
                    <w:rPr>
                      <w:rFonts w:hint="eastAsia" w:eastAsia="宋体"/>
                      <w:color w:val="000000"/>
                      <w:sz w:val="21"/>
                      <w:szCs w:val="21"/>
                      <w:highlight w:val="none"/>
                      <w:lang w:eastAsia="zh-CN"/>
                    </w:rPr>
                  </w:pPr>
                  <w:r>
                    <w:rPr>
                      <w:color w:val="000000"/>
                      <w:spacing w:val="9"/>
                      <w:sz w:val="21"/>
                      <w:szCs w:val="21"/>
                      <w:highlight w:val="none"/>
                    </w:rPr>
                    <w:t>无色或微黄、清亮透明，无悬浮物，无沉淀</w:t>
                  </w:r>
                  <w:r>
                    <w:rPr>
                      <w:rFonts w:hint="eastAsia"/>
                      <w:lang w:eastAsia="zh-CN"/>
                    </w:rPr>
                    <w:t>。</w:t>
                  </w:r>
                </w:p>
              </w:tc>
            </w:tr>
            <w:tr w14:paraId="4F39F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3" w:hRule="atLeast"/>
              </w:trPr>
              <w:tc>
                <w:tcPr>
                  <w:tcW w:w="1315" w:type="dxa"/>
                  <w:tcBorders>
                    <w:tl2br w:val="nil"/>
                    <w:tr2bl w:val="nil"/>
                  </w:tcBorders>
                  <w:shd w:val="clear" w:color="auto" w:fill="auto"/>
                  <w:noWrap w:val="0"/>
                  <w:vAlign w:val="top"/>
                </w:tcPr>
                <w:p w14:paraId="2C3A1551">
                  <w:pPr>
                    <w:pStyle w:val="205"/>
                    <w:shd w:val="clear" w:color="auto" w:fill="auto"/>
                    <w:spacing w:before="69" w:line="230" w:lineRule="auto"/>
                    <w:ind w:left="440"/>
                    <w:rPr>
                      <w:color w:val="000000"/>
                      <w:sz w:val="21"/>
                      <w:szCs w:val="21"/>
                      <w:highlight w:val="none"/>
                    </w:rPr>
                  </w:pPr>
                  <w:r>
                    <w:rPr>
                      <w:color w:val="000000"/>
                      <w:spacing w:val="3"/>
                      <w:sz w:val="21"/>
                      <w:szCs w:val="21"/>
                      <w:highlight w:val="none"/>
                    </w:rPr>
                    <w:t>香气</w:t>
                  </w:r>
                </w:p>
              </w:tc>
              <w:tc>
                <w:tcPr>
                  <w:tcW w:w="6481" w:type="dxa"/>
                  <w:gridSpan w:val="2"/>
                  <w:tcBorders>
                    <w:tl2br w:val="nil"/>
                    <w:tr2bl w:val="nil"/>
                  </w:tcBorders>
                  <w:shd w:val="clear" w:color="auto" w:fill="auto"/>
                  <w:noWrap w:val="0"/>
                  <w:vAlign w:val="top"/>
                </w:tcPr>
                <w:p w14:paraId="487B72E5">
                  <w:pPr>
                    <w:pStyle w:val="205"/>
                    <w:shd w:val="clear" w:color="auto" w:fill="auto"/>
                    <w:spacing w:before="69" w:line="229" w:lineRule="auto"/>
                    <w:ind w:left="1276"/>
                    <w:rPr>
                      <w:rFonts w:hint="eastAsia" w:eastAsia="宋体"/>
                      <w:color w:val="000000"/>
                      <w:sz w:val="21"/>
                      <w:szCs w:val="21"/>
                      <w:highlight w:val="none"/>
                      <w:lang w:eastAsia="zh-CN"/>
                    </w:rPr>
                  </w:pPr>
                  <w:r>
                    <w:rPr>
                      <w:color w:val="000000"/>
                      <w:spacing w:val="9"/>
                      <w:sz w:val="21"/>
                      <w:szCs w:val="21"/>
                      <w:highlight w:val="none"/>
                    </w:rPr>
                    <w:t>醇香秀雅，具有乙酸乙酯和己酸乙酯的复合香气</w:t>
                  </w:r>
                  <w:r>
                    <w:rPr>
                      <w:rFonts w:hint="eastAsia"/>
                      <w:lang w:eastAsia="zh-CN"/>
                    </w:rPr>
                    <w:t>。</w:t>
                  </w:r>
                </w:p>
              </w:tc>
            </w:tr>
            <w:tr w14:paraId="770E4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3" w:hRule="atLeast"/>
              </w:trPr>
              <w:tc>
                <w:tcPr>
                  <w:tcW w:w="1315" w:type="dxa"/>
                  <w:tcBorders>
                    <w:tl2br w:val="nil"/>
                    <w:tr2bl w:val="nil"/>
                  </w:tcBorders>
                  <w:shd w:val="clear" w:color="auto" w:fill="auto"/>
                  <w:noWrap w:val="0"/>
                  <w:vAlign w:val="top"/>
                </w:tcPr>
                <w:p w14:paraId="3EB68726">
                  <w:pPr>
                    <w:pStyle w:val="205"/>
                    <w:shd w:val="clear" w:color="auto" w:fill="auto"/>
                    <w:spacing w:before="71" w:line="229" w:lineRule="auto"/>
                    <w:ind w:left="470"/>
                    <w:rPr>
                      <w:color w:val="000000"/>
                      <w:sz w:val="21"/>
                      <w:szCs w:val="21"/>
                      <w:highlight w:val="none"/>
                    </w:rPr>
                  </w:pPr>
                  <w:r>
                    <w:rPr>
                      <w:color w:val="000000"/>
                      <w:spacing w:val="-12"/>
                      <w:sz w:val="21"/>
                      <w:szCs w:val="21"/>
                      <w:highlight w:val="none"/>
                    </w:rPr>
                    <w:t>口味</w:t>
                  </w:r>
                </w:p>
              </w:tc>
              <w:tc>
                <w:tcPr>
                  <w:tcW w:w="6481" w:type="dxa"/>
                  <w:gridSpan w:val="2"/>
                  <w:tcBorders>
                    <w:tl2br w:val="nil"/>
                    <w:tr2bl w:val="nil"/>
                  </w:tcBorders>
                  <w:shd w:val="clear" w:color="auto" w:fill="auto"/>
                  <w:noWrap w:val="0"/>
                  <w:vAlign w:val="top"/>
                </w:tcPr>
                <w:p w14:paraId="6BE4726E">
                  <w:pPr>
                    <w:pStyle w:val="205"/>
                    <w:shd w:val="clear" w:color="auto" w:fill="auto"/>
                    <w:spacing w:before="72" w:line="228" w:lineRule="auto"/>
                    <w:ind w:left="1489"/>
                    <w:rPr>
                      <w:rFonts w:hint="eastAsia" w:eastAsia="宋体"/>
                      <w:color w:val="000000"/>
                      <w:sz w:val="21"/>
                      <w:szCs w:val="21"/>
                      <w:highlight w:val="none"/>
                      <w:lang w:eastAsia="zh-CN"/>
                    </w:rPr>
                  </w:pPr>
                  <w:r>
                    <w:rPr>
                      <w:color w:val="000000"/>
                      <w:spacing w:val="9"/>
                      <w:sz w:val="21"/>
                      <w:szCs w:val="21"/>
                      <w:highlight w:val="none"/>
                    </w:rPr>
                    <w:t>酒体丰满、甘润挺爽、诸味</w:t>
                  </w:r>
                  <w:r>
                    <w:rPr>
                      <w:rFonts w:hint="eastAsia"/>
                      <w:color w:val="000000"/>
                      <w:spacing w:val="9"/>
                      <w:sz w:val="21"/>
                      <w:szCs w:val="21"/>
                      <w:highlight w:val="none"/>
                      <w:lang w:val="en-US" w:eastAsia="zh-CN"/>
                    </w:rPr>
                    <w:t>谐调</w:t>
                  </w:r>
                  <w:r>
                    <w:rPr>
                      <w:color w:val="000000"/>
                      <w:spacing w:val="9"/>
                      <w:sz w:val="21"/>
                      <w:szCs w:val="21"/>
                      <w:highlight w:val="none"/>
                    </w:rPr>
                    <w:t>，尾净悠长</w:t>
                  </w:r>
                  <w:r>
                    <w:rPr>
                      <w:rFonts w:hint="eastAsia"/>
                      <w:lang w:eastAsia="zh-CN"/>
                    </w:rPr>
                    <w:t>。</w:t>
                  </w:r>
                </w:p>
              </w:tc>
            </w:tr>
            <w:tr w14:paraId="5B3AA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3" w:hRule="atLeast"/>
              </w:trPr>
              <w:tc>
                <w:tcPr>
                  <w:tcW w:w="1315" w:type="dxa"/>
                  <w:tcBorders>
                    <w:tl2br w:val="nil"/>
                    <w:tr2bl w:val="nil"/>
                  </w:tcBorders>
                  <w:shd w:val="clear" w:color="auto" w:fill="auto"/>
                  <w:noWrap w:val="0"/>
                  <w:vAlign w:val="top"/>
                </w:tcPr>
                <w:p w14:paraId="27D2A0CA">
                  <w:pPr>
                    <w:pStyle w:val="205"/>
                    <w:shd w:val="clear" w:color="auto" w:fill="auto"/>
                    <w:spacing w:before="74" w:line="228" w:lineRule="auto"/>
                    <w:ind w:left="439"/>
                    <w:rPr>
                      <w:color w:val="000000"/>
                      <w:sz w:val="21"/>
                      <w:szCs w:val="21"/>
                      <w:highlight w:val="none"/>
                    </w:rPr>
                  </w:pPr>
                  <w:r>
                    <w:rPr>
                      <w:color w:val="000000"/>
                      <w:spacing w:val="4"/>
                      <w:sz w:val="21"/>
                      <w:szCs w:val="21"/>
                      <w:highlight w:val="none"/>
                    </w:rPr>
                    <w:t>风格</w:t>
                  </w:r>
                </w:p>
              </w:tc>
              <w:tc>
                <w:tcPr>
                  <w:tcW w:w="6481" w:type="dxa"/>
                  <w:gridSpan w:val="2"/>
                  <w:tcBorders>
                    <w:tl2br w:val="nil"/>
                    <w:tr2bl w:val="nil"/>
                  </w:tcBorders>
                  <w:shd w:val="clear" w:color="auto" w:fill="auto"/>
                  <w:noWrap w:val="0"/>
                  <w:vAlign w:val="top"/>
                </w:tcPr>
                <w:p w14:paraId="3450558C">
                  <w:pPr>
                    <w:pStyle w:val="205"/>
                    <w:shd w:val="clear" w:color="auto" w:fill="auto"/>
                    <w:spacing w:before="73" w:line="228" w:lineRule="auto"/>
                    <w:ind w:left="2538"/>
                    <w:rPr>
                      <w:color w:val="000000"/>
                      <w:sz w:val="21"/>
                      <w:szCs w:val="21"/>
                      <w:highlight w:val="none"/>
                    </w:rPr>
                  </w:pPr>
                  <w:r>
                    <w:rPr>
                      <w:color w:val="000000"/>
                      <w:spacing w:val="8"/>
                      <w:sz w:val="21"/>
                      <w:szCs w:val="21"/>
                      <w:highlight w:val="none"/>
                    </w:rPr>
                    <w:t>具有本品典型的风格</w:t>
                  </w:r>
                </w:p>
              </w:tc>
            </w:tr>
            <w:tr w14:paraId="3A47B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3" w:hRule="atLeast"/>
              </w:trPr>
              <w:tc>
                <w:tcPr>
                  <w:tcW w:w="7796" w:type="dxa"/>
                  <w:gridSpan w:val="3"/>
                  <w:tcBorders>
                    <w:tl2br w:val="nil"/>
                    <w:tr2bl w:val="nil"/>
                  </w:tcBorders>
                  <w:shd w:val="clear" w:color="auto" w:fill="auto"/>
                  <w:noWrap w:val="0"/>
                  <w:vAlign w:val="top"/>
                </w:tcPr>
                <w:p w14:paraId="0A848E04">
                  <w:pPr>
                    <w:pStyle w:val="205"/>
                    <w:shd w:val="clear" w:color="auto" w:fill="auto"/>
                    <w:spacing w:before="76" w:line="228" w:lineRule="auto"/>
                    <w:ind w:left="3405"/>
                    <w:rPr>
                      <w:color w:val="000000"/>
                      <w:sz w:val="21"/>
                      <w:szCs w:val="21"/>
                      <w:highlight w:val="none"/>
                    </w:rPr>
                  </w:pPr>
                  <w:r>
                    <w:rPr>
                      <w:color w:val="000000"/>
                      <w:spacing w:val="8"/>
                      <w:sz w:val="21"/>
                      <w:szCs w:val="21"/>
                      <w:highlight w:val="none"/>
                    </w:rPr>
                    <w:t>高度酒</w:t>
                  </w:r>
                  <w:r>
                    <w:rPr>
                      <w:rFonts w:hint="eastAsia"/>
                      <w:color w:val="000000"/>
                      <w:spacing w:val="8"/>
                      <w:sz w:val="21"/>
                      <w:szCs w:val="21"/>
                      <w:highlight w:val="none"/>
                      <w:lang w:val="en-US" w:eastAsia="zh-CN"/>
                    </w:rPr>
                    <w:t>的</w:t>
                  </w:r>
                  <w:r>
                    <w:rPr>
                      <w:color w:val="000000"/>
                      <w:spacing w:val="8"/>
                      <w:sz w:val="21"/>
                      <w:szCs w:val="21"/>
                      <w:highlight w:val="none"/>
                    </w:rPr>
                    <w:t>理化要求</w:t>
                  </w:r>
                </w:p>
              </w:tc>
            </w:tr>
            <w:tr w14:paraId="2A1BB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3" w:hRule="atLeast"/>
              </w:trPr>
              <w:tc>
                <w:tcPr>
                  <w:tcW w:w="3247" w:type="dxa"/>
                  <w:gridSpan w:val="2"/>
                  <w:tcBorders>
                    <w:tl2br w:val="nil"/>
                    <w:tr2bl w:val="nil"/>
                  </w:tcBorders>
                  <w:shd w:val="clear" w:color="auto" w:fill="auto"/>
                  <w:noWrap w:val="0"/>
                  <w:vAlign w:val="top"/>
                </w:tcPr>
                <w:p w14:paraId="073E0B73">
                  <w:pPr>
                    <w:pStyle w:val="205"/>
                    <w:shd w:val="clear" w:color="auto" w:fill="auto"/>
                    <w:spacing w:before="78" w:line="229" w:lineRule="auto"/>
                    <w:ind w:left="1411"/>
                    <w:rPr>
                      <w:color w:val="000000"/>
                      <w:sz w:val="21"/>
                      <w:szCs w:val="21"/>
                      <w:highlight w:val="none"/>
                    </w:rPr>
                  </w:pPr>
                  <w:r>
                    <w:rPr>
                      <w:color w:val="000000"/>
                      <w:spacing w:val="3"/>
                      <w:sz w:val="21"/>
                      <w:szCs w:val="21"/>
                      <w:highlight w:val="none"/>
                    </w:rPr>
                    <w:t>项目</w:t>
                  </w:r>
                </w:p>
              </w:tc>
              <w:tc>
                <w:tcPr>
                  <w:tcW w:w="4549" w:type="dxa"/>
                  <w:tcBorders>
                    <w:tl2br w:val="nil"/>
                    <w:tr2bl w:val="nil"/>
                  </w:tcBorders>
                  <w:shd w:val="clear" w:color="auto" w:fill="auto"/>
                  <w:noWrap w:val="0"/>
                  <w:vAlign w:val="top"/>
                </w:tcPr>
                <w:p w14:paraId="3C80C786">
                  <w:pPr>
                    <w:pStyle w:val="205"/>
                    <w:shd w:val="clear" w:color="auto" w:fill="auto"/>
                    <w:spacing w:before="78" w:line="228" w:lineRule="auto"/>
                    <w:jc w:val="center"/>
                    <w:rPr>
                      <w:color w:val="000000"/>
                      <w:sz w:val="21"/>
                      <w:szCs w:val="21"/>
                      <w:highlight w:val="none"/>
                    </w:rPr>
                  </w:pPr>
                  <w:r>
                    <w:rPr>
                      <w:color w:val="000000"/>
                      <w:spacing w:val="5"/>
                      <w:sz w:val="21"/>
                      <w:szCs w:val="21"/>
                      <w:highlight w:val="none"/>
                    </w:rPr>
                    <w:t>优级</w:t>
                  </w:r>
                </w:p>
              </w:tc>
            </w:tr>
            <w:tr w14:paraId="02BB1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3247" w:type="dxa"/>
                  <w:gridSpan w:val="2"/>
                  <w:tcBorders>
                    <w:tl2br w:val="nil"/>
                    <w:tr2bl w:val="nil"/>
                  </w:tcBorders>
                  <w:shd w:val="clear" w:color="auto" w:fill="auto"/>
                  <w:noWrap w:val="0"/>
                  <w:vAlign w:val="top"/>
                </w:tcPr>
                <w:p w14:paraId="04AF431A">
                  <w:pPr>
                    <w:pStyle w:val="205"/>
                    <w:shd w:val="clear" w:color="auto" w:fill="auto"/>
                    <w:spacing w:before="49" w:line="274" w:lineRule="exact"/>
                    <w:ind w:left="1057"/>
                    <w:rPr>
                      <w:rFonts w:ascii="Times New Roman" w:hAnsi="Times New Roman" w:eastAsia="Times New Roman" w:cs="Times New Roman"/>
                      <w:color w:val="000000"/>
                      <w:sz w:val="21"/>
                      <w:szCs w:val="21"/>
                      <w:highlight w:val="none"/>
                    </w:rPr>
                  </w:pPr>
                  <w:r>
                    <w:rPr>
                      <w:color w:val="000000"/>
                      <w:spacing w:val="8"/>
                      <w:position w:val="1"/>
                      <w:sz w:val="21"/>
                      <w:szCs w:val="21"/>
                      <w:highlight w:val="none"/>
                    </w:rPr>
                    <w:t>酒精度</w:t>
                  </w:r>
                  <w:r>
                    <w:rPr>
                      <w:rFonts w:ascii="Times New Roman" w:hAnsi="Times New Roman" w:eastAsia="Times New Roman" w:cs="Times New Roman"/>
                      <w:color w:val="000000"/>
                      <w:spacing w:val="8"/>
                      <w:position w:val="1"/>
                      <w:sz w:val="21"/>
                      <w:szCs w:val="21"/>
                      <w:highlight w:val="none"/>
                    </w:rPr>
                    <w:t>/%vol</w:t>
                  </w:r>
                </w:p>
              </w:tc>
              <w:tc>
                <w:tcPr>
                  <w:tcW w:w="4549" w:type="dxa"/>
                  <w:tcBorders>
                    <w:tl2br w:val="nil"/>
                    <w:tr2bl w:val="nil"/>
                  </w:tcBorders>
                  <w:shd w:val="clear" w:color="auto" w:fill="auto"/>
                  <w:noWrap w:val="0"/>
                  <w:vAlign w:val="top"/>
                </w:tcPr>
                <w:p w14:paraId="312E0509">
                  <w:pPr>
                    <w:pStyle w:val="205"/>
                    <w:shd w:val="clear" w:color="auto" w:fill="auto"/>
                    <w:spacing w:before="80" w:line="233" w:lineRule="auto"/>
                    <w:jc w:val="center"/>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5"/>
                      <w:sz w:val="21"/>
                      <w:szCs w:val="21"/>
                      <w:highlight w:val="none"/>
                    </w:rPr>
                    <w:t>41</w:t>
                  </w:r>
                  <w:r>
                    <w:rPr>
                      <w:rFonts w:hint="eastAsia" w:ascii="Times New Roman" w:hAnsi="Times New Roman" w:eastAsia="宋体" w:cs="Times New Roman"/>
                      <w:color w:val="000000"/>
                      <w:spacing w:val="5"/>
                      <w:sz w:val="21"/>
                      <w:szCs w:val="21"/>
                      <w:highlight w:val="none"/>
                      <w:lang w:eastAsia="zh-CN"/>
                    </w:rPr>
                    <w:t>~</w:t>
                  </w:r>
                  <w:r>
                    <w:rPr>
                      <w:rFonts w:ascii="Times New Roman" w:hAnsi="Times New Roman" w:eastAsia="Times New Roman" w:cs="Times New Roman"/>
                      <w:color w:val="000000"/>
                      <w:spacing w:val="5"/>
                      <w:sz w:val="21"/>
                      <w:szCs w:val="21"/>
                      <w:highlight w:val="none"/>
                    </w:rPr>
                    <w:t>68</w:t>
                  </w:r>
                </w:p>
              </w:tc>
            </w:tr>
            <w:tr w14:paraId="15D04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3" w:hRule="atLeast"/>
              </w:trPr>
              <w:tc>
                <w:tcPr>
                  <w:tcW w:w="3247" w:type="dxa"/>
                  <w:gridSpan w:val="2"/>
                  <w:tcBorders>
                    <w:tl2br w:val="nil"/>
                    <w:tr2bl w:val="nil"/>
                  </w:tcBorders>
                  <w:shd w:val="clear" w:color="auto" w:fill="auto"/>
                  <w:noWrap w:val="0"/>
                  <w:vAlign w:val="top"/>
                </w:tcPr>
                <w:p w14:paraId="2D26116C">
                  <w:pPr>
                    <w:pStyle w:val="205"/>
                    <w:shd w:val="clear" w:color="auto" w:fill="auto"/>
                    <w:spacing w:before="49" w:line="274" w:lineRule="exact"/>
                    <w:ind w:left="181"/>
                    <w:rPr>
                      <w:rFonts w:ascii="Times New Roman" w:hAnsi="Times New Roman" w:eastAsia="Times New Roman" w:cs="Times New Roman"/>
                      <w:color w:val="000000"/>
                      <w:sz w:val="21"/>
                      <w:szCs w:val="21"/>
                      <w:highlight w:val="none"/>
                    </w:rPr>
                  </w:pPr>
                  <w:r>
                    <w:rPr>
                      <w:color w:val="000000"/>
                      <w:spacing w:val="6"/>
                      <w:position w:val="2"/>
                      <w:sz w:val="21"/>
                      <w:szCs w:val="21"/>
                      <w:highlight w:val="none"/>
                    </w:rPr>
                    <w:t>总酸（以乙酸计）</w:t>
                  </w:r>
                  <w:r>
                    <w:rPr>
                      <w:rFonts w:ascii="Times New Roman" w:hAnsi="Times New Roman" w:eastAsia="Times New Roman" w:cs="Times New Roman"/>
                      <w:color w:val="000000"/>
                      <w:spacing w:val="6"/>
                      <w:position w:val="2"/>
                      <w:sz w:val="21"/>
                      <w:szCs w:val="21"/>
                      <w:highlight w:val="none"/>
                    </w:rPr>
                    <w:t>/</w:t>
                  </w:r>
                  <w:r>
                    <w:rPr>
                      <w:color w:val="000000"/>
                      <w:spacing w:val="6"/>
                      <w:position w:val="2"/>
                      <w:sz w:val="21"/>
                      <w:szCs w:val="21"/>
                      <w:highlight w:val="none"/>
                    </w:rPr>
                    <w:t>（</w:t>
                  </w:r>
                  <w:r>
                    <w:rPr>
                      <w:rFonts w:ascii="Times New Roman" w:hAnsi="Times New Roman" w:eastAsia="Times New Roman" w:cs="Times New Roman"/>
                      <w:color w:val="000000"/>
                      <w:spacing w:val="6"/>
                      <w:position w:val="2"/>
                      <w:sz w:val="21"/>
                      <w:szCs w:val="21"/>
                      <w:highlight w:val="none"/>
                    </w:rPr>
                    <w:t>g/L</w:t>
                  </w:r>
                  <w:r>
                    <w:rPr>
                      <w:color w:val="000000"/>
                      <w:spacing w:val="6"/>
                      <w:position w:val="2"/>
                      <w:sz w:val="21"/>
                      <w:szCs w:val="21"/>
                      <w:highlight w:val="none"/>
                    </w:rPr>
                    <w:t xml:space="preserve">） </w:t>
                  </w:r>
                  <w:r>
                    <w:rPr>
                      <w:rFonts w:ascii="Times New Roman" w:hAnsi="Times New Roman" w:eastAsia="Times New Roman" w:cs="Times New Roman"/>
                      <w:color w:val="000000"/>
                      <w:spacing w:val="6"/>
                      <w:position w:val="2"/>
                      <w:sz w:val="21"/>
                      <w:szCs w:val="21"/>
                      <w:highlight w:val="none"/>
                    </w:rPr>
                    <w:t>≥</w:t>
                  </w:r>
                </w:p>
              </w:tc>
              <w:tc>
                <w:tcPr>
                  <w:tcW w:w="4549" w:type="dxa"/>
                  <w:tcBorders>
                    <w:tl2br w:val="nil"/>
                    <w:tr2bl w:val="nil"/>
                  </w:tcBorders>
                  <w:shd w:val="clear" w:color="auto" w:fill="auto"/>
                  <w:noWrap w:val="0"/>
                  <w:vAlign w:val="top"/>
                </w:tcPr>
                <w:p w14:paraId="5FC16103">
                  <w:pPr>
                    <w:shd w:val="clear" w:color="auto" w:fill="auto"/>
                    <w:spacing w:before="118" w:line="195" w:lineRule="auto"/>
                    <w:jc w:val="center"/>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2"/>
                      <w:sz w:val="21"/>
                      <w:szCs w:val="21"/>
                      <w:highlight w:val="none"/>
                    </w:rPr>
                    <w:t>0.35</w:t>
                  </w:r>
                </w:p>
              </w:tc>
            </w:tr>
            <w:tr w14:paraId="47B22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3" w:hRule="atLeast"/>
              </w:trPr>
              <w:tc>
                <w:tcPr>
                  <w:tcW w:w="3247" w:type="dxa"/>
                  <w:gridSpan w:val="2"/>
                  <w:tcBorders>
                    <w:tl2br w:val="nil"/>
                    <w:tr2bl w:val="nil"/>
                  </w:tcBorders>
                  <w:shd w:val="clear" w:color="auto" w:fill="auto"/>
                  <w:noWrap w:val="0"/>
                  <w:vAlign w:val="top"/>
                </w:tcPr>
                <w:p w14:paraId="77A927F2">
                  <w:pPr>
                    <w:pStyle w:val="205"/>
                    <w:shd w:val="clear" w:color="auto" w:fill="auto"/>
                    <w:spacing w:before="51" w:line="274" w:lineRule="exact"/>
                    <w:ind w:left="129"/>
                    <w:rPr>
                      <w:rFonts w:ascii="Times New Roman" w:hAnsi="Times New Roman" w:eastAsia="Times New Roman" w:cs="Times New Roman"/>
                      <w:color w:val="000000"/>
                      <w:sz w:val="21"/>
                      <w:szCs w:val="21"/>
                      <w:highlight w:val="none"/>
                    </w:rPr>
                  </w:pPr>
                  <w:r>
                    <w:rPr>
                      <w:color w:val="000000"/>
                      <w:spacing w:val="7"/>
                      <w:position w:val="2"/>
                      <w:sz w:val="21"/>
                      <w:szCs w:val="21"/>
                      <w:highlight w:val="none"/>
                    </w:rPr>
                    <w:t>总酯（以乙酸乙酯计）</w:t>
                  </w:r>
                  <w:r>
                    <w:rPr>
                      <w:rFonts w:ascii="Times New Roman" w:hAnsi="Times New Roman" w:eastAsia="Times New Roman" w:cs="Times New Roman"/>
                      <w:color w:val="000000"/>
                      <w:spacing w:val="7"/>
                      <w:position w:val="2"/>
                      <w:sz w:val="21"/>
                      <w:szCs w:val="21"/>
                      <w:highlight w:val="none"/>
                    </w:rPr>
                    <w:t>/</w:t>
                  </w:r>
                  <w:r>
                    <w:rPr>
                      <w:color w:val="000000"/>
                      <w:spacing w:val="7"/>
                      <w:position w:val="2"/>
                      <w:sz w:val="21"/>
                      <w:szCs w:val="21"/>
                      <w:highlight w:val="none"/>
                    </w:rPr>
                    <w:t>（</w:t>
                  </w:r>
                  <w:r>
                    <w:rPr>
                      <w:rFonts w:ascii="Times New Roman" w:hAnsi="Times New Roman" w:eastAsia="Times New Roman" w:cs="Times New Roman"/>
                      <w:color w:val="000000"/>
                      <w:spacing w:val="7"/>
                      <w:position w:val="2"/>
                      <w:sz w:val="21"/>
                      <w:szCs w:val="21"/>
                      <w:highlight w:val="none"/>
                    </w:rPr>
                    <w:t>g/L</w:t>
                  </w:r>
                  <w:r>
                    <w:rPr>
                      <w:color w:val="000000"/>
                      <w:spacing w:val="7"/>
                      <w:position w:val="2"/>
                      <w:sz w:val="21"/>
                      <w:szCs w:val="21"/>
                      <w:highlight w:val="none"/>
                    </w:rPr>
                    <w:t>）</w:t>
                  </w:r>
                  <w:r>
                    <w:rPr>
                      <w:rFonts w:hint="eastAsia"/>
                      <w:color w:val="000000"/>
                      <w:spacing w:val="7"/>
                      <w:position w:val="2"/>
                      <w:sz w:val="21"/>
                      <w:szCs w:val="21"/>
                      <w:highlight w:val="none"/>
                      <w:lang w:val="en-US" w:eastAsia="zh-CN"/>
                    </w:rPr>
                    <w:t xml:space="preserve"> </w:t>
                  </w:r>
                  <w:r>
                    <w:rPr>
                      <w:rFonts w:ascii="Times New Roman" w:hAnsi="Times New Roman" w:eastAsia="Times New Roman" w:cs="Times New Roman"/>
                      <w:color w:val="000000"/>
                      <w:spacing w:val="7"/>
                      <w:position w:val="2"/>
                      <w:sz w:val="21"/>
                      <w:szCs w:val="21"/>
                      <w:highlight w:val="none"/>
                    </w:rPr>
                    <w:t>≥</w:t>
                  </w:r>
                </w:p>
              </w:tc>
              <w:tc>
                <w:tcPr>
                  <w:tcW w:w="4549" w:type="dxa"/>
                  <w:tcBorders>
                    <w:tl2br w:val="nil"/>
                    <w:tr2bl w:val="nil"/>
                  </w:tcBorders>
                  <w:shd w:val="clear" w:color="auto" w:fill="auto"/>
                  <w:noWrap w:val="0"/>
                  <w:vAlign w:val="top"/>
                </w:tcPr>
                <w:p w14:paraId="1A896D50">
                  <w:pPr>
                    <w:shd w:val="clear" w:color="auto" w:fill="auto"/>
                    <w:spacing w:before="120" w:line="195" w:lineRule="auto"/>
                    <w:jc w:val="center"/>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3"/>
                      <w:sz w:val="21"/>
                      <w:szCs w:val="21"/>
                      <w:highlight w:val="none"/>
                    </w:rPr>
                    <w:t>1.60</w:t>
                  </w:r>
                </w:p>
              </w:tc>
            </w:tr>
            <w:tr w14:paraId="396FC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3247" w:type="dxa"/>
                  <w:gridSpan w:val="2"/>
                  <w:tcBorders>
                    <w:tl2br w:val="nil"/>
                    <w:tr2bl w:val="nil"/>
                  </w:tcBorders>
                  <w:shd w:val="clear" w:color="auto" w:fill="auto"/>
                  <w:noWrap w:val="0"/>
                  <w:vAlign w:val="top"/>
                </w:tcPr>
                <w:p w14:paraId="22D3B206">
                  <w:pPr>
                    <w:pStyle w:val="205"/>
                    <w:shd w:val="clear" w:color="auto" w:fill="auto"/>
                    <w:spacing w:before="53" w:line="275" w:lineRule="exact"/>
                    <w:ind w:left="249"/>
                    <w:rPr>
                      <w:rFonts w:ascii="Times New Roman" w:hAnsi="Times New Roman" w:eastAsia="Times New Roman" w:cs="Times New Roman"/>
                      <w:color w:val="000000"/>
                      <w:sz w:val="21"/>
                      <w:szCs w:val="21"/>
                      <w:highlight w:val="none"/>
                    </w:rPr>
                  </w:pPr>
                  <w:r>
                    <w:rPr>
                      <w:color w:val="000000"/>
                      <w:spacing w:val="4"/>
                      <w:position w:val="2"/>
                      <w:sz w:val="21"/>
                      <w:szCs w:val="21"/>
                      <w:highlight w:val="none"/>
                    </w:rPr>
                    <w:t>乙酸乙酯计</w:t>
                  </w:r>
                  <w:r>
                    <w:rPr>
                      <w:rFonts w:ascii="Times New Roman" w:hAnsi="Times New Roman" w:eastAsia="Times New Roman" w:cs="Times New Roman"/>
                      <w:color w:val="000000"/>
                      <w:spacing w:val="4"/>
                      <w:position w:val="2"/>
                      <w:sz w:val="21"/>
                      <w:szCs w:val="21"/>
                      <w:highlight w:val="none"/>
                    </w:rPr>
                    <w:t>/</w:t>
                  </w:r>
                  <w:r>
                    <w:rPr>
                      <w:color w:val="000000"/>
                      <w:spacing w:val="4"/>
                      <w:position w:val="2"/>
                      <w:sz w:val="21"/>
                      <w:szCs w:val="21"/>
                      <w:highlight w:val="none"/>
                    </w:rPr>
                    <w:t>（</w:t>
                  </w:r>
                  <w:r>
                    <w:rPr>
                      <w:rFonts w:ascii="Times New Roman" w:hAnsi="Times New Roman" w:eastAsia="Times New Roman" w:cs="Times New Roman"/>
                      <w:color w:val="000000"/>
                      <w:spacing w:val="4"/>
                      <w:position w:val="2"/>
                      <w:sz w:val="21"/>
                      <w:szCs w:val="21"/>
                      <w:highlight w:val="none"/>
                    </w:rPr>
                    <w:t>g/L</w:t>
                  </w:r>
                  <w:r>
                    <w:rPr>
                      <w:color w:val="000000"/>
                      <w:spacing w:val="4"/>
                      <w:position w:val="2"/>
                      <w:sz w:val="21"/>
                      <w:szCs w:val="21"/>
                      <w:highlight w:val="none"/>
                    </w:rPr>
                    <w:t>）</w:t>
                  </w:r>
                  <w:r>
                    <w:rPr>
                      <w:color w:val="000000"/>
                      <w:spacing w:val="7"/>
                      <w:position w:val="2"/>
                      <w:sz w:val="21"/>
                      <w:szCs w:val="21"/>
                      <w:highlight w:val="none"/>
                    </w:rPr>
                    <w:t xml:space="preserve"> </w:t>
                  </w:r>
                  <w:r>
                    <w:rPr>
                      <w:rFonts w:ascii="Times New Roman" w:hAnsi="Times New Roman" w:eastAsia="Times New Roman" w:cs="Times New Roman"/>
                      <w:color w:val="000000"/>
                      <w:spacing w:val="4"/>
                      <w:position w:val="2"/>
                      <w:sz w:val="21"/>
                      <w:szCs w:val="21"/>
                      <w:highlight w:val="none"/>
                    </w:rPr>
                    <w:t>≥</w:t>
                  </w:r>
                </w:p>
              </w:tc>
              <w:tc>
                <w:tcPr>
                  <w:tcW w:w="4549" w:type="dxa"/>
                  <w:tcBorders>
                    <w:tl2br w:val="nil"/>
                    <w:tr2bl w:val="nil"/>
                  </w:tcBorders>
                  <w:shd w:val="clear" w:color="auto" w:fill="auto"/>
                  <w:noWrap w:val="0"/>
                  <w:vAlign w:val="top"/>
                </w:tcPr>
                <w:p w14:paraId="7A255309">
                  <w:pPr>
                    <w:shd w:val="clear" w:color="auto" w:fill="auto"/>
                    <w:spacing w:before="122" w:line="195" w:lineRule="auto"/>
                    <w:jc w:val="center"/>
                    <w:rPr>
                      <w:rFonts w:ascii="Times New Roman" w:hAnsi="Times New Roman" w:eastAsia="Times New Roman" w:cs="Times New Roman"/>
                      <w:color w:val="000000"/>
                      <w:sz w:val="21"/>
                      <w:szCs w:val="21"/>
                      <w:highlight w:val="none"/>
                    </w:rPr>
                  </w:pPr>
                  <w:r>
                    <w:rPr>
                      <w:rFonts w:ascii="Times New Roman" w:hAnsi="Times New Roman" w:eastAsia="Times New Roman" w:cs="Times New Roman"/>
                      <w:color w:val="000000"/>
                      <w:spacing w:val="1"/>
                      <w:sz w:val="21"/>
                      <w:szCs w:val="21"/>
                      <w:highlight w:val="none"/>
                    </w:rPr>
                    <w:t>0.6</w:t>
                  </w:r>
                </w:p>
              </w:tc>
            </w:tr>
            <w:tr w14:paraId="7F924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3247" w:type="dxa"/>
                  <w:gridSpan w:val="2"/>
                  <w:tcBorders>
                    <w:tl2br w:val="nil"/>
                    <w:tr2bl w:val="nil"/>
                  </w:tcBorders>
                  <w:shd w:val="clear" w:color="auto" w:fill="auto"/>
                  <w:noWrap w:val="0"/>
                  <w:vAlign w:val="top"/>
                </w:tcPr>
                <w:p w14:paraId="6BDE8C3C">
                  <w:pPr>
                    <w:pStyle w:val="205"/>
                    <w:shd w:val="clear" w:color="auto" w:fill="auto"/>
                    <w:spacing w:before="39" w:line="274" w:lineRule="exact"/>
                    <w:ind w:left="253" w:leftChars="0"/>
                    <w:rPr>
                      <w:rFonts w:ascii="宋体" w:hAnsi="宋体" w:eastAsia="宋体" w:cs="宋体"/>
                      <w:color w:val="000000"/>
                      <w:kern w:val="2"/>
                      <w:sz w:val="21"/>
                      <w:szCs w:val="21"/>
                      <w:highlight w:val="none"/>
                      <w:lang w:val="en-US" w:eastAsia="en-US" w:bidi="ar-SA"/>
                    </w:rPr>
                  </w:pPr>
                  <w:r>
                    <w:rPr>
                      <w:color w:val="000000"/>
                      <w:spacing w:val="3"/>
                      <w:position w:val="2"/>
                      <w:sz w:val="21"/>
                      <w:szCs w:val="21"/>
                      <w:highlight w:val="none"/>
                    </w:rPr>
                    <w:t>己酸乙酯计</w:t>
                  </w:r>
                  <w:r>
                    <w:rPr>
                      <w:rFonts w:ascii="Times New Roman" w:hAnsi="Times New Roman" w:eastAsia="Times New Roman" w:cs="Times New Roman"/>
                      <w:color w:val="000000"/>
                      <w:spacing w:val="3"/>
                      <w:position w:val="2"/>
                      <w:sz w:val="21"/>
                      <w:szCs w:val="21"/>
                      <w:highlight w:val="none"/>
                    </w:rPr>
                    <w:t>/</w:t>
                  </w:r>
                  <w:r>
                    <w:rPr>
                      <w:color w:val="000000"/>
                      <w:spacing w:val="3"/>
                      <w:position w:val="2"/>
                      <w:sz w:val="21"/>
                      <w:szCs w:val="21"/>
                      <w:highlight w:val="none"/>
                    </w:rPr>
                    <w:t>（</w:t>
                  </w:r>
                  <w:r>
                    <w:rPr>
                      <w:rFonts w:ascii="Times New Roman" w:hAnsi="Times New Roman" w:eastAsia="Times New Roman" w:cs="Times New Roman"/>
                      <w:color w:val="000000"/>
                      <w:spacing w:val="3"/>
                      <w:position w:val="2"/>
                      <w:sz w:val="21"/>
                      <w:szCs w:val="21"/>
                      <w:highlight w:val="none"/>
                    </w:rPr>
                    <w:t>g/L</w:t>
                  </w:r>
                  <w:r>
                    <w:rPr>
                      <w:color w:val="000000"/>
                      <w:spacing w:val="3"/>
                      <w:position w:val="2"/>
                      <w:sz w:val="21"/>
                      <w:szCs w:val="21"/>
                      <w:highlight w:val="none"/>
                    </w:rPr>
                    <w:t>）</w:t>
                  </w:r>
                  <w:r>
                    <w:rPr>
                      <w:rFonts w:hint="eastAsia"/>
                      <w:color w:val="000000"/>
                      <w:spacing w:val="3"/>
                      <w:position w:val="2"/>
                      <w:sz w:val="21"/>
                      <w:szCs w:val="21"/>
                      <w:highlight w:val="none"/>
                      <w:lang w:val="en-US" w:eastAsia="zh-CN"/>
                    </w:rPr>
                    <w:t xml:space="preserve">  </w:t>
                  </w:r>
                  <w:r>
                    <w:rPr>
                      <w:rFonts w:ascii="Times New Roman" w:hAnsi="Times New Roman" w:eastAsia="Times New Roman" w:cs="Times New Roman"/>
                      <w:color w:val="000000"/>
                      <w:spacing w:val="4"/>
                      <w:position w:val="2"/>
                      <w:sz w:val="21"/>
                      <w:szCs w:val="21"/>
                      <w:highlight w:val="none"/>
                    </w:rPr>
                    <w:t>≥</w:t>
                  </w:r>
                </w:p>
              </w:tc>
              <w:tc>
                <w:tcPr>
                  <w:tcW w:w="4549" w:type="dxa"/>
                  <w:tcBorders>
                    <w:tl2br w:val="nil"/>
                    <w:tr2bl w:val="nil"/>
                  </w:tcBorders>
                  <w:shd w:val="clear" w:color="auto" w:fill="auto"/>
                  <w:noWrap w:val="0"/>
                  <w:vAlign w:val="top"/>
                </w:tcPr>
                <w:p w14:paraId="71C8DB07">
                  <w:pPr>
                    <w:shd w:val="clear" w:color="auto" w:fill="auto"/>
                    <w:spacing w:before="122" w:line="195" w:lineRule="auto"/>
                    <w:jc w:val="center"/>
                    <w:rPr>
                      <w:rFonts w:ascii="Times New Roman" w:hAnsi="Times New Roman" w:eastAsia="Times New Roman" w:cs="Times New Roman"/>
                      <w:color w:val="000000"/>
                      <w:spacing w:val="1"/>
                      <w:sz w:val="21"/>
                      <w:szCs w:val="21"/>
                      <w:highlight w:val="none"/>
                    </w:rPr>
                  </w:pPr>
                  <w:r>
                    <w:rPr>
                      <w:rFonts w:ascii="Times New Roman" w:hAnsi="Times New Roman" w:eastAsia="Times New Roman" w:cs="Times New Roman"/>
                      <w:color w:val="000000"/>
                      <w:sz w:val="21"/>
                      <w:szCs w:val="21"/>
                      <w:highlight w:val="none"/>
                    </w:rPr>
                    <w:t>0.25~</w:t>
                  </w:r>
                  <w:r>
                    <w:rPr>
                      <w:rFonts w:ascii="Times New Roman" w:hAnsi="Times New Roman" w:eastAsia="Times New Roman" w:cs="Times New Roman"/>
                      <w:color w:val="000000"/>
                      <w:spacing w:val="-19"/>
                      <w:sz w:val="21"/>
                      <w:szCs w:val="21"/>
                      <w:highlight w:val="none"/>
                    </w:rPr>
                    <w:t xml:space="preserve"> </w:t>
                  </w:r>
                  <w:r>
                    <w:rPr>
                      <w:rFonts w:ascii="Times New Roman" w:hAnsi="Times New Roman" w:eastAsia="Times New Roman" w:cs="Times New Roman"/>
                      <w:color w:val="000000"/>
                      <w:sz w:val="21"/>
                      <w:szCs w:val="21"/>
                      <w:highlight w:val="none"/>
                    </w:rPr>
                    <w:t>1.20</w:t>
                  </w:r>
                </w:p>
              </w:tc>
            </w:tr>
            <w:tr w14:paraId="62E57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2" w:hRule="atLeast"/>
              </w:trPr>
              <w:tc>
                <w:tcPr>
                  <w:tcW w:w="3247" w:type="dxa"/>
                  <w:gridSpan w:val="2"/>
                  <w:tcBorders>
                    <w:tl2br w:val="nil"/>
                    <w:tr2bl w:val="nil"/>
                  </w:tcBorders>
                  <w:shd w:val="clear" w:color="auto" w:fill="auto"/>
                  <w:noWrap w:val="0"/>
                  <w:vAlign w:val="top"/>
                </w:tcPr>
                <w:p w14:paraId="2CD6D8F2">
                  <w:pPr>
                    <w:pStyle w:val="205"/>
                    <w:shd w:val="clear" w:color="auto" w:fill="auto"/>
                    <w:spacing w:before="45" w:line="274" w:lineRule="exact"/>
                    <w:ind w:left="302" w:leftChars="0"/>
                    <w:rPr>
                      <w:rFonts w:ascii="宋体" w:hAnsi="宋体" w:eastAsia="宋体" w:cs="宋体"/>
                      <w:color w:val="000000"/>
                      <w:kern w:val="2"/>
                      <w:sz w:val="21"/>
                      <w:szCs w:val="21"/>
                      <w:highlight w:val="none"/>
                      <w:lang w:val="en-US" w:eastAsia="en-US" w:bidi="ar-SA"/>
                    </w:rPr>
                  </w:pPr>
                  <w:r>
                    <w:rPr>
                      <w:color w:val="000000"/>
                      <w:spacing w:val="3"/>
                      <w:position w:val="2"/>
                      <w:sz w:val="21"/>
                      <w:szCs w:val="21"/>
                      <w:highlight w:val="none"/>
                    </w:rPr>
                    <w:t>固形物</w:t>
                  </w:r>
                  <w:r>
                    <w:rPr>
                      <w:rFonts w:ascii="Times New Roman" w:hAnsi="Times New Roman" w:eastAsia="Times New Roman" w:cs="Times New Roman"/>
                      <w:color w:val="000000"/>
                      <w:spacing w:val="3"/>
                      <w:position w:val="2"/>
                      <w:sz w:val="21"/>
                      <w:szCs w:val="21"/>
                      <w:highlight w:val="none"/>
                    </w:rPr>
                    <w:t>/</w:t>
                  </w:r>
                  <w:r>
                    <w:rPr>
                      <w:color w:val="000000"/>
                      <w:spacing w:val="3"/>
                      <w:position w:val="2"/>
                      <w:sz w:val="21"/>
                      <w:szCs w:val="21"/>
                      <w:highlight w:val="none"/>
                    </w:rPr>
                    <w:t>（</w:t>
                  </w:r>
                  <w:r>
                    <w:rPr>
                      <w:rFonts w:ascii="Times New Roman" w:hAnsi="Times New Roman" w:eastAsia="Times New Roman" w:cs="Times New Roman"/>
                      <w:color w:val="000000"/>
                      <w:spacing w:val="3"/>
                      <w:position w:val="2"/>
                      <w:sz w:val="21"/>
                      <w:szCs w:val="21"/>
                      <w:highlight w:val="none"/>
                    </w:rPr>
                    <w:t>g/L</w:t>
                  </w:r>
                  <w:r>
                    <w:rPr>
                      <w:color w:val="000000"/>
                      <w:spacing w:val="3"/>
                      <w:position w:val="2"/>
                      <w:sz w:val="21"/>
                      <w:szCs w:val="21"/>
                      <w:highlight w:val="none"/>
                    </w:rPr>
                    <w:t>）</w:t>
                  </w:r>
                  <w:r>
                    <w:rPr>
                      <w:rFonts w:hint="eastAsia"/>
                      <w:color w:val="000000"/>
                      <w:spacing w:val="3"/>
                      <w:position w:val="2"/>
                      <w:sz w:val="21"/>
                      <w:szCs w:val="21"/>
                      <w:highlight w:val="none"/>
                      <w:lang w:val="en-US" w:eastAsia="zh-CN"/>
                    </w:rPr>
                    <w:t xml:space="preserve">  </w:t>
                  </w:r>
                  <w:r>
                    <w:rPr>
                      <w:rFonts w:ascii="Times New Roman" w:hAnsi="Times New Roman" w:eastAsia="Times New Roman" w:cs="Times New Roman"/>
                      <w:color w:val="000000"/>
                      <w:spacing w:val="2"/>
                      <w:sz w:val="21"/>
                      <w:szCs w:val="21"/>
                      <w:highlight w:val="none"/>
                    </w:rPr>
                    <w:t>≤</w:t>
                  </w:r>
                </w:p>
              </w:tc>
              <w:tc>
                <w:tcPr>
                  <w:tcW w:w="4549" w:type="dxa"/>
                  <w:tcBorders>
                    <w:tl2br w:val="nil"/>
                    <w:tr2bl w:val="nil"/>
                  </w:tcBorders>
                  <w:shd w:val="clear" w:color="auto" w:fill="auto"/>
                  <w:noWrap w:val="0"/>
                  <w:vAlign w:val="top"/>
                </w:tcPr>
                <w:p w14:paraId="1EBA0DAD">
                  <w:pPr>
                    <w:shd w:val="clear" w:color="auto" w:fill="auto"/>
                    <w:spacing w:before="122" w:line="195" w:lineRule="auto"/>
                    <w:jc w:val="center"/>
                    <w:rPr>
                      <w:rFonts w:ascii="Times New Roman" w:hAnsi="Times New Roman" w:eastAsia="Times New Roman" w:cs="Times New Roman"/>
                      <w:color w:val="000000"/>
                      <w:spacing w:val="1"/>
                      <w:sz w:val="21"/>
                      <w:szCs w:val="21"/>
                      <w:highlight w:val="none"/>
                    </w:rPr>
                  </w:pPr>
                  <w:r>
                    <w:rPr>
                      <w:rFonts w:ascii="Times New Roman" w:hAnsi="Times New Roman" w:eastAsia="Times New Roman" w:cs="Times New Roman"/>
                      <w:color w:val="000000"/>
                      <w:spacing w:val="-4"/>
                      <w:sz w:val="21"/>
                      <w:szCs w:val="21"/>
                      <w:highlight w:val="none"/>
                    </w:rPr>
                    <w:t>1.0</w:t>
                  </w:r>
                </w:p>
              </w:tc>
            </w:tr>
            <w:tr w14:paraId="405EE9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2" w:hRule="atLeast"/>
              </w:trPr>
              <w:tc>
                <w:tcPr>
                  <w:tcW w:w="7796" w:type="dxa"/>
                  <w:gridSpan w:val="3"/>
                  <w:tcBorders>
                    <w:tl2br w:val="nil"/>
                    <w:tr2bl w:val="nil"/>
                  </w:tcBorders>
                  <w:shd w:val="clear" w:color="auto" w:fill="auto"/>
                  <w:noWrap w:val="0"/>
                  <w:vAlign w:val="top"/>
                </w:tcPr>
                <w:p w14:paraId="36063C3C">
                  <w:pPr>
                    <w:shd w:val="clear" w:color="auto" w:fill="auto"/>
                    <w:spacing w:before="122" w:line="195" w:lineRule="auto"/>
                    <w:jc w:val="both"/>
                    <w:rPr>
                      <w:rFonts w:hint="eastAsia" w:ascii="Times New Roman" w:hAnsi="Times New Roman" w:eastAsia="宋体" w:cs="Times New Roman"/>
                      <w:color w:val="000000"/>
                      <w:spacing w:val="-4"/>
                      <w:sz w:val="21"/>
                      <w:szCs w:val="21"/>
                      <w:highlight w:val="none"/>
                      <w:lang w:val="en-US" w:eastAsia="zh-CN"/>
                    </w:rPr>
                  </w:pPr>
                  <w:r>
                    <w:rPr>
                      <w:rFonts w:hint="eastAsia" w:ascii="Times New Roman" w:hAnsi="Times New Roman" w:eastAsia="宋体" w:cs="Times New Roman"/>
                      <w:b/>
                      <w:bCs/>
                      <w:color w:val="000000"/>
                      <w:spacing w:val="-4"/>
                      <w:sz w:val="21"/>
                      <w:szCs w:val="21"/>
                      <w:highlight w:val="none"/>
                      <w:lang w:val="en-US" w:eastAsia="zh-CN"/>
                    </w:rPr>
                    <w:t>说明：本项目生产</w:t>
                  </w:r>
                  <w:r>
                    <w:rPr>
                      <w:rFonts w:hint="eastAsia"/>
                      <w:lang w:val="en-US" w:eastAsia="zh-CN"/>
                    </w:rPr>
                    <w:t>的</w:t>
                  </w:r>
                  <w:r>
                    <w:rPr>
                      <w:rFonts w:hint="eastAsia" w:ascii="Times New Roman" w:hAnsi="Times New Roman" w:eastAsia="宋体" w:cs="Times New Roman"/>
                      <w:b/>
                      <w:bCs/>
                      <w:color w:val="000000"/>
                      <w:spacing w:val="-4"/>
                      <w:sz w:val="21"/>
                      <w:szCs w:val="21"/>
                      <w:highlight w:val="none"/>
                      <w:lang w:val="en-US" w:eastAsia="zh-CN"/>
                    </w:rPr>
                    <w:t>白酒均属于高度白酒</w:t>
                  </w:r>
                  <w:r>
                    <w:rPr>
                      <w:rFonts w:hint="eastAsia"/>
                      <w:lang w:eastAsia="zh-CN"/>
                    </w:rPr>
                    <w:t>。</w:t>
                  </w:r>
                </w:p>
              </w:tc>
            </w:tr>
          </w:tbl>
          <w:p w14:paraId="554D0DD1">
            <w:pPr>
              <w:widowControl/>
              <w:numPr>
                <w:ilvl w:val="0"/>
                <w:numId w:val="3"/>
              </w:numPr>
              <w:shd w:val="clear" w:color="auto" w:fill="auto"/>
              <w:adjustRightInd w:val="0"/>
              <w:snapToGrid w:val="0"/>
              <w:spacing w:line="360" w:lineRule="auto"/>
              <w:ind w:firstLine="422" w:firstLineChars="200"/>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原辅材料</w:t>
            </w:r>
            <w:r>
              <w:rPr>
                <w:rFonts w:hint="default" w:ascii="Times New Roman" w:hAnsi="Times New Roman" w:cs="Times New Roman"/>
                <w:b/>
                <w:bCs/>
                <w:color w:val="000000"/>
                <w:sz w:val="21"/>
                <w:szCs w:val="21"/>
                <w:highlight w:val="none"/>
                <w:lang w:val="en-US" w:eastAsia="zh-CN"/>
              </w:rPr>
              <w:t>消耗情况</w:t>
            </w:r>
          </w:p>
          <w:p w14:paraId="40F91A23">
            <w:pPr>
              <w:keepNext w:val="0"/>
              <w:keepLines w:val="0"/>
              <w:pageBreakBefore w:val="0"/>
              <w:widowControl/>
              <w:shd w:val="clear" w:color="auto" w:fill="auto"/>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主要原辅材料及</w:t>
            </w:r>
            <w:r>
              <w:rPr>
                <w:rFonts w:hint="eastAsia" w:ascii="Times New Roman" w:hAnsi="Times New Roman" w:cs="Times New Roman"/>
                <w:color w:val="000000"/>
                <w:sz w:val="21"/>
                <w:szCs w:val="21"/>
                <w:highlight w:val="none"/>
                <w:lang w:val="en-US" w:eastAsia="zh-CN"/>
              </w:rPr>
              <w:t>能源</w:t>
            </w:r>
            <w:r>
              <w:rPr>
                <w:rFonts w:hint="default" w:ascii="Times New Roman" w:hAnsi="Times New Roman" w:cs="Times New Roman"/>
                <w:color w:val="000000"/>
                <w:sz w:val="21"/>
                <w:szCs w:val="21"/>
                <w:highlight w:val="none"/>
              </w:rPr>
              <w:t>消耗量具体用量</w:t>
            </w:r>
            <w:r>
              <w:rPr>
                <w:rFonts w:hint="default" w:ascii="Times New Roman" w:hAnsi="Times New Roman" w:cs="Times New Roman"/>
                <w:color w:val="000000"/>
                <w:sz w:val="21"/>
                <w:szCs w:val="21"/>
                <w:highlight w:val="none"/>
                <w:lang w:val="en-US" w:eastAsia="zh-CN"/>
              </w:rPr>
              <w:t>详</w:t>
            </w:r>
            <w:r>
              <w:rPr>
                <w:rFonts w:hint="default" w:ascii="Times New Roman" w:hAnsi="Times New Roman" w:cs="Times New Roman"/>
                <w:color w:val="000000"/>
                <w:sz w:val="21"/>
                <w:szCs w:val="21"/>
                <w:highlight w:val="none"/>
              </w:rPr>
              <w:t>见</w:t>
            </w:r>
            <w:r>
              <w:rPr>
                <w:rFonts w:hint="default" w:ascii="Times New Roman" w:hAnsi="Times New Roman" w:cs="Times New Roman"/>
                <w:color w:val="000000"/>
                <w:sz w:val="21"/>
                <w:szCs w:val="21"/>
                <w:highlight w:val="none"/>
                <w:lang w:val="en-US" w:eastAsia="zh-CN"/>
              </w:rPr>
              <w:t>下</w:t>
            </w:r>
            <w:r>
              <w:rPr>
                <w:rFonts w:hint="default" w:ascii="Times New Roman" w:hAnsi="Times New Roman" w:cs="Times New Roman"/>
                <w:color w:val="000000"/>
                <w:sz w:val="21"/>
                <w:szCs w:val="21"/>
                <w:highlight w:val="none"/>
              </w:rPr>
              <w:t>表。</w:t>
            </w:r>
          </w:p>
          <w:p w14:paraId="10AD1B1F">
            <w:pPr>
              <w:keepNext w:val="0"/>
              <w:keepLines w:val="0"/>
              <w:pageBreakBefore w:val="0"/>
              <w:shd w:val="clear" w:color="auto" w:fill="auto"/>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表2-</w:t>
            </w:r>
            <w:r>
              <w:rPr>
                <w:rFonts w:hint="eastAsia" w:ascii="Times New Roman" w:hAnsi="Times New Roman" w:cs="Times New Roman"/>
                <w:b/>
                <w:color w:val="000000"/>
                <w:sz w:val="21"/>
                <w:szCs w:val="21"/>
                <w:highlight w:val="none"/>
                <w:lang w:val="en-US" w:eastAsia="zh-CN"/>
              </w:rPr>
              <w:t>6</w:t>
            </w:r>
            <w:r>
              <w:rPr>
                <w:rFonts w:hint="default" w:ascii="Times New Roman" w:hAnsi="Times New Roman" w:cs="Times New Roman"/>
                <w:b/>
                <w:color w:val="000000"/>
                <w:sz w:val="21"/>
                <w:szCs w:val="21"/>
                <w:highlight w:val="none"/>
              </w:rPr>
              <w:t xml:space="preserve">  原辅材料</w:t>
            </w:r>
            <w:r>
              <w:rPr>
                <w:rFonts w:hint="eastAsia" w:ascii="Times New Roman" w:hAnsi="Times New Roman" w:cs="Times New Roman"/>
                <w:b/>
                <w:color w:val="000000"/>
                <w:sz w:val="21"/>
                <w:szCs w:val="21"/>
                <w:highlight w:val="none"/>
                <w:lang w:val="en-US" w:eastAsia="zh-CN"/>
              </w:rPr>
              <w:t>及能源</w:t>
            </w:r>
            <w:r>
              <w:rPr>
                <w:rFonts w:hint="default" w:ascii="Times New Roman" w:hAnsi="Times New Roman" w:cs="Times New Roman"/>
                <w:b/>
                <w:color w:val="000000"/>
                <w:sz w:val="21"/>
                <w:szCs w:val="21"/>
                <w:highlight w:val="none"/>
              </w:rPr>
              <w:t>消耗量</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64"/>
              <w:gridCol w:w="1500"/>
              <w:gridCol w:w="1132"/>
              <w:gridCol w:w="1500"/>
              <w:gridCol w:w="1380"/>
              <w:gridCol w:w="1380"/>
            </w:tblGrid>
            <w:tr w14:paraId="601B3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3" w:hRule="atLeast"/>
                <w:jc w:val="center"/>
              </w:trPr>
              <w:tc>
                <w:tcPr>
                  <w:tcW w:w="614" w:type="pct"/>
                  <w:tcBorders>
                    <w:tl2br w:val="nil"/>
                    <w:tr2bl w:val="nil"/>
                  </w:tcBorders>
                  <w:shd w:val="clear" w:color="auto" w:fill="auto"/>
                  <w:noWrap w:val="0"/>
                  <w:vAlign w:val="center"/>
                </w:tcPr>
                <w:p w14:paraId="1D1BDE61">
                  <w:pPr>
                    <w:keepNext w:val="0"/>
                    <w:keepLines w:val="0"/>
                    <w:suppressLineNumbers w:val="0"/>
                    <w:shd w:val="clear" w:color="auto" w:fill="auto"/>
                    <w:spacing w:before="0" w:beforeAutospacing="0" w:after="0" w:afterAutospacing="0" w:line="240" w:lineRule="auto"/>
                    <w:ind w:left="0" w:right="0"/>
                    <w:jc w:val="center"/>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序号</w:t>
                  </w:r>
                </w:p>
              </w:tc>
              <w:tc>
                <w:tcPr>
                  <w:tcW w:w="954" w:type="pct"/>
                  <w:tcBorders>
                    <w:tl2br w:val="nil"/>
                    <w:tr2bl w:val="nil"/>
                  </w:tcBorders>
                  <w:shd w:val="clear" w:color="auto" w:fill="auto"/>
                  <w:noWrap w:val="0"/>
                  <w:vAlign w:val="center"/>
                </w:tcPr>
                <w:p w14:paraId="6DEC206E">
                  <w:pPr>
                    <w:keepNext w:val="0"/>
                    <w:keepLines w:val="0"/>
                    <w:suppressLineNumbers w:val="0"/>
                    <w:shd w:val="clear" w:color="auto" w:fill="auto"/>
                    <w:spacing w:before="0" w:beforeAutospacing="0" w:after="0" w:afterAutospacing="0" w:line="240" w:lineRule="auto"/>
                    <w:ind w:left="0" w:right="0"/>
                    <w:jc w:val="center"/>
                    <w:rPr>
                      <w:rFonts w:hint="default" w:ascii="Times New Roman" w:hAnsi="Times New Roman" w:cs="Times New Roman"/>
                      <w:b/>
                      <w:bCs/>
                      <w:color w:val="000000"/>
                      <w:szCs w:val="21"/>
                      <w:highlight w:val="none"/>
                    </w:rPr>
                  </w:pPr>
                  <w:r>
                    <w:rPr>
                      <w:rFonts w:hint="eastAsia" w:ascii="Times New Roman" w:hAnsi="Times New Roman" w:cs="Times New Roman"/>
                      <w:b/>
                      <w:bCs/>
                      <w:color w:val="000000"/>
                      <w:szCs w:val="21"/>
                      <w:highlight w:val="none"/>
                      <w:lang w:val="en-US" w:eastAsia="zh-CN"/>
                    </w:rPr>
                    <w:t>原料</w:t>
                  </w:r>
                </w:p>
              </w:tc>
              <w:tc>
                <w:tcPr>
                  <w:tcW w:w="720" w:type="pct"/>
                  <w:tcBorders>
                    <w:tl2br w:val="nil"/>
                    <w:tr2bl w:val="nil"/>
                  </w:tcBorders>
                  <w:shd w:val="clear" w:color="auto" w:fill="auto"/>
                  <w:noWrap w:val="0"/>
                  <w:vAlign w:val="center"/>
                </w:tcPr>
                <w:p w14:paraId="47A88788">
                  <w:pPr>
                    <w:keepNext w:val="0"/>
                    <w:keepLines w:val="0"/>
                    <w:suppressLineNumbers w:val="0"/>
                    <w:shd w:val="clear" w:color="auto" w:fill="auto"/>
                    <w:spacing w:before="0" w:beforeAutospacing="0" w:after="0" w:afterAutospacing="0" w:line="240" w:lineRule="auto"/>
                    <w:ind w:left="0" w:right="0"/>
                    <w:jc w:val="center"/>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单位</w:t>
                  </w:r>
                </w:p>
              </w:tc>
              <w:tc>
                <w:tcPr>
                  <w:tcW w:w="954" w:type="pct"/>
                  <w:tcBorders>
                    <w:tl2br w:val="nil"/>
                    <w:tr2bl w:val="nil"/>
                  </w:tcBorders>
                  <w:shd w:val="clear" w:color="auto" w:fill="auto"/>
                  <w:noWrap w:val="0"/>
                  <w:vAlign w:val="center"/>
                </w:tcPr>
                <w:p w14:paraId="15050BAD">
                  <w:pPr>
                    <w:keepNext w:val="0"/>
                    <w:keepLines w:val="0"/>
                    <w:suppressLineNumbers w:val="0"/>
                    <w:shd w:val="clear" w:color="auto" w:fill="auto"/>
                    <w:spacing w:before="0" w:beforeAutospacing="0" w:after="0" w:afterAutospacing="0" w:line="240" w:lineRule="auto"/>
                    <w:ind w:left="0" w:right="0"/>
                    <w:jc w:val="center"/>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年消耗量</w:t>
                  </w:r>
                </w:p>
              </w:tc>
              <w:tc>
                <w:tcPr>
                  <w:tcW w:w="878" w:type="pct"/>
                  <w:tcBorders>
                    <w:tl2br w:val="nil"/>
                    <w:tr2bl w:val="nil"/>
                  </w:tcBorders>
                  <w:shd w:val="clear" w:color="auto" w:fill="auto"/>
                  <w:noWrap w:val="0"/>
                  <w:vAlign w:val="center"/>
                </w:tcPr>
                <w:p w14:paraId="2B5D30D7">
                  <w:pPr>
                    <w:keepNext w:val="0"/>
                    <w:keepLines w:val="0"/>
                    <w:suppressLineNumbers w:val="0"/>
                    <w:shd w:val="clear" w:color="auto" w:fill="auto"/>
                    <w:spacing w:before="0" w:beforeAutospacing="0" w:after="0" w:afterAutospacing="0" w:line="240" w:lineRule="auto"/>
                    <w:ind w:left="0" w:right="0"/>
                    <w:jc w:val="center"/>
                    <w:rPr>
                      <w:rFonts w:hint="eastAsia" w:ascii="Times New Roman" w:hAnsi="Times New Roman" w:eastAsia="宋体" w:cs="Times New Roman"/>
                      <w:b/>
                      <w:bCs/>
                      <w:color w:val="000000"/>
                      <w:szCs w:val="21"/>
                      <w:highlight w:val="none"/>
                      <w:lang w:val="en-US" w:eastAsia="zh-CN"/>
                    </w:rPr>
                  </w:pPr>
                  <w:r>
                    <w:rPr>
                      <w:rFonts w:hint="eastAsia" w:ascii="Times New Roman" w:hAnsi="Times New Roman" w:cs="Times New Roman"/>
                      <w:b/>
                      <w:bCs/>
                      <w:color w:val="000000"/>
                      <w:szCs w:val="21"/>
                      <w:highlight w:val="none"/>
                      <w:lang w:val="en-US" w:eastAsia="zh-CN"/>
                    </w:rPr>
                    <w:t>来源</w:t>
                  </w:r>
                </w:p>
              </w:tc>
              <w:tc>
                <w:tcPr>
                  <w:tcW w:w="878" w:type="pct"/>
                  <w:tcBorders>
                    <w:tl2br w:val="nil"/>
                    <w:tr2bl w:val="nil"/>
                  </w:tcBorders>
                  <w:shd w:val="clear" w:color="auto" w:fill="auto"/>
                  <w:noWrap w:val="0"/>
                  <w:vAlign w:val="center"/>
                </w:tcPr>
                <w:p w14:paraId="14EE1055">
                  <w:pPr>
                    <w:keepNext w:val="0"/>
                    <w:keepLines w:val="0"/>
                    <w:suppressLineNumbers w:val="0"/>
                    <w:shd w:val="clear" w:color="auto" w:fill="auto"/>
                    <w:spacing w:before="0" w:beforeAutospacing="0" w:after="0" w:afterAutospacing="0" w:line="240" w:lineRule="auto"/>
                    <w:ind w:left="0" w:right="0"/>
                    <w:jc w:val="center"/>
                    <w:rPr>
                      <w:rFonts w:hint="default" w:ascii="Times New Roman" w:hAnsi="Times New Roman" w:cs="Times New Roman"/>
                      <w:b/>
                      <w:bCs/>
                      <w:color w:val="000000"/>
                      <w:szCs w:val="21"/>
                      <w:highlight w:val="none"/>
                      <w:lang w:val="en-US" w:eastAsia="zh-CN"/>
                    </w:rPr>
                  </w:pPr>
                  <w:r>
                    <w:rPr>
                      <w:rFonts w:hint="eastAsia" w:ascii="Times New Roman" w:hAnsi="Times New Roman" w:cs="Times New Roman"/>
                      <w:b/>
                      <w:bCs/>
                      <w:color w:val="000000"/>
                      <w:szCs w:val="21"/>
                      <w:highlight w:val="none"/>
                      <w:lang w:val="en-US" w:eastAsia="zh-CN"/>
                    </w:rPr>
                    <w:t>备注</w:t>
                  </w:r>
                </w:p>
              </w:tc>
            </w:tr>
            <w:tr w14:paraId="09C99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614" w:type="pct"/>
                  <w:tcBorders>
                    <w:tl2br w:val="nil"/>
                    <w:tr2bl w:val="nil"/>
                  </w:tcBorders>
                  <w:shd w:val="clear" w:color="auto" w:fill="auto"/>
                  <w:noWrap w:val="0"/>
                  <w:vAlign w:val="center"/>
                </w:tcPr>
                <w:p w14:paraId="69590262">
                  <w:pPr>
                    <w:keepNext w:val="0"/>
                    <w:keepLines w:val="0"/>
                    <w:suppressLineNumbers w:val="0"/>
                    <w:shd w:val="clear" w:color="auto" w:fill="auto"/>
                    <w:spacing w:before="0" w:beforeAutospacing="0" w:after="0" w:afterAutospacing="0" w:line="240" w:lineRule="auto"/>
                    <w:ind w:left="0" w:right="0"/>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w:t>
                  </w:r>
                </w:p>
              </w:tc>
              <w:tc>
                <w:tcPr>
                  <w:tcW w:w="954" w:type="pct"/>
                  <w:tcBorders>
                    <w:tl2br w:val="nil"/>
                    <w:tr2bl w:val="nil"/>
                  </w:tcBorders>
                  <w:shd w:val="clear" w:color="auto" w:fill="auto"/>
                  <w:noWrap w:val="0"/>
                  <w:vAlign w:val="center"/>
                </w:tcPr>
                <w:p w14:paraId="22FD139B">
                  <w:pPr>
                    <w:keepNext w:val="0"/>
                    <w:keepLines w:val="0"/>
                    <w:suppressLineNumbers w:val="0"/>
                    <w:shd w:val="clear" w:color="auto" w:fill="auto"/>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高粱</w:t>
                  </w:r>
                </w:p>
              </w:tc>
              <w:tc>
                <w:tcPr>
                  <w:tcW w:w="720" w:type="pct"/>
                  <w:tcBorders>
                    <w:tl2br w:val="nil"/>
                    <w:tr2bl w:val="nil"/>
                  </w:tcBorders>
                  <w:shd w:val="clear" w:color="auto" w:fill="auto"/>
                  <w:noWrap w:val="0"/>
                  <w:vAlign w:val="center"/>
                </w:tcPr>
                <w:p w14:paraId="3B3F45F4">
                  <w:pPr>
                    <w:keepNext w:val="0"/>
                    <w:keepLines w:val="0"/>
                    <w:suppressLineNumbers w:val="0"/>
                    <w:shd w:val="clear" w:color="auto" w:fill="auto"/>
                    <w:spacing w:before="0" w:beforeAutospacing="0" w:after="0" w:afterAutospacing="0" w:line="240" w:lineRule="auto"/>
                    <w:ind w:left="0" w:right="0"/>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t/a</w:t>
                  </w:r>
                </w:p>
              </w:tc>
              <w:tc>
                <w:tcPr>
                  <w:tcW w:w="954" w:type="pct"/>
                  <w:tcBorders>
                    <w:tl2br w:val="nil"/>
                    <w:tr2bl w:val="nil"/>
                  </w:tcBorders>
                  <w:shd w:val="clear" w:color="auto" w:fill="auto"/>
                  <w:noWrap w:val="0"/>
                  <w:vAlign w:val="center"/>
                </w:tcPr>
                <w:p w14:paraId="1AF27A5B">
                  <w:pPr>
                    <w:keepNext w:val="0"/>
                    <w:keepLines w:val="0"/>
                    <w:suppressLineNumbers w:val="0"/>
                    <w:shd w:val="clear" w:color="auto" w:fill="auto"/>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1500</w:t>
                  </w:r>
                </w:p>
              </w:tc>
              <w:tc>
                <w:tcPr>
                  <w:tcW w:w="878" w:type="pct"/>
                  <w:tcBorders>
                    <w:tl2br w:val="nil"/>
                    <w:tr2bl w:val="nil"/>
                  </w:tcBorders>
                  <w:shd w:val="clear" w:color="auto" w:fill="auto"/>
                  <w:noWrap w:val="0"/>
                  <w:vAlign w:val="center"/>
                </w:tcPr>
                <w:p w14:paraId="0F63CA84">
                  <w:pPr>
                    <w:keepNext w:val="0"/>
                    <w:keepLines w:val="0"/>
                    <w:suppressLineNumbers w:val="0"/>
                    <w:shd w:val="clear" w:color="auto" w:fill="auto"/>
                    <w:spacing w:before="0" w:beforeAutospacing="0" w:after="0" w:afterAutospacing="0" w:line="240" w:lineRule="auto"/>
                    <w:ind w:left="0" w:right="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外购/汽运</w:t>
                  </w:r>
                </w:p>
              </w:tc>
              <w:tc>
                <w:tcPr>
                  <w:tcW w:w="878" w:type="pct"/>
                  <w:tcBorders>
                    <w:tl2br w:val="nil"/>
                    <w:tr2bl w:val="nil"/>
                  </w:tcBorders>
                  <w:shd w:val="clear" w:color="auto" w:fill="auto"/>
                  <w:noWrap w:val="0"/>
                  <w:vAlign w:val="center"/>
                </w:tcPr>
                <w:p w14:paraId="24C730B8">
                  <w:pPr>
                    <w:keepNext w:val="0"/>
                    <w:keepLines w:val="0"/>
                    <w:suppressLineNumbers w:val="0"/>
                    <w:shd w:val="clear" w:color="auto" w:fill="auto"/>
                    <w:spacing w:before="0" w:beforeAutospacing="0" w:after="0" w:afterAutospacing="0" w:line="240" w:lineRule="auto"/>
                    <w:ind w:left="0" w:right="0"/>
                    <w:jc w:val="center"/>
                    <w:rPr>
                      <w:rFonts w:hint="default" w:ascii="Times New Roman" w:hAnsi="Times New Roman" w:cs="Times New Roman"/>
                      <w:color w:val="000000"/>
                      <w:szCs w:val="21"/>
                      <w:highlight w:val="none"/>
                      <w:lang w:val="en-US" w:eastAsia="zh-CN"/>
                    </w:rPr>
                  </w:pPr>
                </w:p>
              </w:tc>
            </w:tr>
            <w:tr w14:paraId="60E86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7" w:hRule="atLeast"/>
                <w:jc w:val="center"/>
              </w:trPr>
              <w:tc>
                <w:tcPr>
                  <w:tcW w:w="614" w:type="pct"/>
                  <w:tcBorders>
                    <w:tl2br w:val="nil"/>
                    <w:tr2bl w:val="nil"/>
                  </w:tcBorders>
                  <w:shd w:val="clear" w:color="auto" w:fill="auto"/>
                  <w:noWrap w:val="0"/>
                  <w:vAlign w:val="center"/>
                </w:tcPr>
                <w:p w14:paraId="14E65ABC">
                  <w:pPr>
                    <w:keepNext w:val="0"/>
                    <w:keepLines w:val="0"/>
                    <w:suppressLineNumbers w:val="0"/>
                    <w:shd w:val="clear" w:color="auto" w:fill="auto"/>
                    <w:spacing w:before="0" w:beforeAutospacing="0" w:after="0" w:afterAutospacing="0" w:line="240" w:lineRule="auto"/>
                    <w:ind w:left="0" w:right="0"/>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2</w:t>
                  </w:r>
                </w:p>
              </w:tc>
              <w:tc>
                <w:tcPr>
                  <w:tcW w:w="954" w:type="pct"/>
                  <w:tcBorders>
                    <w:tl2br w:val="nil"/>
                    <w:tr2bl w:val="nil"/>
                  </w:tcBorders>
                  <w:shd w:val="clear" w:color="auto" w:fill="auto"/>
                  <w:noWrap w:val="0"/>
                  <w:vAlign w:val="center"/>
                </w:tcPr>
                <w:p w14:paraId="23713894">
                  <w:pPr>
                    <w:keepNext w:val="0"/>
                    <w:keepLines w:val="0"/>
                    <w:suppressLineNumbers w:val="0"/>
                    <w:shd w:val="clear" w:color="auto" w:fill="auto"/>
                    <w:spacing w:before="0" w:beforeAutospacing="0" w:after="0" w:afterAutospacing="0" w:line="240" w:lineRule="auto"/>
                    <w:ind w:left="0" w:right="0"/>
                    <w:jc w:val="center"/>
                    <w:rPr>
                      <w:rFonts w:hint="eastAsia" w:ascii="Times New Roman" w:hAnsi="Times New Roman" w:eastAsia="宋体"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大曲</w:t>
                  </w:r>
                </w:p>
              </w:tc>
              <w:tc>
                <w:tcPr>
                  <w:tcW w:w="720" w:type="pct"/>
                  <w:tcBorders>
                    <w:tl2br w:val="nil"/>
                    <w:tr2bl w:val="nil"/>
                  </w:tcBorders>
                  <w:shd w:val="clear" w:color="auto" w:fill="auto"/>
                  <w:noWrap w:val="0"/>
                  <w:vAlign w:val="center"/>
                </w:tcPr>
                <w:p w14:paraId="04534426">
                  <w:pPr>
                    <w:keepNext w:val="0"/>
                    <w:keepLines w:val="0"/>
                    <w:suppressLineNumbers w:val="0"/>
                    <w:shd w:val="clear" w:color="auto" w:fill="auto"/>
                    <w:spacing w:before="0" w:beforeAutospacing="0" w:after="0" w:afterAutospacing="0" w:line="240" w:lineRule="auto"/>
                    <w:ind w:left="0" w:right="0"/>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t/a</w:t>
                  </w:r>
                </w:p>
              </w:tc>
              <w:tc>
                <w:tcPr>
                  <w:tcW w:w="954" w:type="pct"/>
                  <w:tcBorders>
                    <w:tl2br w:val="nil"/>
                    <w:tr2bl w:val="nil"/>
                  </w:tcBorders>
                  <w:shd w:val="clear" w:color="auto" w:fill="auto"/>
                  <w:noWrap w:val="0"/>
                  <w:vAlign w:val="center"/>
                </w:tcPr>
                <w:p w14:paraId="3CD73F8C">
                  <w:pPr>
                    <w:keepNext w:val="0"/>
                    <w:keepLines w:val="0"/>
                    <w:suppressLineNumbers w:val="0"/>
                    <w:shd w:val="clear" w:color="auto" w:fill="auto"/>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390</w:t>
                  </w:r>
                </w:p>
              </w:tc>
              <w:tc>
                <w:tcPr>
                  <w:tcW w:w="878" w:type="pct"/>
                  <w:tcBorders>
                    <w:tl2br w:val="nil"/>
                    <w:tr2bl w:val="nil"/>
                  </w:tcBorders>
                  <w:shd w:val="clear" w:color="auto" w:fill="auto"/>
                  <w:noWrap w:val="0"/>
                  <w:vAlign w:val="center"/>
                </w:tcPr>
                <w:p w14:paraId="756B6C03">
                  <w:pPr>
                    <w:keepNext w:val="0"/>
                    <w:keepLines w:val="0"/>
                    <w:suppressLineNumbers w:val="0"/>
                    <w:shd w:val="clear" w:color="auto" w:fill="auto"/>
                    <w:spacing w:before="0" w:beforeAutospacing="0" w:after="0" w:afterAutospacing="0" w:line="240" w:lineRule="auto"/>
                    <w:ind w:left="0" w:right="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外购/汽运</w:t>
                  </w:r>
                </w:p>
              </w:tc>
              <w:tc>
                <w:tcPr>
                  <w:tcW w:w="878" w:type="pct"/>
                  <w:tcBorders>
                    <w:tl2br w:val="nil"/>
                    <w:tr2bl w:val="nil"/>
                  </w:tcBorders>
                  <w:shd w:val="clear" w:color="auto" w:fill="auto"/>
                  <w:noWrap w:val="0"/>
                  <w:vAlign w:val="center"/>
                </w:tcPr>
                <w:p w14:paraId="2241D1C0">
                  <w:pPr>
                    <w:keepNext w:val="0"/>
                    <w:keepLines w:val="0"/>
                    <w:suppressLineNumbers w:val="0"/>
                    <w:shd w:val="clear" w:color="auto" w:fill="auto"/>
                    <w:spacing w:before="0" w:beforeAutospacing="0" w:after="0" w:afterAutospacing="0" w:line="240" w:lineRule="auto"/>
                    <w:ind w:left="0" w:right="0"/>
                    <w:jc w:val="center"/>
                    <w:rPr>
                      <w:rFonts w:hint="eastAsia" w:ascii="Times New Roman" w:hAnsi="Times New Roman" w:cs="Times New Roman"/>
                      <w:color w:val="000000"/>
                      <w:szCs w:val="21"/>
                      <w:highlight w:val="none"/>
                      <w:lang w:val="en-US" w:eastAsia="zh-CN"/>
                    </w:rPr>
                  </w:pPr>
                </w:p>
              </w:tc>
            </w:tr>
            <w:tr w14:paraId="3F91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614" w:type="pct"/>
                  <w:tcBorders>
                    <w:tl2br w:val="nil"/>
                    <w:tr2bl w:val="nil"/>
                  </w:tcBorders>
                  <w:shd w:val="clear" w:color="auto" w:fill="auto"/>
                  <w:noWrap w:val="0"/>
                  <w:vAlign w:val="center"/>
                </w:tcPr>
                <w:p w14:paraId="79B215AC">
                  <w:pPr>
                    <w:keepNext w:val="0"/>
                    <w:keepLines w:val="0"/>
                    <w:suppressLineNumbers w:val="0"/>
                    <w:shd w:val="clear" w:color="auto" w:fill="auto"/>
                    <w:spacing w:before="0" w:beforeAutospacing="0" w:after="0" w:afterAutospacing="0" w:line="240" w:lineRule="auto"/>
                    <w:ind w:left="0" w:leftChars="0" w:right="0" w:right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3</w:t>
                  </w:r>
                </w:p>
              </w:tc>
              <w:tc>
                <w:tcPr>
                  <w:tcW w:w="954" w:type="pct"/>
                  <w:tcBorders>
                    <w:tl2br w:val="nil"/>
                    <w:tr2bl w:val="nil"/>
                  </w:tcBorders>
                  <w:shd w:val="clear" w:color="auto" w:fill="auto"/>
                  <w:noWrap w:val="0"/>
                  <w:vAlign w:val="center"/>
                </w:tcPr>
                <w:p w14:paraId="7B0D9D47">
                  <w:pPr>
                    <w:keepNext w:val="0"/>
                    <w:keepLines w:val="0"/>
                    <w:suppressLineNumbers w:val="0"/>
                    <w:shd w:val="clear" w:color="auto" w:fill="auto"/>
                    <w:spacing w:before="0" w:beforeAutospacing="0" w:after="0" w:afterAutospacing="0" w:line="240" w:lineRule="auto"/>
                    <w:ind w:left="0" w:right="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稻壳</w:t>
                  </w:r>
                </w:p>
              </w:tc>
              <w:tc>
                <w:tcPr>
                  <w:tcW w:w="720" w:type="pct"/>
                  <w:tcBorders>
                    <w:tl2br w:val="nil"/>
                    <w:tr2bl w:val="nil"/>
                  </w:tcBorders>
                  <w:shd w:val="clear" w:color="auto" w:fill="auto"/>
                  <w:noWrap w:val="0"/>
                  <w:vAlign w:val="center"/>
                </w:tcPr>
                <w:p w14:paraId="7C2E9B5D">
                  <w:pPr>
                    <w:keepNext w:val="0"/>
                    <w:keepLines w:val="0"/>
                    <w:suppressLineNumbers w:val="0"/>
                    <w:shd w:val="clear" w:color="auto" w:fill="auto"/>
                    <w:spacing w:before="0" w:beforeAutospacing="0" w:after="0" w:afterAutospacing="0" w:line="240" w:lineRule="auto"/>
                    <w:ind w:left="0" w:right="0"/>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t/a</w:t>
                  </w:r>
                </w:p>
              </w:tc>
              <w:tc>
                <w:tcPr>
                  <w:tcW w:w="954" w:type="pct"/>
                  <w:tcBorders>
                    <w:tl2br w:val="nil"/>
                    <w:tr2bl w:val="nil"/>
                  </w:tcBorders>
                  <w:shd w:val="clear" w:color="auto" w:fill="auto"/>
                  <w:noWrap w:val="0"/>
                  <w:vAlign w:val="center"/>
                </w:tcPr>
                <w:p w14:paraId="35EE4B54">
                  <w:pPr>
                    <w:keepNext w:val="0"/>
                    <w:keepLines w:val="0"/>
                    <w:suppressLineNumbers w:val="0"/>
                    <w:shd w:val="clear" w:color="auto" w:fill="auto"/>
                    <w:spacing w:before="0" w:beforeAutospacing="0" w:after="0" w:afterAutospacing="0" w:line="240" w:lineRule="auto"/>
                    <w:ind w:left="0" w:right="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3000</w:t>
                  </w:r>
                </w:p>
              </w:tc>
              <w:tc>
                <w:tcPr>
                  <w:tcW w:w="878" w:type="pct"/>
                  <w:tcBorders>
                    <w:tl2br w:val="nil"/>
                    <w:tr2bl w:val="nil"/>
                  </w:tcBorders>
                  <w:shd w:val="clear" w:color="auto" w:fill="auto"/>
                  <w:noWrap w:val="0"/>
                  <w:vAlign w:val="center"/>
                </w:tcPr>
                <w:p w14:paraId="0E01F58F">
                  <w:pPr>
                    <w:keepNext w:val="0"/>
                    <w:keepLines w:val="0"/>
                    <w:suppressLineNumbers w:val="0"/>
                    <w:shd w:val="clear" w:color="auto" w:fill="auto"/>
                    <w:spacing w:before="0" w:beforeAutospacing="0" w:after="0" w:afterAutospacing="0" w:line="240" w:lineRule="auto"/>
                    <w:ind w:left="0" w:right="0"/>
                    <w:jc w:val="center"/>
                    <w:rPr>
                      <w:rFonts w:hint="eastAsia"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外购/汽运</w:t>
                  </w:r>
                </w:p>
              </w:tc>
              <w:tc>
                <w:tcPr>
                  <w:tcW w:w="878" w:type="pct"/>
                  <w:tcBorders>
                    <w:tl2br w:val="nil"/>
                    <w:tr2bl w:val="nil"/>
                  </w:tcBorders>
                  <w:shd w:val="clear" w:color="auto" w:fill="auto"/>
                  <w:noWrap w:val="0"/>
                  <w:vAlign w:val="center"/>
                </w:tcPr>
                <w:p w14:paraId="1D153C82">
                  <w:pPr>
                    <w:keepNext w:val="0"/>
                    <w:keepLines w:val="0"/>
                    <w:suppressLineNumbers w:val="0"/>
                    <w:shd w:val="clear" w:color="auto" w:fill="auto"/>
                    <w:spacing w:before="0" w:beforeAutospacing="0" w:after="0" w:afterAutospacing="0" w:line="240" w:lineRule="auto"/>
                    <w:ind w:left="0" w:right="0"/>
                    <w:jc w:val="center"/>
                    <w:rPr>
                      <w:rFonts w:hint="eastAsia" w:ascii="Times New Roman" w:hAnsi="Times New Roman" w:cs="Times New Roman"/>
                      <w:color w:val="000000"/>
                      <w:szCs w:val="21"/>
                      <w:highlight w:val="none"/>
                      <w:lang w:val="en-US" w:eastAsia="zh-CN"/>
                    </w:rPr>
                  </w:pPr>
                </w:p>
              </w:tc>
            </w:tr>
            <w:tr w14:paraId="76B89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614" w:type="pct"/>
                  <w:tcBorders>
                    <w:tl2br w:val="nil"/>
                    <w:tr2bl w:val="nil"/>
                  </w:tcBorders>
                  <w:shd w:val="clear" w:color="auto" w:fill="auto"/>
                  <w:noWrap w:val="0"/>
                  <w:vAlign w:val="center"/>
                </w:tcPr>
                <w:p w14:paraId="3786E8D3">
                  <w:pPr>
                    <w:keepNext w:val="0"/>
                    <w:keepLines w:val="0"/>
                    <w:suppressLineNumbers w:val="0"/>
                    <w:shd w:val="clear" w:color="auto" w:fill="auto"/>
                    <w:spacing w:before="0" w:beforeAutospacing="0" w:after="0" w:afterAutospacing="0" w:line="240" w:lineRule="auto"/>
                    <w:ind w:left="0" w:leftChars="0" w:right="0" w:right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4</w:t>
                  </w:r>
                </w:p>
              </w:tc>
              <w:tc>
                <w:tcPr>
                  <w:tcW w:w="954" w:type="pct"/>
                  <w:tcBorders>
                    <w:tl2br w:val="nil"/>
                    <w:tr2bl w:val="nil"/>
                  </w:tcBorders>
                  <w:shd w:val="clear" w:color="auto" w:fill="auto"/>
                  <w:noWrap w:val="0"/>
                  <w:vAlign w:val="center"/>
                </w:tcPr>
                <w:p w14:paraId="0E6C9E77">
                  <w:pPr>
                    <w:keepNext w:val="0"/>
                    <w:keepLines w:val="0"/>
                    <w:suppressLineNumbers w:val="0"/>
                    <w:shd w:val="clear" w:color="auto" w:fill="auto"/>
                    <w:spacing w:before="0" w:beforeAutospacing="0" w:after="0" w:afterAutospacing="0" w:line="240" w:lineRule="auto"/>
                    <w:ind w:left="0" w:right="0"/>
                    <w:jc w:val="center"/>
                    <w:rPr>
                      <w:rFonts w:hint="eastAsia" w:ascii="Times New Roman" w:hAnsi="Times New Roman" w:eastAsia="宋体"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水</w:t>
                  </w:r>
                </w:p>
              </w:tc>
              <w:tc>
                <w:tcPr>
                  <w:tcW w:w="720" w:type="pct"/>
                  <w:tcBorders>
                    <w:tl2br w:val="nil"/>
                    <w:tr2bl w:val="nil"/>
                  </w:tcBorders>
                  <w:shd w:val="clear" w:color="auto" w:fill="auto"/>
                  <w:noWrap w:val="0"/>
                  <w:vAlign w:val="center"/>
                </w:tcPr>
                <w:p w14:paraId="484D5C99">
                  <w:pPr>
                    <w:keepNext w:val="0"/>
                    <w:keepLines w:val="0"/>
                    <w:suppressLineNumbers w:val="0"/>
                    <w:shd w:val="clear" w:color="auto" w:fill="auto"/>
                    <w:spacing w:before="0" w:beforeAutospacing="0" w:after="0" w:afterAutospacing="0" w:line="240" w:lineRule="auto"/>
                    <w:ind w:left="0" w:right="0"/>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t/a</w:t>
                  </w:r>
                </w:p>
              </w:tc>
              <w:tc>
                <w:tcPr>
                  <w:tcW w:w="954" w:type="pct"/>
                  <w:tcBorders>
                    <w:tl2br w:val="nil"/>
                    <w:tr2bl w:val="nil"/>
                  </w:tcBorders>
                  <w:shd w:val="clear" w:color="auto" w:fill="auto"/>
                  <w:noWrap w:val="0"/>
                  <w:vAlign w:val="center"/>
                </w:tcPr>
                <w:p w14:paraId="626C1B07">
                  <w:pPr>
                    <w:keepNext w:val="0"/>
                    <w:keepLines w:val="0"/>
                    <w:suppressLineNumbers w:val="0"/>
                    <w:shd w:val="clear" w:color="auto" w:fill="auto"/>
                    <w:bidi w:val="0"/>
                    <w:spacing w:before="0" w:beforeAutospacing="0" w:after="0" w:afterAutospacing="0" w:line="240" w:lineRule="auto"/>
                    <w:ind w:left="0" w:right="0"/>
                    <w:jc w:val="center"/>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sz w:val="21"/>
                      <w:szCs w:val="21"/>
                      <w:highlight w:val="none"/>
                      <w:lang w:val="en-US" w:eastAsia="zh-CN"/>
                    </w:rPr>
                    <w:t>8397.31</w:t>
                  </w:r>
                </w:p>
              </w:tc>
              <w:tc>
                <w:tcPr>
                  <w:tcW w:w="878" w:type="pct"/>
                  <w:tcBorders>
                    <w:tl2br w:val="nil"/>
                    <w:tr2bl w:val="nil"/>
                  </w:tcBorders>
                  <w:shd w:val="clear" w:color="auto" w:fill="auto"/>
                  <w:noWrap w:val="0"/>
                  <w:vAlign w:val="center"/>
                </w:tcPr>
                <w:p w14:paraId="2EC710F0">
                  <w:pPr>
                    <w:keepNext w:val="0"/>
                    <w:keepLines w:val="0"/>
                    <w:suppressLineNumbers w:val="0"/>
                    <w:shd w:val="clear" w:color="auto" w:fill="auto"/>
                    <w:bidi w:val="0"/>
                    <w:spacing w:before="0" w:beforeAutospacing="0" w:after="0" w:afterAutospacing="0" w:line="240" w:lineRule="auto"/>
                    <w:ind w:left="0" w:right="0"/>
                    <w:jc w:val="center"/>
                    <w:rPr>
                      <w:rFonts w:hint="default" w:ascii="Times New Roman" w:hAnsi="Times New Roman" w:cs="Times New Roman"/>
                      <w:color w:val="000000"/>
                      <w:highlight w:val="none"/>
                      <w:lang w:val="en-US" w:eastAsia="zh-CN"/>
                    </w:rPr>
                  </w:pPr>
                  <w:r>
                    <w:rPr>
                      <w:rFonts w:hint="eastAsia" w:ascii="Times New Roman" w:hAnsi="Times New Roman" w:cs="Times New Roman"/>
                      <w:color w:val="000000"/>
                      <w:highlight w:val="none"/>
                      <w:lang w:val="en-US" w:eastAsia="zh-CN"/>
                    </w:rPr>
                    <w:t>市政供水</w:t>
                  </w:r>
                </w:p>
              </w:tc>
              <w:tc>
                <w:tcPr>
                  <w:tcW w:w="878" w:type="pct"/>
                  <w:tcBorders>
                    <w:tl2br w:val="nil"/>
                    <w:tr2bl w:val="nil"/>
                  </w:tcBorders>
                  <w:shd w:val="clear" w:color="auto" w:fill="auto"/>
                  <w:noWrap w:val="0"/>
                  <w:vAlign w:val="center"/>
                </w:tcPr>
                <w:p w14:paraId="00E7B868">
                  <w:pPr>
                    <w:keepNext w:val="0"/>
                    <w:keepLines w:val="0"/>
                    <w:suppressLineNumbers w:val="0"/>
                    <w:shd w:val="clear" w:color="auto" w:fill="auto"/>
                    <w:bidi w:val="0"/>
                    <w:spacing w:before="0" w:beforeAutospacing="0" w:after="0" w:afterAutospacing="0" w:line="240" w:lineRule="auto"/>
                    <w:ind w:left="0" w:right="0"/>
                    <w:jc w:val="center"/>
                    <w:rPr>
                      <w:rFonts w:hint="eastAsia" w:ascii="Times New Roman" w:hAnsi="Times New Roman" w:cs="Times New Roman"/>
                      <w:color w:val="000000"/>
                      <w:highlight w:val="none"/>
                      <w:lang w:val="en-US" w:eastAsia="zh-CN"/>
                    </w:rPr>
                  </w:pPr>
                </w:p>
              </w:tc>
            </w:tr>
            <w:tr w14:paraId="77AB6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614" w:type="pct"/>
                  <w:tcBorders>
                    <w:tl2br w:val="nil"/>
                    <w:tr2bl w:val="nil"/>
                  </w:tcBorders>
                  <w:shd w:val="clear" w:color="auto" w:fill="auto"/>
                  <w:noWrap w:val="0"/>
                  <w:vAlign w:val="center"/>
                </w:tcPr>
                <w:p w14:paraId="4DB89C37">
                  <w:pPr>
                    <w:keepNext w:val="0"/>
                    <w:keepLines w:val="0"/>
                    <w:suppressLineNumbers w:val="0"/>
                    <w:shd w:val="clear" w:color="auto" w:fill="auto"/>
                    <w:spacing w:before="0" w:beforeAutospacing="0" w:after="0" w:afterAutospacing="0" w:line="240" w:lineRule="auto"/>
                    <w:ind w:left="0" w:leftChars="0" w:right="0" w:right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5</w:t>
                  </w:r>
                </w:p>
              </w:tc>
              <w:tc>
                <w:tcPr>
                  <w:tcW w:w="954" w:type="pct"/>
                  <w:tcBorders>
                    <w:tl2br w:val="nil"/>
                    <w:tr2bl w:val="nil"/>
                  </w:tcBorders>
                  <w:shd w:val="clear" w:color="auto" w:fill="auto"/>
                  <w:noWrap w:val="0"/>
                  <w:vAlign w:val="center"/>
                </w:tcPr>
                <w:p w14:paraId="6ADEEB7E">
                  <w:pPr>
                    <w:keepNext w:val="0"/>
                    <w:keepLines w:val="0"/>
                    <w:suppressLineNumbers w:val="0"/>
                    <w:shd w:val="clear" w:color="auto" w:fill="auto"/>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电</w:t>
                  </w:r>
                </w:p>
              </w:tc>
              <w:tc>
                <w:tcPr>
                  <w:tcW w:w="720" w:type="pct"/>
                  <w:tcBorders>
                    <w:tl2br w:val="nil"/>
                    <w:tr2bl w:val="nil"/>
                  </w:tcBorders>
                  <w:shd w:val="clear" w:color="auto" w:fill="auto"/>
                  <w:noWrap w:val="0"/>
                  <w:vAlign w:val="center"/>
                </w:tcPr>
                <w:p w14:paraId="141804B9">
                  <w:pPr>
                    <w:keepNext w:val="0"/>
                    <w:keepLines w:val="0"/>
                    <w:suppressLineNumbers w:val="0"/>
                    <w:shd w:val="clear" w:color="auto" w:fill="auto"/>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万</w:t>
                  </w:r>
                  <w:r>
                    <w:rPr>
                      <w:rFonts w:hint="eastAsia" w:cs="Times New Roman"/>
                      <w:color w:val="000000"/>
                      <w:szCs w:val="21"/>
                      <w:highlight w:val="none"/>
                      <w:lang w:val="en-US" w:eastAsia="zh-CN"/>
                    </w:rPr>
                    <w:t>kW</w:t>
                  </w:r>
                  <w:r>
                    <w:rPr>
                      <w:rFonts w:hint="eastAsia" w:ascii="Times New Roman" w:hAnsi="Times New Roman" w:cs="Times New Roman"/>
                      <w:color w:val="000000"/>
                      <w:szCs w:val="21"/>
                      <w:highlight w:val="none"/>
                      <w:lang w:val="en-US" w:eastAsia="zh-CN"/>
                    </w:rPr>
                    <w:t>.h/a</w:t>
                  </w:r>
                </w:p>
              </w:tc>
              <w:tc>
                <w:tcPr>
                  <w:tcW w:w="954" w:type="pct"/>
                  <w:tcBorders>
                    <w:tl2br w:val="nil"/>
                    <w:tr2bl w:val="nil"/>
                  </w:tcBorders>
                  <w:shd w:val="clear" w:color="auto" w:fill="auto"/>
                  <w:noWrap w:val="0"/>
                  <w:vAlign w:val="center"/>
                </w:tcPr>
                <w:p w14:paraId="4F509FD0">
                  <w:pPr>
                    <w:keepNext w:val="0"/>
                    <w:keepLines w:val="0"/>
                    <w:suppressLineNumbers w:val="0"/>
                    <w:shd w:val="clear" w:color="auto" w:fill="auto"/>
                    <w:bidi w:val="0"/>
                    <w:spacing w:before="0" w:beforeAutospacing="0" w:after="0" w:afterAutospacing="0" w:line="240" w:lineRule="auto"/>
                    <w:ind w:left="0" w:right="0"/>
                    <w:jc w:val="center"/>
                    <w:rPr>
                      <w:rFonts w:hint="default" w:ascii="Times New Roman" w:hAnsi="Times New Roman" w:eastAsia="宋体" w:cs="Times New Roman"/>
                      <w:color w:val="000000"/>
                      <w:highlight w:val="none"/>
                      <w:lang w:val="en-US" w:eastAsia="zh-CN"/>
                    </w:rPr>
                  </w:pPr>
                  <w:r>
                    <w:rPr>
                      <w:rFonts w:hint="eastAsia" w:ascii="Times New Roman" w:hAnsi="Times New Roman" w:cs="Times New Roman"/>
                      <w:color w:val="000000"/>
                      <w:highlight w:val="none"/>
                      <w:lang w:val="en-US" w:eastAsia="zh-CN"/>
                    </w:rPr>
                    <w:t>2.5</w:t>
                  </w:r>
                </w:p>
              </w:tc>
              <w:tc>
                <w:tcPr>
                  <w:tcW w:w="878" w:type="pct"/>
                  <w:tcBorders>
                    <w:tl2br w:val="nil"/>
                    <w:tr2bl w:val="nil"/>
                  </w:tcBorders>
                  <w:shd w:val="clear" w:color="auto" w:fill="auto"/>
                  <w:noWrap w:val="0"/>
                  <w:vAlign w:val="center"/>
                </w:tcPr>
                <w:p w14:paraId="36195D3B">
                  <w:pPr>
                    <w:keepNext w:val="0"/>
                    <w:keepLines w:val="0"/>
                    <w:suppressLineNumbers w:val="0"/>
                    <w:shd w:val="clear" w:color="auto" w:fill="auto"/>
                    <w:bidi w:val="0"/>
                    <w:spacing w:before="0" w:beforeAutospacing="0" w:after="0" w:afterAutospacing="0" w:line="240" w:lineRule="auto"/>
                    <w:ind w:left="0" w:right="0"/>
                    <w:jc w:val="center"/>
                    <w:rPr>
                      <w:rFonts w:hint="default" w:ascii="Times New Roman" w:hAnsi="Times New Roman" w:cs="Times New Roman"/>
                      <w:color w:val="000000"/>
                      <w:highlight w:val="none"/>
                      <w:lang w:val="en-US" w:eastAsia="zh-CN"/>
                    </w:rPr>
                  </w:pPr>
                  <w:r>
                    <w:rPr>
                      <w:rFonts w:hint="eastAsia" w:ascii="Times New Roman" w:hAnsi="Times New Roman" w:cs="Times New Roman"/>
                      <w:color w:val="000000"/>
                      <w:highlight w:val="none"/>
                      <w:lang w:val="en-US" w:eastAsia="zh-CN"/>
                    </w:rPr>
                    <w:t>市政供电</w:t>
                  </w:r>
                </w:p>
              </w:tc>
              <w:tc>
                <w:tcPr>
                  <w:tcW w:w="878" w:type="pct"/>
                  <w:tcBorders>
                    <w:tl2br w:val="nil"/>
                    <w:tr2bl w:val="nil"/>
                  </w:tcBorders>
                  <w:shd w:val="clear" w:color="auto" w:fill="auto"/>
                  <w:noWrap w:val="0"/>
                  <w:vAlign w:val="center"/>
                </w:tcPr>
                <w:p w14:paraId="4D51DB00">
                  <w:pPr>
                    <w:keepNext w:val="0"/>
                    <w:keepLines w:val="0"/>
                    <w:suppressLineNumbers w:val="0"/>
                    <w:shd w:val="clear" w:color="auto" w:fill="auto"/>
                    <w:bidi w:val="0"/>
                    <w:spacing w:before="0" w:beforeAutospacing="0" w:after="0" w:afterAutospacing="0" w:line="240" w:lineRule="auto"/>
                    <w:ind w:left="0" w:right="0"/>
                    <w:jc w:val="center"/>
                    <w:rPr>
                      <w:rFonts w:hint="eastAsia" w:ascii="Times New Roman" w:hAnsi="Times New Roman" w:cs="Times New Roman"/>
                      <w:color w:val="000000"/>
                      <w:highlight w:val="none"/>
                      <w:lang w:val="en-US" w:eastAsia="zh-CN"/>
                    </w:rPr>
                  </w:pPr>
                </w:p>
              </w:tc>
            </w:tr>
            <w:tr w14:paraId="1F585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14" w:type="pct"/>
                  <w:tcBorders>
                    <w:tl2br w:val="nil"/>
                    <w:tr2bl w:val="nil"/>
                  </w:tcBorders>
                  <w:shd w:val="clear" w:color="auto" w:fill="auto"/>
                  <w:noWrap w:val="0"/>
                  <w:vAlign w:val="center"/>
                </w:tcPr>
                <w:p w14:paraId="4F71EFDD">
                  <w:pPr>
                    <w:keepNext w:val="0"/>
                    <w:keepLines w:val="0"/>
                    <w:suppressLineNumbers w:val="0"/>
                    <w:shd w:val="clear" w:color="auto" w:fill="auto"/>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6</w:t>
                  </w:r>
                </w:p>
              </w:tc>
              <w:tc>
                <w:tcPr>
                  <w:tcW w:w="954" w:type="pct"/>
                  <w:tcBorders>
                    <w:tl2br w:val="nil"/>
                    <w:tr2bl w:val="nil"/>
                  </w:tcBorders>
                  <w:shd w:val="clear" w:color="auto" w:fill="auto"/>
                  <w:noWrap w:val="0"/>
                  <w:vAlign w:val="center"/>
                </w:tcPr>
                <w:p w14:paraId="3D5F2A7A">
                  <w:pPr>
                    <w:pStyle w:val="61"/>
                    <w:keepNext w:val="0"/>
                    <w:keepLines w:val="0"/>
                    <w:suppressLineNumbers w:val="0"/>
                    <w:shd w:val="clear" w:color="auto" w:fill="auto"/>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szCs w:val="21"/>
                      <w:highlight w:val="none"/>
                      <w:lang w:val="en-US" w:eastAsia="zh-CN"/>
                    </w:rPr>
                  </w:pPr>
                  <w:r>
                    <w:rPr>
                      <w:rFonts w:hint="eastAsia" w:cs="Times New Roman"/>
                      <w:color w:val="000000"/>
                      <w:kern w:val="2"/>
                      <w:sz w:val="21"/>
                      <w:szCs w:val="21"/>
                      <w:highlight w:val="none"/>
                      <w:lang w:val="en-US" w:eastAsia="zh-CN" w:bidi="ar-SA"/>
                    </w:rPr>
                    <w:t>天然气</w:t>
                  </w:r>
                </w:p>
              </w:tc>
              <w:tc>
                <w:tcPr>
                  <w:tcW w:w="720" w:type="pct"/>
                  <w:tcBorders>
                    <w:tl2br w:val="nil"/>
                    <w:tr2bl w:val="nil"/>
                  </w:tcBorders>
                  <w:shd w:val="clear" w:color="auto" w:fill="auto"/>
                  <w:noWrap w:val="0"/>
                  <w:vAlign w:val="center"/>
                </w:tcPr>
                <w:p w14:paraId="79E4513D">
                  <w:pPr>
                    <w:keepNext w:val="0"/>
                    <w:keepLines w:val="0"/>
                    <w:suppressLineNumbers w:val="0"/>
                    <w:shd w:val="clear" w:color="auto" w:fill="auto"/>
                    <w:spacing w:before="0" w:beforeAutospacing="0" w:after="0" w:afterAutospacing="0" w:line="240" w:lineRule="auto"/>
                    <w:ind w:left="0" w:leftChars="0" w:right="0" w:rightChars="0"/>
                    <w:jc w:val="center"/>
                    <w:rPr>
                      <w:rFonts w:hint="default" w:ascii="Times New Roman" w:hAnsi="Times New Roman" w:cs="Times New Roman"/>
                      <w:color w:val="000000"/>
                      <w:szCs w:val="21"/>
                      <w:highlight w:val="none"/>
                    </w:rPr>
                  </w:pPr>
                  <w:r>
                    <w:rPr>
                      <w:rFonts w:hint="eastAsia" w:ascii="Times New Roman" w:hAnsi="Times New Roman" w:cs="Times New Roman"/>
                      <w:color w:val="000000"/>
                      <w:szCs w:val="21"/>
                      <w:highlight w:val="none"/>
                      <w:lang w:val="en-US" w:eastAsia="zh-CN"/>
                    </w:rPr>
                    <w:t>万Nm³</w:t>
                  </w:r>
                  <w:r>
                    <w:rPr>
                      <w:rFonts w:hint="default" w:ascii="Times New Roman" w:hAnsi="Times New Roman" w:cs="Times New Roman"/>
                      <w:color w:val="000000"/>
                      <w:szCs w:val="21"/>
                      <w:highlight w:val="none"/>
                    </w:rPr>
                    <w:t>/a</w:t>
                  </w:r>
                </w:p>
              </w:tc>
              <w:tc>
                <w:tcPr>
                  <w:tcW w:w="954" w:type="pct"/>
                  <w:tcBorders>
                    <w:tl2br w:val="nil"/>
                    <w:tr2bl w:val="nil"/>
                  </w:tcBorders>
                  <w:shd w:val="clear" w:color="auto" w:fill="auto"/>
                  <w:noWrap w:val="0"/>
                  <w:vAlign w:val="center"/>
                </w:tcPr>
                <w:p w14:paraId="10D62138">
                  <w:pPr>
                    <w:keepNext w:val="0"/>
                    <w:keepLines w:val="0"/>
                    <w:suppressLineNumbers w:val="0"/>
                    <w:shd w:val="clear" w:color="auto" w:fill="auto"/>
                    <w:bidi w:val="0"/>
                    <w:spacing w:before="0" w:beforeAutospacing="0" w:after="0" w:afterAutospacing="0" w:line="240" w:lineRule="auto"/>
                    <w:ind w:left="0" w:leftChars="0" w:right="0" w:rightChars="0"/>
                    <w:jc w:val="center"/>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33.6</w:t>
                  </w:r>
                </w:p>
              </w:tc>
              <w:tc>
                <w:tcPr>
                  <w:tcW w:w="878" w:type="pct"/>
                  <w:tcBorders>
                    <w:tl2br w:val="nil"/>
                    <w:tr2bl w:val="nil"/>
                  </w:tcBorders>
                  <w:shd w:val="clear" w:color="auto" w:fill="auto"/>
                  <w:noWrap w:val="0"/>
                  <w:vAlign w:val="center"/>
                </w:tcPr>
                <w:p w14:paraId="6CF394B1">
                  <w:pPr>
                    <w:keepNext w:val="0"/>
                    <w:keepLines w:val="0"/>
                    <w:suppressLineNumbers w:val="0"/>
                    <w:shd w:val="clear" w:color="auto" w:fill="auto"/>
                    <w:bidi w:val="0"/>
                    <w:spacing w:before="0" w:beforeAutospacing="0" w:after="0" w:afterAutospacing="0" w:line="240" w:lineRule="auto"/>
                    <w:ind w:left="0" w:right="0"/>
                    <w:jc w:val="center"/>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天然气管道</w:t>
                  </w:r>
                </w:p>
              </w:tc>
              <w:tc>
                <w:tcPr>
                  <w:tcW w:w="878" w:type="pct"/>
                  <w:tcBorders>
                    <w:tl2br w:val="nil"/>
                    <w:tr2bl w:val="nil"/>
                  </w:tcBorders>
                  <w:shd w:val="clear" w:color="auto" w:fill="auto"/>
                  <w:noWrap w:val="0"/>
                  <w:vAlign w:val="center"/>
                </w:tcPr>
                <w:p w14:paraId="4DBCE2E1">
                  <w:pPr>
                    <w:keepNext w:val="0"/>
                    <w:keepLines w:val="0"/>
                    <w:suppressLineNumbers w:val="0"/>
                    <w:shd w:val="clear" w:color="auto" w:fill="auto"/>
                    <w:bidi w:val="0"/>
                    <w:spacing w:before="0" w:beforeAutospacing="0" w:after="0" w:afterAutospacing="0" w:line="240" w:lineRule="auto"/>
                    <w:ind w:left="0" w:right="0"/>
                    <w:jc w:val="center"/>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锅炉燃料</w:t>
                  </w:r>
                </w:p>
              </w:tc>
            </w:tr>
            <w:tr w14:paraId="059DA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4" w:type="pct"/>
                  <w:tcBorders>
                    <w:tl2br w:val="nil"/>
                    <w:tr2bl w:val="nil"/>
                  </w:tcBorders>
                  <w:shd w:val="clear" w:color="auto" w:fill="auto"/>
                  <w:noWrap w:val="0"/>
                  <w:vAlign w:val="center"/>
                </w:tcPr>
                <w:p w14:paraId="1CE07543">
                  <w:pPr>
                    <w:keepNext w:val="0"/>
                    <w:keepLines w:val="0"/>
                    <w:suppressLineNumbers w:val="0"/>
                    <w:shd w:val="clear" w:color="auto" w:fill="auto"/>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7</w:t>
                  </w:r>
                </w:p>
              </w:tc>
              <w:tc>
                <w:tcPr>
                  <w:tcW w:w="954" w:type="pct"/>
                  <w:tcBorders>
                    <w:tl2br w:val="nil"/>
                    <w:tr2bl w:val="nil"/>
                  </w:tcBorders>
                  <w:shd w:val="clear" w:color="auto" w:fill="auto"/>
                  <w:noWrap w:val="0"/>
                  <w:vAlign w:val="center"/>
                </w:tcPr>
                <w:p w14:paraId="49EB6EE3">
                  <w:pPr>
                    <w:keepNext w:val="0"/>
                    <w:keepLines w:val="0"/>
                    <w:widowControl/>
                    <w:suppressLineNumbers w:val="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宋体" w:hAnsi="宋体" w:eastAsia="宋体" w:cs="宋体"/>
                      <w:color w:val="000000"/>
                      <w:kern w:val="0"/>
                      <w:sz w:val="20"/>
                      <w:szCs w:val="20"/>
                      <w:lang w:val="en-US" w:eastAsia="zh-CN" w:bidi="zh-HK"/>
                    </w:rPr>
                    <w:t>氢氧化钠溶液</w:t>
                  </w:r>
                </w:p>
              </w:tc>
              <w:tc>
                <w:tcPr>
                  <w:tcW w:w="720" w:type="pct"/>
                  <w:tcBorders>
                    <w:tl2br w:val="nil"/>
                    <w:tr2bl w:val="nil"/>
                  </w:tcBorders>
                  <w:shd w:val="clear" w:color="auto" w:fill="auto"/>
                  <w:noWrap w:val="0"/>
                  <w:vAlign w:val="center"/>
                </w:tcPr>
                <w:p w14:paraId="3BC69981">
                  <w:pPr>
                    <w:keepNext w:val="0"/>
                    <w:keepLines w:val="0"/>
                    <w:suppressLineNumbers w:val="0"/>
                    <w:shd w:val="clear" w:color="auto" w:fill="auto"/>
                    <w:spacing w:before="0" w:beforeAutospacing="0" w:after="0" w:afterAutospacing="0" w:line="240" w:lineRule="auto"/>
                    <w:ind w:left="0" w:right="0"/>
                    <w:jc w:val="center"/>
                    <w:rPr>
                      <w:rFonts w:hint="eastAsia" w:ascii="Times New Roman" w:hAnsi="Times New Roman"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mL/a</w:t>
                  </w:r>
                </w:p>
              </w:tc>
              <w:tc>
                <w:tcPr>
                  <w:tcW w:w="954" w:type="pct"/>
                  <w:tcBorders>
                    <w:tl2br w:val="nil"/>
                    <w:tr2bl w:val="nil"/>
                  </w:tcBorders>
                  <w:shd w:val="clear" w:color="auto" w:fill="auto"/>
                  <w:noWrap w:val="0"/>
                  <w:vAlign w:val="center"/>
                </w:tcPr>
                <w:p w14:paraId="1BFEFCC7">
                  <w:pPr>
                    <w:keepNext w:val="0"/>
                    <w:keepLines w:val="0"/>
                    <w:suppressLineNumbers w:val="0"/>
                    <w:shd w:val="clear" w:color="auto" w:fill="auto"/>
                    <w:bidi w:val="0"/>
                    <w:spacing w:before="0" w:beforeAutospacing="0" w:after="0" w:afterAutospacing="0" w:line="240" w:lineRule="auto"/>
                    <w:ind w:left="0" w:right="0"/>
                    <w:jc w:val="center"/>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500</w:t>
                  </w:r>
                </w:p>
              </w:tc>
              <w:tc>
                <w:tcPr>
                  <w:tcW w:w="878" w:type="pct"/>
                  <w:tcBorders>
                    <w:tl2br w:val="nil"/>
                    <w:tr2bl w:val="nil"/>
                  </w:tcBorders>
                  <w:shd w:val="clear" w:color="auto" w:fill="auto"/>
                  <w:noWrap w:val="0"/>
                  <w:vAlign w:val="center"/>
                </w:tcPr>
                <w:p w14:paraId="00BCA9EA">
                  <w:pPr>
                    <w:keepNext w:val="0"/>
                    <w:keepLines w:val="0"/>
                    <w:suppressLineNumbers w:val="0"/>
                    <w:shd w:val="clear" w:color="auto" w:fill="auto"/>
                    <w:bidi w:val="0"/>
                    <w:spacing w:before="0" w:beforeAutospacing="0" w:after="0" w:afterAutospacing="0" w:line="240" w:lineRule="auto"/>
                    <w:ind w:left="0" w:right="0"/>
                    <w:jc w:val="center"/>
                    <w:rPr>
                      <w:rFonts w:hint="eastAsia" w:ascii="Times New Roman" w:hAnsi="Times New Roman" w:eastAsia="宋体" w:cs="Times New Roman"/>
                      <w:color w:val="000000"/>
                      <w:highlight w:val="yellow"/>
                      <w:lang w:val="en-US" w:eastAsia="zh-CN"/>
                    </w:rPr>
                  </w:pPr>
                  <w:r>
                    <w:rPr>
                      <w:rFonts w:hint="eastAsia" w:ascii="Times New Roman" w:hAnsi="Times New Roman" w:eastAsia="宋体" w:cs="Times New Roman"/>
                      <w:color w:val="000000"/>
                      <w:highlight w:val="none"/>
                      <w:lang w:val="en-US" w:eastAsia="zh-CN"/>
                    </w:rPr>
                    <w:t>外购</w:t>
                  </w:r>
                </w:p>
              </w:tc>
              <w:tc>
                <w:tcPr>
                  <w:tcW w:w="878" w:type="pct"/>
                  <w:tcBorders>
                    <w:tl2br w:val="nil"/>
                    <w:tr2bl w:val="nil"/>
                  </w:tcBorders>
                  <w:shd w:val="clear" w:color="auto" w:fill="auto"/>
                  <w:noWrap w:val="0"/>
                  <w:vAlign w:val="center"/>
                </w:tcPr>
                <w:p w14:paraId="6D5D34D4">
                  <w:pPr>
                    <w:keepNext w:val="0"/>
                    <w:keepLines w:val="0"/>
                    <w:suppressLineNumbers w:val="0"/>
                    <w:shd w:val="clear" w:color="auto" w:fill="auto"/>
                    <w:bidi w:val="0"/>
                    <w:spacing w:before="0" w:beforeAutospacing="0" w:after="0" w:afterAutospacing="0" w:line="240" w:lineRule="auto"/>
                    <w:ind w:left="0" w:right="0"/>
                    <w:jc w:val="center"/>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实验室试剂</w:t>
                  </w:r>
                </w:p>
              </w:tc>
            </w:tr>
            <w:tr w14:paraId="5FCEE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14" w:type="pct"/>
                  <w:tcBorders>
                    <w:tl2br w:val="nil"/>
                    <w:tr2bl w:val="nil"/>
                  </w:tcBorders>
                  <w:shd w:val="clear" w:color="auto" w:fill="auto"/>
                  <w:noWrap w:val="0"/>
                  <w:vAlign w:val="center"/>
                </w:tcPr>
                <w:p w14:paraId="6D136214">
                  <w:pPr>
                    <w:keepNext w:val="0"/>
                    <w:keepLines w:val="0"/>
                    <w:suppressLineNumbers w:val="0"/>
                    <w:shd w:val="clear" w:color="auto" w:fill="auto"/>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lang w:val="en-US" w:eastAsia="zh-CN"/>
                    </w:rPr>
                  </w:pPr>
                  <w:bookmarkStart w:id="23" w:name="OLE_LINK1"/>
                  <w:r>
                    <w:rPr>
                      <w:rFonts w:hint="eastAsia" w:ascii="Times New Roman" w:hAnsi="Times New Roman" w:eastAsia="宋体" w:cs="Times New Roman"/>
                      <w:color w:val="000000"/>
                      <w:szCs w:val="21"/>
                      <w:highlight w:val="none"/>
                      <w:lang w:val="en-US" w:eastAsia="zh-CN"/>
                    </w:rPr>
                    <w:t>8</w:t>
                  </w:r>
                </w:p>
              </w:tc>
              <w:tc>
                <w:tcPr>
                  <w:tcW w:w="954" w:type="pct"/>
                  <w:tcBorders>
                    <w:tl2br w:val="nil"/>
                    <w:tr2bl w:val="nil"/>
                  </w:tcBorders>
                  <w:shd w:val="clear" w:color="auto" w:fill="auto"/>
                  <w:noWrap w:val="0"/>
                  <w:vAlign w:val="center"/>
                </w:tcPr>
                <w:p w14:paraId="66749E66">
                  <w:pPr>
                    <w:pStyle w:val="61"/>
                    <w:keepNext w:val="0"/>
                    <w:keepLines w:val="0"/>
                    <w:suppressLineNumbers w:val="0"/>
                    <w:shd w:val="clear" w:color="auto" w:fill="auto"/>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酚酞</w:t>
                  </w:r>
                </w:p>
              </w:tc>
              <w:tc>
                <w:tcPr>
                  <w:tcW w:w="720" w:type="pct"/>
                  <w:tcBorders>
                    <w:tl2br w:val="nil"/>
                    <w:tr2bl w:val="nil"/>
                  </w:tcBorders>
                  <w:shd w:val="clear" w:color="auto" w:fill="auto"/>
                  <w:noWrap w:val="0"/>
                  <w:vAlign w:val="center"/>
                </w:tcPr>
                <w:p w14:paraId="45B315AB">
                  <w:pPr>
                    <w:keepNext w:val="0"/>
                    <w:keepLines w:val="0"/>
                    <w:suppressLineNumbers w:val="0"/>
                    <w:shd w:val="clear" w:color="auto" w:fill="auto"/>
                    <w:spacing w:before="0" w:beforeAutospacing="0" w:after="0" w:afterAutospacing="0" w:line="240" w:lineRule="auto"/>
                    <w:ind w:left="0" w:right="0"/>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lang w:val="en-US" w:eastAsia="zh-CN"/>
                    </w:rPr>
                    <w:t>mL/a</w:t>
                  </w:r>
                </w:p>
              </w:tc>
              <w:tc>
                <w:tcPr>
                  <w:tcW w:w="954" w:type="pct"/>
                  <w:tcBorders>
                    <w:tl2br w:val="nil"/>
                    <w:tr2bl w:val="nil"/>
                  </w:tcBorders>
                  <w:shd w:val="clear" w:color="auto" w:fill="auto"/>
                  <w:noWrap w:val="0"/>
                  <w:vAlign w:val="center"/>
                </w:tcPr>
                <w:p w14:paraId="1AC72AB1">
                  <w:pPr>
                    <w:keepNext w:val="0"/>
                    <w:keepLines w:val="0"/>
                    <w:suppressLineNumbers w:val="0"/>
                    <w:shd w:val="clear" w:color="auto" w:fill="auto"/>
                    <w:bidi w:val="0"/>
                    <w:spacing w:before="0" w:beforeAutospacing="0" w:after="0" w:afterAutospacing="0" w:line="240" w:lineRule="auto"/>
                    <w:ind w:left="0" w:right="0"/>
                    <w:jc w:val="center"/>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10</w:t>
                  </w:r>
                </w:p>
              </w:tc>
              <w:tc>
                <w:tcPr>
                  <w:tcW w:w="878" w:type="pct"/>
                  <w:tcBorders>
                    <w:tl2br w:val="nil"/>
                    <w:tr2bl w:val="nil"/>
                  </w:tcBorders>
                  <w:shd w:val="clear" w:color="auto" w:fill="auto"/>
                  <w:noWrap w:val="0"/>
                  <w:vAlign w:val="center"/>
                </w:tcPr>
                <w:p w14:paraId="2F1F5EAF">
                  <w:pPr>
                    <w:keepNext w:val="0"/>
                    <w:keepLines w:val="0"/>
                    <w:suppressLineNumbers w:val="0"/>
                    <w:shd w:val="clear" w:color="auto" w:fill="auto"/>
                    <w:bidi w:val="0"/>
                    <w:spacing w:before="0" w:beforeAutospacing="0" w:after="0" w:afterAutospacing="0" w:line="240" w:lineRule="auto"/>
                    <w:ind w:left="0" w:right="0"/>
                    <w:jc w:val="center"/>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外购</w:t>
                  </w:r>
                </w:p>
              </w:tc>
              <w:tc>
                <w:tcPr>
                  <w:tcW w:w="878" w:type="pct"/>
                  <w:vMerge w:val="restart"/>
                  <w:tcBorders>
                    <w:tl2br w:val="nil"/>
                    <w:tr2bl w:val="nil"/>
                  </w:tcBorders>
                  <w:shd w:val="clear" w:color="auto" w:fill="auto"/>
                  <w:noWrap w:val="0"/>
                  <w:vAlign w:val="center"/>
                </w:tcPr>
                <w:p w14:paraId="72DD6C0B">
                  <w:pPr>
                    <w:keepNext w:val="0"/>
                    <w:keepLines w:val="0"/>
                    <w:suppressLineNumbers w:val="0"/>
                    <w:shd w:val="clear" w:color="auto" w:fill="auto"/>
                    <w:bidi w:val="0"/>
                    <w:spacing w:before="0" w:beforeAutospacing="0" w:after="0" w:afterAutospacing="0" w:line="240" w:lineRule="auto"/>
                    <w:ind w:left="0" w:right="0"/>
                    <w:jc w:val="center"/>
                    <w:rPr>
                      <w:rFonts w:hint="default" w:ascii="Times New Roman" w:hAnsi="Times New Roman" w:eastAsia="宋体" w:cs="Times New Roman"/>
                      <w:color w:val="000000"/>
                      <w:highlight w:val="none"/>
                      <w:lang w:val="en-US" w:eastAsia="zh-CN"/>
                    </w:rPr>
                  </w:pPr>
                </w:p>
              </w:tc>
            </w:tr>
            <w:tr w14:paraId="30F1E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614" w:type="pct"/>
                  <w:tcBorders>
                    <w:tl2br w:val="nil"/>
                    <w:tr2bl w:val="nil"/>
                  </w:tcBorders>
                  <w:shd w:val="clear" w:color="auto" w:fill="auto"/>
                  <w:noWrap w:val="0"/>
                  <w:vAlign w:val="center"/>
                </w:tcPr>
                <w:p w14:paraId="5991DFD4">
                  <w:pPr>
                    <w:keepNext w:val="0"/>
                    <w:keepLines w:val="0"/>
                    <w:suppressLineNumbers w:val="0"/>
                    <w:shd w:val="clear" w:color="auto" w:fill="auto"/>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9</w:t>
                  </w:r>
                </w:p>
              </w:tc>
              <w:tc>
                <w:tcPr>
                  <w:tcW w:w="954" w:type="pct"/>
                  <w:tcBorders>
                    <w:tl2br w:val="nil"/>
                    <w:tr2bl w:val="nil"/>
                  </w:tcBorders>
                  <w:shd w:val="clear" w:color="auto" w:fill="auto"/>
                  <w:noWrap w:val="0"/>
                  <w:vAlign w:val="center"/>
                </w:tcPr>
                <w:p w14:paraId="0CBAD1A4">
                  <w:pPr>
                    <w:keepNext w:val="0"/>
                    <w:keepLines w:val="0"/>
                    <w:widowControl/>
                    <w:suppressLineNumbers w:val="0"/>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宋体" w:hAnsi="宋体" w:eastAsia="宋体" w:cs="宋体"/>
                      <w:color w:val="000000"/>
                      <w:kern w:val="0"/>
                      <w:sz w:val="20"/>
                      <w:szCs w:val="20"/>
                      <w:lang w:val="en-US" w:eastAsia="zh-CN" w:bidi="zh-HK"/>
                    </w:rPr>
                    <w:t>乙酸正丁酯</w:t>
                  </w:r>
                </w:p>
              </w:tc>
              <w:tc>
                <w:tcPr>
                  <w:tcW w:w="720" w:type="pct"/>
                  <w:tcBorders>
                    <w:tl2br w:val="nil"/>
                    <w:tr2bl w:val="nil"/>
                  </w:tcBorders>
                  <w:shd w:val="clear" w:color="auto" w:fill="auto"/>
                  <w:noWrap w:val="0"/>
                  <w:vAlign w:val="center"/>
                </w:tcPr>
                <w:p w14:paraId="11DE8232">
                  <w:pPr>
                    <w:keepNext w:val="0"/>
                    <w:keepLines w:val="0"/>
                    <w:suppressLineNumbers w:val="0"/>
                    <w:shd w:val="clear" w:color="auto" w:fill="auto"/>
                    <w:spacing w:before="0" w:beforeAutospacing="0" w:after="0" w:afterAutospacing="0" w:line="240" w:lineRule="auto"/>
                    <w:ind w:left="0" w:right="0"/>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lang w:val="en-US" w:eastAsia="zh-CN"/>
                    </w:rPr>
                    <w:t>mL/a</w:t>
                  </w:r>
                </w:p>
              </w:tc>
              <w:tc>
                <w:tcPr>
                  <w:tcW w:w="954" w:type="pct"/>
                  <w:tcBorders>
                    <w:tl2br w:val="nil"/>
                    <w:tr2bl w:val="nil"/>
                  </w:tcBorders>
                  <w:shd w:val="clear" w:color="auto" w:fill="auto"/>
                  <w:noWrap w:val="0"/>
                  <w:vAlign w:val="center"/>
                </w:tcPr>
                <w:p w14:paraId="6C98D4BD">
                  <w:pPr>
                    <w:keepNext w:val="0"/>
                    <w:keepLines w:val="0"/>
                    <w:suppressLineNumbers w:val="0"/>
                    <w:shd w:val="clear" w:color="auto" w:fill="auto"/>
                    <w:bidi w:val="0"/>
                    <w:spacing w:before="0" w:beforeAutospacing="0" w:after="0" w:afterAutospacing="0" w:line="240" w:lineRule="auto"/>
                    <w:ind w:left="0" w:right="0"/>
                    <w:jc w:val="center"/>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20</w:t>
                  </w:r>
                </w:p>
              </w:tc>
              <w:tc>
                <w:tcPr>
                  <w:tcW w:w="878" w:type="pct"/>
                  <w:tcBorders>
                    <w:tl2br w:val="nil"/>
                    <w:tr2bl w:val="nil"/>
                  </w:tcBorders>
                  <w:shd w:val="clear" w:color="auto" w:fill="auto"/>
                  <w:noWrap w:val="0"/>
                  <w:vAlign w:val="center"/>
                </w:tcPr>
                <w:p w14:paraId="32D5F959">
                  <w:pPr>
                    <w:keepNext w:val="0"/>
                    <w:keepLines w:val="0"/>
                    <w:suppressLineNumbers w:val="0"/>
                    <w:shd w:val="clear" w:color="auto" w:fill="auto"/>
                    <w:bidi w:val="0"/>
                    <w:spacing w:before="0" w:beforeAutospacing="0" w:after="0" w:afterAutospacing="0" w:line="240" w:lineRule="auto"/>
                    <w:ind w:left="0" w:right="0"/>
                    <w:jc w:val="center"/>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外购</w:t>
                  </w:r>
                </w:p>
              </w:tc>
              <w:tc>
                <w:tcPr>
                  <w:tcW w:w="878" w:type="pct"/>
                  <w:vMerge w:val="continue"/>
                  <w:tcBorders>
                    <w:tl2br w:val="nil"/>
                    <w:tr2bl w:val="nil"/>
                  </w:tcBorders>
                  <w:shd w:val="clear" w:color="auto" w:fill="auto"/>
                  <w:noWrap w:val="0"/>
                  <w:vAlign w:val="center"/>
                </w:tcPr>
                <w:p w14:paraId="65CFE814">
                  <w:pPr>
                    <w:keepNext w:val="0"/>
                    <w:keepLines w:val="0"/>
                    <w:suppressLineNumbers w:val="0"/>
                    <w:shd w:val="clear" w:color="auto" w:fill="auto"/>
                    <w:bidi w:val="0"/>
                    <w:spacing w:before="0" w:beforeAutospacing="0" w:after="0" w:afterAutospacing="0" w:line="240" w:lineRule="auto"/>
                    <w:ind w:left="0" w:right="0"/>
                    <w:jc w:val="center"/>
                    <w:rPr>
                      <w:rFonts w:hint="eastAsia" w:ascii="Times New Roman" w:hAnsi="Times New Roman" w:eastAsia="宋体" w:cs="Times New Roman"/>
                      <w:color w:val="000000"/>
                      <w:highlight w:val="none"/>
                      <w:lang w:val="en-US" w:eastAsia="zh-CN"/>
                    </w:rPr>
                  </w:pPr>
                </w:p>
              </w:tc>
            </w:tr>
          </w:tbl>
          <w:p w14:paraId="2C5DC67D">
            <w:pPr>
              <w:keepNext w:val="0"/>
              <w:keepLines w:val="0"/>
              <w:pageBreakBefore w:val="0"/>
              <w:widowControl/>
              <w:shd w:val="clear" w:color="auto" w:fill="auto"/>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eastAsia="宋体" w:cs="Times New Roman"/>
                <w:color w:val="000000"/>
                <w:sz w:val="21"/>
                <w:szCs w:val="21"/>
                <w:highlight w:val="none"/>
              </w:rPr>
            </w:pPr>
            <w:r>
              <w:rPr>
                <w:rFonts w:hint="eastAsia" w:cs="Times New Roman"/>
                <w:b/>
                <w:bCs/>
                <w:color w:val="000000"/>
                <w:sz w:val="21"/>
                <w:szCs w:val="21"/>
                <w:highlight w:val="none"/>
                <w:lang w:val="en-US" w:eastAsia="zh-CN"/>
              </w:rPr>
              <w:t>天然气</w:t>
            </w:r>
            <w:r>
              <w:rPr>
                <w:rFonts w:hint="eastAsia" w:ascii="Times New Roman" w:hAnsi="Times New Roman" w:eastAsia="宋体" w:cs="Times New Roman"/>
                <w:b/>
                <w:bCs/>
                <w:color w:val="000000"/>
                <w:sz w:val="21"/>
                <w:szCs w:val="21"/>
                <w:highlight w:val="none"/>
                <w:lang w:val="en-US" w:eastAsia="zh-CN"/>
              </w:rPr>
              <w:t>用量核算</w:t>
            </w:r>
            <w:bookmarkEnd w:id="23"/>
            <w:r>
              <w:rPr>
                <w:rFonts w:hint="eastAsia" w:ascii="Times New Roman" w:hAnsi="Times New Roman" w:eastAsia="宋体" w:cs="Times New Roman"/>
                <w:b/>
                <w:bCs/>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项目采用</w:t>
            </w:r>
            <w:r>
              <w:rPr>
                <w:rFonts w:hint="eastAsia" w:cs="Times New Roman"/>
                <w:color w:val="000000"/>
                <w:sz w:val="21"/>
                <w:szCs w:val="21"/>
                <w:highlight w:val="none"/>
                <w:lang w:val="en-US" w:eastAsia="zh-CN"/>
              </w:rPr>
              <w:t>天然气</w:t>
            </w:r>
            <w:r>
              <w:rPr>
                <w:rFonts w:hint="eastAsia" w:ascii="Times New Roman" w:hAnsi="Times New Roman" w:eastAsia="宋体" w:cs="Times New Roman"/>
                <w:color w:val="000000"/>
                <w:sz w:val="21"/>
                <w:szCs w:val="21"/>
                <w:highlight w:val="none"/>
                <w:lang w:val="en-US" w:eastAsia="zh-CN"/>
              </w:rPr>
              <w:t>燃料，根据项目年用蒸汽量4200</w:t>
            </w:r>
            <w:r>
              <w:rPr>
                <w:rFonts w:hint="default" w:ascii="Times New Roman" w:hAnsi="Times New Roman" w:eastAsia="宋体" w:cs="Times New Roman"/>
                <w:color w:val="000000"/>
                <w:sz w:val="21"/>
                <w:szCs w:val="21"/>
                <w:highlight w:val="none"/>
                <w:lang w:val="en-US" w:eastAsia="zh-CN"/>
              </w:rPr>
              <w:t>t</w:t>
            </w:r>
            <w:r>
              <w:rPr>
                <w:rFonts w:hint="eastAsia" w:ascii="Times New Roman" w:hAnsi="Times New Roman" w:eastAsia="宋体" w:cs="Times New Roman"/>
                <w:color w:val="000000"/>
                <w:sz w:val="21"/>
                <w:szCs w:val="21"/>
                <w:highlight w:val="none"/>
                <w:lang w:val="en-US" w:eastAsia="zh-CN"/>
              </w:rPr>
              <w:t>，锅炉需要产生的热量为4200</w:t>
            </w:r>
            <w:r>
              <w:rPr>
                <w:rFonts w:hint="default" w:ascii="Times New Roman" w:hAnsi="Times New Roman" w:eastAsia="宋体" w:cs="Times New Roman"/>
                <w:color w:val="000000"/>
                <w:sz w:val="21"/>
                <w:szCs w:val="21"/>
                <w:highlight w:val="none"/>
                <w:lang w:val="en-US" w:eastAsia="zh-CN"/>
              </w:rPr>
              <w:t>*60</w:t>
            </w:r>
            <w:r>
              <w:rPr>
                <w:rFonts w:hint="eastAsia" w:ascii="Times New Roman" w:hAnsi="Times New Roman" w:eastAsia="宋体" w:cs="Times New Roman"/>
                <w:color w:val="000000"/>
                <w:sz w:val="21"/>
                <w:szCs w:val="21"/>
                <w:highlight w:val="none"/>
                <w:lang w:val="en-US" w:eastAsia="zh-CN"/>
              </w:rPr>
              <w:t>万大卡</w:t>
            </w:r>
            <w:r>
              <w:rPr>
                <w:rFonts w:hint="default" w:ascii="Times New Roman" w:hAnsi="Times New Roman" w:eastAsia="宋体"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252000万大卡热量</w:t>
            </w:r>
            <w:r>
              <w:rPr>
                <w:rFonts w:hint="default" w:ascii="Times New Roman" w:hAnsi="Times New Roman" w:eastAsia="宋体" w:cs="Times New Roman"/>
                <w:color w:val="000000"/>
                <w:sz w:val="21"/>
                <w:szCs w:val="21"/>
                <w:highlight w:val="none"/>
                <w:lang w:val="en-US" w:eastAsia="zh-CN"/>
              </w:rPr>
              <w:t>/80%</w:t>
            </w:r>
            <w:r>
              <w:rPr>
                <w:rFonts w:hint="eastAsia" w:ascii="Times New Roman" w:hAnsi="Times New Roman" w:eastAsia="宋体" w:cs="Times New Roman"/>
                <w:color w:val="000000"/>
                <w:sz w:val="21"/>
                <w:szCs w:val="21"/>
                <w:highlight w:val="none"/>
                <w:lang w:val="en-US" w:eastAsia="zh-CN"/>
              </w:rPr>
              <w:t>（锅炉热效率）</w:t>
            </w:r>
            <w:r>
              <w:rPr>
                <w:rFonts w:hint="default" w:ascii="Times New Roman" w:hAnsi="Times New Roman" w:eastAsia="宋体"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315000万大卡，</w:t>
            </w:r>
            <w:r>
              <w:rPr>
                <w:rFonts w:hint="eastAsia" w:cs="Times New Roman"/>
                <w:color w:val="000000"/>
                <w:sz w:val="21"/>
                <w:szCs w:val="21"/>
                <w:highlight w:val="none"/>
                <w:lang w:val="en-US" w:eastAsia="zh-CN"/>
              </w:rPr>
              <w:t>天然气</w:t>
            </w:r>
            <w:r>
              <w:rPr>
                <w:rFonts w:hint="eastAsia" w:ascii="Times New Roman" w:hAnsi="Times New Roman" w:eastAsia="宋体" w:cs="Times New Roman"/>
                <w:color w:val="000000"/>
                <w:sz w:val="21"/>
                <w:szCs w:val="21"/>
                <w:highlight w:val="none"/>
                <w:lang w:val="en-US" w:eastAsia="zh-CN"/>
              </w:rPr>
              <w:t>低位热值32.74MJ/Nm</w:t>
            </w:r>
            <w:r>
              <w:rPr>
                <w:rFonts w:hint="eastAsia" w:ascii="Times New Roman" w:hAnsi="Times New Roman" w:eastAsia="宋体" w:cs="Times New Roman"/>
                <w:color w:val="000000"/>
                <w:sz w:val="21"/>
                <w:szCs w:val="21"/>
                <w:highlight w:val="none"/>
                <w:vertAlign w:val="superscript"/>
                <w:lang w:val="en-US" w:eastAsia="zh-CN"/>
              </w:rPr>
              <w:t>3</w:t>
            </w:r>
            <w:r>
              <w:rPr>
                <w:rFonts w:hint="eastAsia" w:cs="Times New Roman"/>
                <w:color w:val="000000"/>
                <w:sz w:val="21"/>
                <w:szCs w:val="21"/>
                <w:highlight w:val="none"/>
                <w:vertAlign w:val="baseline"/>
                <w:lang w:val="en-US" w:eastAsia="zh-CN"/>
              </w:rPr>
              <w:t>，年用天然气量为33.6万m</w:t>
            </w:r>
            <w:r>
              <w:rPr>
                <w:rFonts w:hint="eastAsia" w:cs="Times New Roman"/>
                <w:color w:val="000000"/>
                <w:sz w:val="21"/>
                <w:szCs w:val="21"/>
                <w:highlight w:val="none"/>
                <w:vertAlign w:val="superscript"/>
                <w:lang w:val="en-US" w:eastAsia="zh-CN"/>
              </w:rPr>
              <w:t>3</w:t>
            </w:r>
            <w:r>
              <w:rPr>
                <w:rFonts w:hint="eastAsia" w:cs="Times New Roman"/>
                <w:color w:val="000000"/>
                <w:sz w:val="21"/>
                <w:szCs w:val="21"/>
                <w:highlight w:val="none"/>
                <w:vertAlign w:val="baseline"/>
                <w:lang w:val="en-US" w:eastAsia="zh-CN"/>
              </w:rPr>
              <w:t>。</w:t>
            </w:r>
          </w:p>
          <w:p w14:paraId="2C12E00B">
            <w:pPr>
              <w:widowControl/>
              <w:shd w:val="clear" w:color="auto" w:fill="auto"/>
              <w:adjustRightInd w:val="0"/>
              <w:snapToGrid w:val="0"/>
              <w:spacing w:line="360" w:lineRule="auto"/>
              <w:ind w:firstLine="422" w:firstLineChars="200"/>
              <w:rPr>
                <w:rFonts w:hint="eastAsia" w:cs="Times New Roman"/>
                <w:b/>
                <w:bCs/>
                <w:color w:val="000000"/>
                <w:sz w:val="21"/>
                <w:szCs w:val="21"/>
                <w:highlight w:val="none"/>
                <w:lang w:val="en-US" w:eastAsia="zh-CN"/>
              </w:rPr>
            </w:pPr>
            <w:r>
              <w:rPr>
                <w:rFonts w:hint="eastAsia" w:cs="Times New Roman"/>
                <w:b/>
                <w:bCs/>
                <w:color w:val="000000"/>
                <w:sz w:val="21"/>
                <w:szCs w:val="21"/>
                <w:highlight w:val="none"/>
                <w:lang w:val="en-US" w:eastAsia="zh-CN"/>
              </w:rPr>
              <w:t>原辅材料的理化性质：</w:t>
            </w:r>
          </w:p>
          <w:p w14:paraId="52968F9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天然气：天然气是存在于地下岩石储集层中以烃为主体的混合气体的统称，比重约0.65，比空气轻，具有无色、无味之特性。</w:t>
            </w:r>
          </w:p>
          <w:p w14:paraId="42745E52">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天然气不溶于水，密度为0.7174kg/Nm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，相对密度（水）为约0.45（液化）燃点</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为650，爆炸极限</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为5-15。在标准状况下，甲烷至丁烷以气体状态存在，戊烷以上为液体。</w:t>
            </w:r>
          </w:p>
          <w:p w14:paraId="101BD2B6">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bCs/>
                <w:color w:val="auto"/>
                <w:kern w:val="0"/>
                <w:sz w:val="21"/>
                <w:szCs w:val="21"/>
                <w:lang w:val="en-US" w:bidi="zh-CN"/>
              </w:rPr>
              <w:t>表2-</w:t>
            </w:r>
            <w:r>
              <w:rPr>
                <w:rFonts w:hint="default" w:ascii="Times New Roman" w:hAnsi="Times New Roman" w:eastAsia="宋体" w:cs="Times New Roman"/>
                <w:b/>
                <w:bCs/>
                <w:color w:val="auto"/>
                <w:kern w:val="0"/>
                <w:sz w:val="21"/>
                <w:szCs w:val="21"/>
                <w:lang w:val="en-US" w:eastAsia="zh-CN" w:bidi="zh-CN"/>
              </w:rPr>
              <w:t>5</w:t>
            </w:r>
            <w:r>
              <w:rPr>
                <w:rFonts w:hint="default" w:ascii="Times New Roman" w:hAnsi="Times New Roman" w:eastAsia="宋体" w:cs="Times New Roman"/>
                <w:b/>
                <w:bCs/>
                <w:color w:val="auto"/>
                <w:kern w:val="0"/>
                <w:sz w:val="21"/>
                <w:szCs w:val="21"/>
                <w:lang w:val="en-US" w:bidi="zh-CN"/>
              </w:rPr>
              <w:t xml:space="preserve">    项目天然气组分表</w:t>
            </w:r>
          </w:p>
          <w:tbl>
            <w:tblPr>
              <w:tblStyle w:val="12"/>
              <w:tblW w:w="490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556"/>
              <w:gridCol w:w="1716"/>
              <w:gridCol w:w="1718"/>
              <w:gridCol w:w="1718"/>
            </w:tblGrid>
            <w:tr w14:paraId="12B855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58" w:type="pct"/>
                  <w:tcBorders>
                    <w:tl2br w:val="nil"/>
                    <w:tr2bl w:val="nil"/>
                  </w:tcBorders>
                  <w:noWrap/>
                  <w:vAlign w:val="center"/>
                </w:tcPr>
                <w:p w14:paraId="288D92E6">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分析项目</w:t>
                  </w:r>
                </w:p>
              </w:tc>
              <w:tc>
                <w:tcPr>
                  <w:tcW w:w="1113" w:type="pct"/>
                  <w:tcBorders>
                    <w:tl2br w:val="nil"/>
                    <w:tr2bl w:val="nil"/>
                  </w:tcBorders>
                  <w:noWrap/>
                  <w:vAlign w:val="center"/>
                </w:tcPr>
                <w:p w14:paraId="1C95C2B5">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烃类（%）</w:t>
                  </w:r>
                </w:p>
              </w:tc>
              <w:tc>
                <w:tcPr>
                  <w:tcW w:w="1114" w:type="pct"/>
                  <w:tcBorders>
                    <w:tl2br w:val="nil"/>
                    <w:tr2bl w:val="nil"/>
                  </w:tcBorders>
                  <w:noWrap/>
                  <w:vAlign w:val="center"/>
                </w:tcPr>
                <w:p w14:paraId="085FE8A1">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分析项目</w:t>
                  </w:r>
                </w:p>
              </w:tc>
              <w:tc>
                <w:tcPr>
                  <w:tcW w:w="1114" w:type="pct"/>
                  <w:tcBorders>
                    <w:tl2br w:val="nil"/>
                    <w:tr2bl w:val="nil"/>
                  </w:tcBorders>
                  <w:noWrap/>
                  <w:vAlign w:val="center"/>
                </w:tcPr>
                <w:p w14:paraId="11BBDC78">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非烃类（%）</w:t>
                  </w:r>
                </w:p>
              </w:tc>
            </w:tr>
            <w:tr w14:paraId="370EF2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658" w:type="pct"/>
                  <w:tcBorders>
                    <w:tl2br w:val="nil"/>
                    <w:tr2bl w:val="nil"/>
                  </w:tcBorders>
                  <w:noWrap/>
                  <w:vAlign w:val="center"/>
                </w:tcPr>
                <w:p w14:paraId="47FE840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4</w:t>
                  </w:r>
                </w:p>
              </w:tc>
              <w:tc>
                <w:tcPr>
                  <w:tcW w:w="1113" w:type="pct"/>
                  <w:tcBorders>
                    <w:tl2br w:val="nil"/>
                    <w:tr2bl w:val="nil"/>
                  </w:tcBorders>
                  <w:noWrap/>
                  <w:vAlign w:val="center"/>
                </w:tcPr>
                <w:p w14:paraId="6363209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96.0951</w:t>
                  </w:r>
                </w:p>
              </w:tc>
              <w:tc>
                <w:tcPr>
                  <w:tcW w:w="1114" w:type="pct"/>
                  <w:tcBorders>
                    <w:tl2br w:val="nil"/>
                    <w:tr2bl w:val="nil"/>
                  </w:tcBorders>
                  <w:noWrap/>
                  <w:vAlign w:val="center"/>
                </w:tcPr>
                <w:p w14:paraId="2E37CBA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He</w:t>
                  </w:r>
                </w:p>
              </w:tc>
              <w:tc>
                <w:tcPr>
                  <w:tcW w:w="1114" w:type="pct"/>
                  <w:tcBorders>
                    <w:tl2br w:val="nil"/>
                    <w:tr2bl w:val="nil"/>
                  </w:tcBorders>
                  <w:noWrap/>
                  <w:vAlign w:val="center"/>
                </w:tcPr>
                <w:p w14:paraId="1551587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0.0226</w:t>
                  </w:r>
                </w:p>
              </w:tc>
            </w:tr>
            <w:tr w14:paraId="311933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658" w:type="pct"/>
                  <w:tcBorders>
                    <w:tl2br w:val="nil"/>
                    <w:tr2bl w:val="nil"/>
                  </w:tcBorders>
                  <w:noWrap/>
                  <w:vAlign w:val="center"/>
                </w:tcPr>
                <w:p w14:paraId="49D8873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6</w:t>
                  </w:r>
                </w:p>
              </w:tc>
              <w:tc>
                <w:tcPr>
                  <w:tcW w:w="1113" w:type="pct"/>
                  <w:tcBorders>
                    <w:tl2br w:val="nil"/>
                    <w:tr2bl w:val="nil"/>
                  </w:tcBorders>
                  <w:noWrap/>
                  <w:vAlign w:val="center"/>
                </w:tcPr>
                <w:p w14:paraId="4BC3AA8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0.9616</w:t>
                  </w:r>
                </w:p>
              </w:tc>
              <w:tc>
                <w:tcPr>
                  <w:tcW w:w="1114" w:type="pct"/>
                  <w:tcBorders>
                    <w:tl2br w:val="nil"/>
                    <w:tr2bl w:val="nil"/>
                  </w:tcBorders>
                  <w:noWrap/>
                  <w:vAlign w:val="center"/>
                </w:tcPr>
                <w:p w14:paraId="33DD5B2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p>
              </w:tc>
              <w:tc>
                <w:tcPr>
                  <w:tcW w:w="1114" w:type="pct"/>
                  <w:tcBorders>
                    <w:tl2br w:val="nil"/>
                    <w:tr2bl w:val="nil"/>
                  </w:tcBorders>
                  <w:noWrap/>
                  <w:vAlign w:val="center"/>
                </w:tcPr>
                <w:p w14:paraId="646C0B1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0.000</w:t>
                  </w:r>
                </w:p>
              </w:tc>
            </w:tr>
            <w:tr w14:paraId="352C8A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658" w:type="pct"/>
                  <w:tcBorders>
                    <w:tl2br w:val="nil"/>
                    <w:tr2bl w:val="nil"/>
                  </w:tcBorders>
                  <w:noWrap/>
                  <w:vAlign w:val="center"/>
                </w:tcPr>
                <w:p w14:paraId="6548427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8</w:t>
                  </w:r>
                </w:p>
              </w:tc>
              <w:tc>
                <w:tcPr>
                  <w:tcW w:w="1113" w:type="pct"/>
                  <w:tcBorders>
                    <w:tl2br w:val="nil"/>
                    <w:tr2bl w:val="nil"/>
                  </w:tcBorders>
                  <w:noWrap/>
                  <w:vAlign w:val="center"/>
                </w:tcPr>
                <w:p w14:paraId="525442B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0.1257</w:t>
                  </w:r>
                </w:p>
              </w:tc>
              <w:tc>
                <w:tcPr>
                  <w:tcW w:w="1114" w:type="pct"/>
                  <w:tcBorders>
                    <w:tl2br w:val="nil"/>
                    <w:tr2bl w:val="nil"/>
                  </w:tcBorders>
                  <w:noWrap/>
                  <w:vAlign w:val="center"/>
                </w:tcPr>
                <w:p w14:paraId="527F03D7">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w:t>
                  </w:r>
                  <w:r>
                    <w:rPr>
                      <w:rFonts w:hint="default" w:ascii="Times New Roman" w:hAnsi="Times New Roman" w:cs="Times New Roman"/>
                      <w:color w:val="auto"/>
                      <w:sz w:val="21"/>
                      <w:szCs w:val="21"/>
                      <w:vertAlign w:val="subscript"/>
                    </w:rPr>
                    <w:t>2</w:t>
                  </w:r>
                </w:p>
              </w:tc>
              <w:tc>
                <w:tcPr>
                  <w:tcW w:w="1114" w:type="pct"/>
                  <w:tcBorders>
                    <w:tl2br w:val="nil"/>
                    <w:tr2bl w:val="nil"/>
                  </w:tcBorders>
                  <w:noWrap/>
                  <w:vAlign w:val="center"/>
                </w:tcPr>
                <w:p w14:paraId="0F79607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0.1507</w:t>
                  </w:r>
                </w:p>
              </w:tc>
            </w:tr>
            <w:tr w14:paraId="711B3E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658" w:type="pct"/>
                  <w:tcBorders>
                    <w:tl2br w:val="nil"/>
                    <w:tr2bl w:val="nil"/>
                  </w:tcBorders>
                  <w:noWrap/>
                  <w:vAlign w:val="center"/>
                </w:tcPr>
                <w:p w14:paraId="7C5279E2">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iC</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10</w:t>
                  </w:r>
                </w:p>
              </w:tc>
              <w:tc>
                <w:tcPr>
                  <w:tcW w:w="1113" w:type="pct"/>
                  <w:tcBorders>
                    <w:tl2br w:val="nil"/>
                    <w:tr2bl w:val="nil"/>
                  </w:tcBorders>
                  <w:noWrap/>
                  <w:vAlign w:val="center"/>
                </w:tcPr>
                <w:p w14:paraId="2A608AA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0.0199</w:t>
                  </w:r>
                </w:p>
              </w:tc>
              <w:tc>
                <w:tcPr>
                  <w:tcW w:w="1114" w:type="pct"/>
                  <w:tcBorders>
                    <w:tl2br w:val="nil"/>
                    <w:tr2bl w:val="nil"/>
                  </w:tcBorders>
                  <w:noWrap/>
                  <w:vAlign w:val="center"/>
                </w:tcPr>
                <w:p w14:paraId="4C822062">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2</w:t>
                  </w:r>
                </w:p>
              </w:tc>
              <w:tc>
                <w:tcPr>
                  <w:tcW w:w="1114" w:type="pct"/>
                  <w:tcBorders>
                    <w:tl2br w:val="nil"/>
                    <w:tr2bl w:val="nil"/>
                  </w:tcBorders>
                  <w:noWrap/>
                  <w:vAlign w:val="center"/>
                </w:tcPr>
                <w:p w14:paraId="4E8E0C4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2.5851</w:t>
                  </w:r>
                </w:p>
              </w:tc>
            </w:tr>
            <w:tr w14:paraId="4BA861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658" w:type="pct"/>
                  <w:tcBorders>
                    <w:tl2br w:val="nil"/>
                    <w:tr2bl w:val="nil"/>
                  </w:tcBorders>
                  <w:noWrap/>
                  <w:vAlign w:val="center"/>
                </w:tcPr>
                <w:p w14:paraId="5AD2077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nC</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10</w:t>
                  </w:r>
                </w:p>
              </w:tc>
              <w:tc>
                <w:tcPr>
                  <w:tcW w:w="1113" w:type="pct"/>
                  <w:tcBorders>
                    <w:tl2br w:val="nil"/>
                    <w:tr2bl w:val="nil"/>
                  </w:tcBorders>
                  <w:noWrap/>
                  <w:vAlign w:val="center"/>
                </w:tcPr>
                <w:p w14:paraId="1E20D6E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0.0200</w:t>
                  </w:r>
                </w:p>
              </w:tc>
              <w:tc>
                <w:tcPr>
                  <w:tcW w:w="1114" w:type="pct"/>
                  <w:tcBorders>
                    <w:tl2br w:val="nil"/>
                    <w:tr2bl w:val="nil"/>
                  </w:tcBorders>
                  <w:noWrap/>
                  <w:vAlign w:val="center"/>
                </w:tcPr>
                <w:p w14:paraId="1B2CF93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w:t>
                  </w:r>
                  <w:r>
                    <w:rPr>
                      <w:rFonts w:hint="eastAsia" w:cs="Times New Roman"/>
                      <w:color w:val="auto"/>
                      <w:sz w:val="21"/>
                      <w:szCs w:val="21"/>
                      <w:lang w:eastAsia="zh-CN"/>
                    </w:rPr>
                    <w:t>(</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eastAsia" w:cs="Times New Roman"/>
                      <w:color w:val="auto"/>
                      <w:sz w:val="21"/>
                      <w:szCs w:val="21"/>
                      <w:vertAlign w:val="superscript"/>
                      <w:lang w:eastAsia="zh-CN"/>
                    </w:rPr>
                    <w:t>)</w:t>
                  </w:r>
                </w:p>
              </w:tc>
              <w:tc>
                <w:tcPr>
                  <w:tcW w:w="1114" w:type="pct"/>
                  <w:tcBorders>
                    <w:tl2br w:val="nil"/>
                    <w:tr2bl w:val="nil"/>
                  </w:tcBorders>
                  <w:noWrap/>
                  <w:vAlign w:val="center"/>
                </w:tcPr>
                <w:p w14:paraId="54C69679">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4.01</w:t>
                  </w:r>
                </w:p>
              </w:tc>
            </w:tr>
            <w:tr w14:paraId="094543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658" w:type="pct"/>
                  <w:tcBorders>
                    <w:tl2br w:val="nil"/>
                    <w:tr2bl w:val="nil"/>
                  </w:tcBorders>
                  <w:noWrap/>
                  <w:vAlign w:val="center"/>
                </w:tcPr>
                <w:p w14:paraId="2664F9F7">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iC</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12</w:t>
                  </w:r>
                </w:p>
              </w:tc>
              <w:tc>
                <w:tcPr>
                  <w:tcW w:w="1113" w:type="pct"/>
                  <w:tcBorders>
                    <w:tl2br w:val="nil"/>
                    <w:tr2bl w:val="nil"/>
                  </w:tcBorders>
                  <w:noWrap/>
                  <w:vAlign w:val="center"/>
                </w:tcPr>
                <w:p w14:paraId="22417AB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0.0094</w:t>
                  </w:r>
                </w:p>
              </w:tc>
              <w:tc>
                <w:tcPr>
                  <w:tcW w:w="1114" w:type="pct"/>
                  <w:tcBorders>
                    <w:tl2br w:val="nil"/>
                    <w:tr2bl w:val="nil"/>
                  </w:tcBorders>
                  <w:noWrap/>
                  <w:vAlign w:val="center"/>
                </w:tcPr>
                <w:p w14:paraId="0C8F7C7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水露点</w:t>
                  </w:r>
                </w:p>
              </w:tc>
              <w:tc>
                <w:tcPr>
                  <w:tcW w:w="1114" w:type="pct"/>
                  <w:tcBorders>
                    <w:tl2br w:val="nil"/>
                    <w:tr2bl w:val="nil"/>
                  </w:tcBorders>
                  <w:noWrap/>
                  <w:vAlign w:val="center"/>
                </w:tcPr>
                <w:p w14:paraId="3467D42D">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148ppm</w:t>
                  </w:r>
                </w:p>
              </w:tc>
            </w:tr>
            <w:tr w14:paraId="5F17A7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658" w:type="pct"/>
                  <w:tcBorders>
                    <w:tl2br w:val="nil"/>
                    <w:tr2bl w:val="nil"/>
                  </w:tcBorders>
                  <w:noWrap/>
                  <w:vAlign w:val="center"/>
                </w:tcPr>
                <w:p w14:paraId="1B82521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nC</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12</w:t>
                  </w:r>
                </w:p>
              </w:tc>
              <w:tc>
                <w:tcPr>
                  <w:tcW w:w="1113" w:type="pct"/>
                  <w:tcBorders>
                    <w:tl2br w:val="nil"/>
                    <w:tr2bl w:val="nil"/>
                  </w:tcBorders>
                  <w:noWrap/>
                  <w:vAlign w:val="center"/>
                </w:tcPr>
                <w:p w14:paraId="2843026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0.0041</w:t>
                  </w:r>
                </w:p>
              </w:tc>
              <w:tc>
                <w:tcPr>
                  <w:tcW w:w="1114" w:type="pct"/>
                  <w:tcBorders>
                    <w:tl2br w:val="nil"/>
                    <w:tr2bl w:val="nil"/>
                  </w:tcBorders>
                  <w:noWrap/>
                  <w:vAlign w:val="center"/>
                </w:tcPr>
                <w:p w14:paraId="4E516DE9">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密度（g/L）</w:t>
                  </w:r>
                </w:p>
              </w:tc>
              <w:tc>
                <w:tcPr>
                  <w:tcW w:w="1114" w:type="pct"/>
                  <w:tcBorders>
                    <w:tl2br w:val="nil"/>
                    <w:tr2bl w:val="nil"/>
                  </w:tcBorders>
                  <w:noWrap/>
                  <w:vAlign w:val="center"/>
                </w:tcPr>
                <w:p w14:paraId="20DF56F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0.7057</w:t>
                  </w:r>
                </w:p>
              </w:tc>
            </w:tr>
            <w:tr w14:paraId="3EED3B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658" w:type="pct"/>
                  <w:tcBorders>
                    <w:tl2br w:val="nil"/>
                    <w:tr2bl w:val="nil"/>
                  </w:tcBorders>
                  <w:noWrap/>
                  <w:vAlign w:val="center"/>
                </w:tcPr>
                <w:p w14:paraId="5C80CA2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perscript"/>
                    </w:rPr>
                    <w:t>6+</w:t>
                  </w:r>
                </w:p>
              </w:tc>
              <w:tc>
                <w:tcPr>
                  <w:tcW w:w="1113" w:type="pct"/>
                  <w:tcBorders>
                    <w:tl2br w:val="nil"/>
                    <w:tr2bl w:val="nil"/>
                  </w:tcBorders>
                  <w:noWrap/>
                  <w:vAlign w:val="center"/>
                </w:tcPr>
                <w:p w14:paraId="4BACA86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0.0058</w:t>
                  </w:r>
                </w:p>
              </w:tc>
              <w:tc>
                <w:tcPr>
                  <w:tcW w:w="1114" w:type="pct"/>
                  <w:tcBorders>
                    <w:tl2br w:val="nil"/>
                    <w:tr2bl w:val="nil"/>
                  </w:tcBorders>
                  <w:noWrap/>
                  <w:vAlign w:val="center"/>
                </w:tcPr>
                <w:p w14:paraId="410FEF0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临界压力（Mpa）</w:t>
                  </w:r>
                </w:p>
              </w:tc>
              <w:tc>
                <w:tcPr>
                  <w:tcW w:w="1114" w:type="pct"/>
                  <w:tcBorders>
                    <w:tl2br w:val="nil"/>
                    <w:tr2bl w:val="nil"/>
                  </w:tcBorders>
                  <w:noWrap/>
                  <w:vAlign w:val="center"/>
                </w:tcPr>
                <w:p w14:paraId="32CA2EA7">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4.50</w:t>
                  </w:r>
                </w:p>
              </w:tc>
            </w:tr>
            <w:tr w14:paraId="2E1958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658" w:type="pct"/>
                  <w:tcBorders>
                    <w:tl2br w:val="nil"/>
                    <w:tr2bl w:val="nil"/>
                  </w:tcBorders>
                  <w:noWrap/>
                  <w:vAlign w:val="center"/>
                </w:tcPr>
                <w:p w14:paraId="4FC83772">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总烃</w:t>
                  </w:r>
                </w:p>
              </w:tc>
              <w:tc>
                <w:tcPr>
                  <w:tcW w:w="1113" w:type="pct"/>
                  <w:tcBorders>
                    <w:tl2br w:val="nil"/>
                    <w:tr2bl w:val="nil"/>
                  </w:tcBorders>
                  <w:noWrap/>
                  <w:vAlign w:val="center"/>
                </w:tcPr>
                <w:p w14:paraId="6D3030E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97.2416</w:t>
                  </w:r>
                </w:p>
              </w:tc>
              <w:tc>
                <w:tcPr>
                  <w:tcW w:w="1114" w:type="pct"/>
                  <w:tcBorders>
                    <w:tl2br w:val="nil"/>
                    <w:tr2bl w:val="nil"/>
                  </w:tcBorders>
                  <w:noWrap/>
                  <w:vAlign w:val="center"/>
                </w:tcPr>
                <w:p w14:paraId="1288B26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比重</w:t>
                  </w:r>
                </w:p>
              </w:tc>
              <w:tc>
                <w:tcPr>
                  <w:tcW w:w="1114" w:type="pct"/>
                  <w:tcBorders>
                    <w:tl2br w:val="nil"/>
                    <w:tr2bl w:val="nil"/>
                  </w:tcBorders>
                  <w:noWrap/>
                  <w:vAlign w:val="center"/>
                </w:tcPr>
                <w:p w14:paraId="50E5782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0.5860</w:t>
                  </w:r>
                </w:p>
              </w:tc>
            </w:tr>
            <w:tr w14:paraId="36D6B7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658" w:type="pct"/>
                  <w:tcBorders>
                    <w:tl2br w:val="nil"/>
                    <w:tr2bl w:val="nil"/>
                  </w:tcBorders>
                  <w:noWrap/>
                  <w:vAlign w:val="center"/>
                </w:tcPr>
                <w:p w14:paraId="407851F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临界温度（K）</w:t>
                  </w:r>
                </w:p>
              </w:tc>
              <w:tc>
                <w:tcPr>
                  <w:tcW w:w="1113" w:type="pct"/>
                  <w:tcBorders>
                    <w:tl2br w:val="nil"/>
                    <w:tr2bl w:val="nil"/>
                  </w:tcBorders>
                  <w:noWrap/>
                  <w:vAlign w:val="center"/>
                </w:tcPr>
                <w:p w14:paraId="5AFCFFE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197.896</w:t>
                  </w:r>
                </w:p>
              </w:tc>
              <w:tc>
                <w:tcPr>
                  <w:tcW w:w="1114" w:type="pct"/>
                  <w:tcBorders>
                    <w:tl2br w:val="nil"/>
                    <w:tr2bl w:val="nil"/>
                  </w:tcBorders>
                  <w:noWrap/>
                  <w:vAlign w:val="center"/>
                </w:tcPr>
                <w:p w14:paraId="2FEAAD36">
                  <w:pPr>
                    <w:adjustRightInd w:val="0"/>
                    <w:snapToGrid w:val="0"/>
                    <w:jc w:val="center"/>
                    <w:rPr>
                      <w:rFonts w:hint="default" w:ascii="Times New Roman" w:hAnsi="Times New Roman" w:cs="Times New Roman"/>
                      <w:color w:val="auto"/>
                      <w:sz w:val="21"/>
                      <w:szCs w:val="21"/>
                    </w:rPr>
                  </w:pPr>
                </w:p>
              </w:tc>
              <w:tc>
                <w:tcPr>
                  <w:tcW w:w="1114" w:type="pct"/>
                  <w:tcBorders>
                    <w:tl2br w:val="nil"/>
                    <w:tr2bl w:val="nil"/>
                  </w:tcBorders>
                  <w:noWrap/>
                  <w:vAlign w:val="center"/>
                </w:tcPr>
                <w:p w14:paraId="43DDC4CF">
                  <w:pPr>
                    <w:adjustRightInd w:val="0"/>
                    <w:snapToGrid w:val="0"/>
                    <w:jc w:val="center"/>
                    <w:rPr>
                      <w:rFonts w:hint="default" w:ascii="Times New Roman" w:hAnsi="Times New Roman" w:cs="Times New Roman"/>
                      <w:color w:val="auto"/>
                      <w:sz w:val="21"/>
                      <w:szCs w:val="21"/>
                    </w:rPr>
                  </w:pPr>
                </w:p>
              </w:tc>
            </w:tr>
            <w:tr w14:paraId="250ED6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771" w:type="pct"/>
                  <w:gridSpan w:val="2"/>
                  <w:tcBorders>
                    <w:tl2br w:val="nil"/>
                    <w:tr2bl w:val="nil"/>
                  </w:tcBorders>
                  <w:noWrap/>
                  <w:vAlign w:val="center"/>
                </w:tcPr>
                <w:p w14:paraId="67A32B8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高位发热量（MJ/Nm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2228" w:type="pct"/>
                  <w:gridSpan w:val="2"/>
                  <w:tcBorders>
                    <w:tl2br w:val="nil"/>
                    <w:tr2bl w:val="nil"/>
                  </w:tcBorders>
                  <w:noWrap/>
                  <w:vAlign w:val="center"/>
                </w:tcPr>
                <w:p w14:paraId="30C608D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36.34</w:t>
                  </w:r>
                </w:p>
              </w:tc>
            </w:tr>
            <w:tr w14:paraId="174F40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771" w:type="pct"/>
                  <w:gridSpan w:val="2"/>
                  <w:tcBorders>
                    <w:tl2br w:val="nil"/>
                    <w:tr2bl w:val="nil"/>
                  </w:tcBorders>
                  <w:noWrap/>
                  <w:vAlign w:val="center"/>
                </w:tcPr>
                <w:p w14:paraId="5C59F10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低位发热量（MJ/Nm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2228" w:type="pct"/>
                  <w:gridSpan w:val="2"/>
                  <w:tcBorders>
                    <w:tl2br w:val="nil"/>
                    <w:tr2bl w:val="nil"/>
                  </w:tcBorders>
                  <w:noWrap/>
                  <w:vAlign w:val="center"/>
                </w:tcPr>
                <w:p w14:paraId="55AA96F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32.74</w:t>
                  </w:r>
                </w:p>
              </w:tc>
            </w:tr>
          </w:tbl>
          <w:p w14:paraId="4D9BC779">
            <w:pPr>
              <w:widowControl/>
              <w:shd w:val="clear" w:color="auto" w:fill="auto"/>
              <w:adjustRightInd w:val="0"/>
              <w:snapToGrid w:val="0"/>
              <w:spacing w:line="360" w:lineRule="auto"/>
              <w:ind w:firstLine="422" w:firstLineChars="200"/>
              <w:rPr>
                <w:rFonts w:hint="default" w:ascii="Times New Roman" w:hAnsi="Times New Roman" w:cs="Times New Roman"/>
                <w:b/>
                <w:bCs/>
                <w:color w:val="000000"/>
                <w:sz w:val="21"/>
                <w:szCs w:val="21"/>
                <w:highlight w:val="none"/>
                <w:lang w:val="en-US" w:eastAsia="zh-CN"/>
              </w:rPr>
            </w:pPr>
            <w:r>
              <w:rPr>
                <w:rFonts w:hint="eastAsia" w:cs="Times New Roman"/>
                <w:b/>
                <w:bCs/>
                <w:color w:val="000000"/>
                <w:sz w:val="21"/>
                <w:szCs w:val="21"/>
                <w:highlight w:val="none"/>
                <w:lang w:val="en-US" w:eastAsia="zh-CN"/>
              </w:rPr>
              <w:t>7.</w:t>
            </w:r>
            <w:r>
              <w:rPr>
                <w:rFonts w:hint="eastAsia" w:ascii="Times New Roman" w:hAnsi="Times New Roman" w:cs="Times New Roman"/>
                <w:b/>
                <w:bCs/>
                <w:color w:val="000000"/>
                <w:sz w:val="21"/>
                <w:szCs w:val="21"/>
                <w:highlight w:val="none"/>
                <w:lang w:val="en-US" w:eastAsia="zh-CN"/>
              </w:rPr>
              <w:t>物料平衡</w:t>
            </w:r>
          </w:p>
          <w:p w14:paraId="767D5BD8">
            <w:pPr>
              <w:widowControl/>
              <w:shd w:val="clear" w:color="auto" w:fill="auto"/>
              <w:adjustRightInd w:val="0"/>
              <w:snapToGrid w:val="0"/>
              <w:spacing w:line="360" w:lineRule="auto"/>
              <w:ind w:firstLine="422" w:firstLineChars="200"/>
              <w:rPr>
                <w:rFonts w:hint="default" w:ascii="Times New Roman" w:hAnsi="Times New Roman" w:cs="Times New Roman"/>
                <w:b/>
                <w:bCs/>
                <w:color w:val="000000"/>
                <w:sz w:val="21"/>
                <w:szCs w:val="21"/>
                <w:highlight w:val="none"/>
                <w:lang w:val="en-US" w:eastAsia="zh-CN"/>
              </w:rPr>
            </w:pPr>
            <w:r>
              <w:rPr>
                <w:rFonts w:hint="eastAsia" w:ascii="Times New Roman" w:hAnsi="Times New Roman" w:cs="Times New Roman"/>
                <w:b/>
                <w:bCs/>
                <w:color w:val="000000"/>
                <w:sz w:val="21"/>
                <w:szCs w:val="21"/>
                <w:highlight w:val="none"/>
                <w:lang w:val="en-US" w:eastAsia="zh-CN"/>
              </w:rPr>
              <w:t>项目物料平衡具体见表2-7。</w:t>
            </w:r>
          </w:p>
          <w:p w14:paraId="40C573F7">
            <w:pPr>
              <w:pStyle w:val="22"/>
              <w:ind w:left="0" w:leftChars="0" w:firstLine="0" w:firstLineChars="0"/>
              <w:jc w:val="center"/>
              <w:rPr>
                <w:rFonts w:hint="default" w:ascii="Times New Roman" w:hAnsi="Times New Roman" w:cs="Times New Roman"/>
                <w:b/>
                <w:bCs/>
                <w:color w:val="000000"/>
                <w:sz w:val="21"/>
                <w:szCs w:val="21"/>
                <w:highlight w:val="none"/>
                <w:lang w:val="en-US" w:eastAsia="zh-CN"/>
              </w:rPr>
            </w:pPr>
            <w:r>
              <w:rPr>
                <w:rFonts w:hint="eastAsia" w:ascii="Times New Roman" w:hAnsi="Times New Roman" w:cs="Times New Roman"/>
                <w:b/>
                <w:bCs/>
                <w:color w:val="000000"/>
                <w:sz w:val="21"/>
                <w:szCs w:val="21"/>
                <w:highlight w:val="none"/>
                <w:lang w:val="en-US" w:eastAsia="zh-CN"/>
              </w:rPr>
              <w:t>表2-7 白酒酿造物料平衡</w:t>
            </w:r>
          </w:p>
          <w:tbl>
            <w:tblPr>
              <w:tblStyle w:val="13"/>
              <w:tblW w:w="78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99"/>
              <w:gridCol w:w="1538"/>
              <w:gridCol w:w="1312"/>
              <w:gridCol w:w="913"/>
              <w:gridCol w:w="1612"/>
              <w:gridCol w:w="1497"/>
            </w:tblGrid>
            <w:tr w14:paraId="302A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999" w:type="dxa"/>
                  <w:shd w:val="clear" w:color="auto" w:fill="auto"/>
                  <w:noWrap w:val="0"/>
                  <w:vAlign w:val="top"/>
                </w:tcPr>
                <w:p w14:paraId="42B63BAB">
                  <w:pPr>
                    <w:jc w:val="center"/>
                    <w:rPr>
                      <w:rFonts w:hint="default" w:ascii="Times New Roman" w:hAnsi="Times New Roman" w:cs="Times New Roman"/>
                      <w:b/>
                      <w:bCs/>
                      <w:color w:val="000000"/>
                      <w:sz w:val="21"/>
                      <w:szCs w:val="21"/>
                      <w:highlight w:val="none"/>
                      <w:vertAlign w:val="baseline"/>
                      <w:lang w:val="en-US" w:eastAsia="zh-CN"/>
                    </w:rPr>
                  </w:pPr>
                  <w:r>
                    <w:rPr>
                      <w:rFonts w:hint="eastAsia" w:ascii="Times New Roman" w:hAnsi="Times New Roman" w:cs="Times New Roman"/>
                      <w:b/>
                      <w:bCs/>
                      <w:color w:val="000000"/>
                      <w:sz w:val="21"/>
                      <w:szCs w:val="21"/>
                      <w:highlight w:val="none"/>
                      <w:vertAlign w:val="baseline"/>
                      <w:lang w:val="en-US" w:eastAsia="zh-CN"/>
                    </w:rPr>
                    <w:t>序号</w:t>
                  </w:r>
                </w:p>
              </w:tc>
              <w:tc>
                <w:tcPr>
                  <w:tcW w:w="2850" w:type="dxa"/>
                  <w:gridSpan w:val="2"/>
                  <w:shd w:val="clear" w:color="auto" w:fill="auto"/>
                  <w:noWrap w:val="0"/>
                  <w:vAlign w:val="top"/>
                </w:tcPr>
                <w:p w14:paraId="62F2D09F">
                  <w:pPr>
                    <w:jc w:val="center"/>
                    <w:rPr>
                      <w:rFonts w:hint="default" w:ascii="Times New Roman" w:hAnsi="Times New Roman" w:cs="Times New Roman"/>
                      <w:b/>
                      <w:bCs/>
                      <w:color w:val="000000"/>
                      <w:sz w:val="21"/>
                      <w:szCs w:val="21"/>
                      <w:highlight w:val="none"/>
                      <w:vertAlign w:val="baseline"/>
                      <w:lang w:val="en-US" w:eastAsia="zh-CN"/>
                    </w:rPr>
                  </w:pPr>
                  <w:r>
                    <w:rPr>
                      <w:rFonts w:hint="eastAsia" w:ascii="Times New Roman" w:hAnsi="Times New Roman" w:cs="Times New Roman"/>
                      <w:b/>
                      <w:bCs/>
                      <w:color w:val="000000"/>
                      <w:sz w:val="21"/>
                      <w:szCs w:val="21"/>
                      <w:highlight w:val="none"/>
                      <w:vertAlign w:val="baseline"/>
                      <w:lang w:val="en-US" w:eastAsia="zh-CN"/>
                    </w:rPr>
                    <w:t>投入量t/a</w:t>
                  </w:r>
                </w:p>
              </w:tc>
              <w:tc>
                <w:tcPr>
                  <w:tcW w:w="4022" w:type="dxa"/>
                  <w:gridSpan w:val="3"/>
                  <w:shd w:val="clear" w:color="auto" w:fill="auto"/>
                  <w:noWrap w:val="0"/>
                  <w:vAlign w:val="top"/>
                </w:tcPr>
                <w:p w14:paraId="675CFBDE">
                  <w:pPr>
                    <w:jc w:val="center"/>
                    <w:rPr>
                      <w:rFonts w:hint="default" w:ascii="Times New Roman" w:hAnsi="Times New Roman" w:cs="Times New Roman"/>
                      <w:b/>
                      <w:bCs/>
                      <w:color w:val="000000"/>
                      <w:sz w:val="21"/>
                      <w:szCs w:val="21"/>
                      <w:highlight w:val="none"/>
                      <w:vertAlign w:val="baseline"/>
                      <w:lang w:val="en-US" w:eastAsia="zh-CN"/>
                    </w:rPr>
                  </w:pPr>
                  <w:r>
                    <w:rPr>
                      <w:rFonts w:hint="eastAsia" w:ascii="Times New Roman" w:hAnsi="Times New Roman" w:cs="Times New Roman"/>
                      <w:b/>
                      <w:bCs/>
                      <w:color w:val="000000"/>
                      <w:sz w:val="21"/>
                      <w:szCs w:val="21"/>
                      <w:highlight w:val="none"/>
                      <w:vertAlign w:val="baseline"/>
                      <w:lang w:val="en-US" w:eastAsia="zh-CN"/>
                    </w:rPr>
                    <w:t>产出量t/a</w:t>
                  </w:r>
                </w:p>
              </w:tc>
            </w:tr>
            <w:tr w14:paraId="255E3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shd w:val="clear" w:color="auto" w:fill="auto"/>
                  <w:noWrap w:val="0"/>
                  <w:vAlign w:val="top"/>
                </w:tcPr>
                <w:p w14:paraId="3292947D">
                  <w:pPr>
                    <w:keepNext w:val="0"/>
                    <w:keepLines w:val="0"/>
                    <w:suppressLineNumbers w:val="0"/>
                    <w:shd w:val="clear" w:color="auto" w:fill="auto"/>
                    <w:spacing w:before="0" w:beforeAutospacing="0" w:after="0" w:afterAutospacing="0" w:line="240" w:lineRule="auto"/>
                    <w:ind w:left="0" w:leftChars="0" w:right="0" w:rightChars="0"/>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1</w:t>
                  </w:r>
                </w:p>
              </w:tc>
              <w:tc>
                <w:tcPr>
                  <w:tcW w:w="1538" w:type="dxa"/>
                  <w:shd w:val="clear" w:color="auto" w:fill="auto"/>
                  <w:noWrap w:val="0"/>
                  <w:vAlign w:val="center"/>
                </w:tcPr>
                <w:p w14:paraId="6DEB36CB">
                  <w:pPr>
                    <w:keepNext w:val="0"/>
                    <w:keepLines w:val="0"/>
                    <w:suppressLineNumbers w:val="0"/>
                    <w:shd w:val="clear" w:color="auto" w:fill="auto"/>
                    <w:spacing w:before="0" w:beforeAutospacing="0" w:after="0" w:afterAutospacing="0" w:line="240" w:lineRule="auto"/>
                    <w:ind w:left="0" w:leftChars="0" w:right="0" w:rightChars="0"/>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cs="Times New Roman"/>
                      <w:color w:val="000000"/>
                      <w:szCs w:val="21"/>
                      <w:highlight w:val="none"/>
                      <w:lang w:val="en-US" w:eastAsia="zh-CN"/>
                    </w:rPr>
                    <w:t>高粱</w:t>
                  </w:r>
                </w:p>
              </w:tc>
              <w:tc>
                <w:tcPr>
                  <w:tcW w:w="1312" w:type="dxa"/>
                  <w:shd w:val="clear" w:color="auto" w:fill="auto"/>
                  <w:noWrap w:val="0"/>
                  <w:vAlign w:val="center"/>
                </w:tcPr>
                <w:p w14:paraId="3E8155AC">
                  <w:pPr>
                    <w:keepNext w:val="0"/>
                    <w:keepLines w:val="0"/>
                    <w:suppressLineNumbers w:val="0"/>
                    <w:shd w:val="clear" w:color="auto" w:fill="auto"/>
                    <w:spacing w:before="0" w:beforeAutospacing="0" w:after="0" w:afterAutospacing="0" w:line="240" w:lineRule="auto"/>
                    <w:ind w:left="0" w:leftChars="0" w:right="0" w:rightChars="0"/>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1500</w:t>
                  </w:r>
                </w:p>
              </w:tc>
              <w:tc>
                <w:tcPr>
                  <w:tcW w:w="2525" w:type="dxa"/>
                  <w:gridSpan w:val="2"/>
                  <w:shd w:val="clear" w:color="auto" w:fill="auto"/>
                  <w:noWrap w:val="0"/>
                  <w:vAlign w:val="top"/>
                </w:tcPr>
                <w:p w14:paraId="1FA6ADA7">
                  <w:pPr>
                    <w:jc w:val="center"/>
                    <w:rPr>
                      <w:rFonts w:hint="default" w:ascii="Times New Roman" w:hAnsi="Times New Roman" w:cs="Times New Roman"/>
                      <w:b/>
                      <w:bCs/>
                      <w:color w:val="000000"/>
                      <w:sz w:val="21"/>
                      <w:szCs w:val="21"/>
                      <w:highlight w:val="none"/>
                      <w:vertAlign w:val="baseline"/>
                      <w:lang w:val="en-US" w:eastAsia="zh-CN"/>
                    </w:rPr>
                  </w:pPr>
                  <w:r>
                    <w:rPr>
                      <w:rFonts w:hint="eastAsia" w:ascii="Times New Roman" w:hAnsi="Times New Roman" w:eastAsia="宋体" w:cs="Times New Roman"/>
                      <w:color w:val="000000"/>
                      <w:szCs w:val="21"/>
                      <w:highlight w:val="none"/>
                      <w:lang w:val="en-US" w:eastAsia="zh-CN"/>
                    </w:rPr>
                    <w:t>产品（原酒）</w:t>
                  </w:r>
                </w:p>
              </w:tc>
              <w:tc>
                <w:tcPr>
                  <w:tcW w:w="1497" w:type="dxa"/>
                  <w:shd w:val="clear" w:color="auto" w:fill="auto"/>
                  <w:noWrap w:val="0"/>
                  <w:vAlign w:val="top"/>
                </w:tcPr>
                <w:p w14:paraId="0DF03C7D">
                  <w:pPr>
                    <w:jc w:val="center"/>
                    <w:rPr>
                      <w:rFonts w:hint="default" w:ascii="Times New Roman" w:hAnsi="Times New Roman" w:cs="Times New Roman"/>
                      <w:b/>
                      <w:bCs/>
                      <w:color w:val="000000"/>
                      <w:sz w:val="21"/>
                      <w:szCs w:val="21"/>
                      <w:highlight w:val="none"/>
                      <w:vertAlign w:val="baseline"/>
                      <w:lang w:val="en-US" w:eastAsia="zh-CN"/>
                    </w:rPr>
                  </w:pPr>
                  <w:r>
                    <w:rPr>
                      <w:rFonts w:hint="eastAsia" w:ascii="Times New Roman" w:hAnsi="Times New Roman" w:eastAsia="宋体" w:cs="Times New Roman"/>
                      <w:color w:val="000000"/>
                      <w:szCs w:val="21"/>
                      <w:highlight w:val="none"/>
                      <w:lang w:val="en-US" w:eastAsia="zh-CN"/>
                    </w:rPr>
                    <w:t>600</w:t>
                  </w:r>
                </w:p>
              </w:tc>
            </w:tr>
            <w:tr w14:paraId="734F6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shd w:val="clear" w:color="auto" w:fill="auto"/>
                  <w:noWrap w:val="0"/>
                  <w:vAlign w:val="center"/>
                </w:tcPr>
                <w:p w14:paraId="1A6A60B6">
                  <w:pPr>
                    <w:keepNext w:val="0"/>
                    <w:keepLines w:val="0"/>
                    <w:suppressLineNumbers w:val="0"/>
                    <w:shd w:val="clear" w:color="auto" w:fill="auto"/>
                    <w:spacing w:before="0" w:beforeAutospacing="0" w:after="0" w:afterAutospacing="0" w:line="240" w:lineRule="auto"/>
                    <w:ind w:left="0" w:leftChars="0" w:right="0" w:rightChars="0"/>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2</w:t>
                  </w:r>
                </w:p>
              </w:tc>
              <w:tc>
                <w:tcPr>
                  <w:tcW w:w="1538" w:type="dxa"/>
                  <w:shd w:val="clear" w:color="auto" w:fill="auto"/>
                  <w:noWrap w:val="0"/>
                  <w:vAlign w:val="center"/>
                </w:tcPr>
                <w:p w14:paraId="63DBD549">
                  <w:pPr>
                    <w:keepNext w:val="0"/>
                    <w:keepLines w:val="0"/>
                    <w:suppressLineNumbers w:val="0"/>
                    <w:shd w:val="clear" w:color="auto" w:fill="auto"/>
                    <w:spacing w:before="0" w:beforeAutospacing="0" w:after="0" w:afterAutospacing="0" w:line="240" w:lineRule="auto"/>
                    <w:ind w:left="0" w:leftChars="0" w:right="0" w:rightChars="0"/>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cs="Times New Roman"/>
                      <w:color w:val="000000"/>
                      <w:szCs w:val="21"/>
                      <w:highlight w:val="none"/>
                      <w:lang w:val="en-US" w:eastAsia="zh-CN"/>
                    </w:rPr>
                    <w:t>大曲</w:t>
                  </w:r>
                </w:p>
              </w:tc>
              <w:tc>
                <w:tcPr>
                  <w:tcW w:w="1312" w:type="dxa"/>
                  <w:shd w:val="clear" w:color="auto" w:fill="auto"/>
                  <w:noWrap w:val="0"/>
                  <w:vAlign w:val="center"/>
                </w:tcPr>
                <w:p w14:paraId="5E2E5B71">
                  <w:pPr>
                    <w:keepNext w:val="0"/>
                    <w:keepLines w:val="0"/>
                    <w:suppressLineNumbers w:val="0"/>
                    <w:shd w:val="clear" w:color="auto" w:fill="auto"/>
                    <w:spacing w:before="0" w:beforeAutospacing="0" w:after="0" w:afterAutospacing="0" w:line="240" w:lineRule="auto"/>
                    <w:ind w:left="0" w:leftChars="0" w:right="0" w:rightChars="0"/>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390</w:t>
                  </w:r>
                </w:p>
              </w:tc>
              <w:tc>
                <w:tcPr>
                  <w:tcW w:w="913" w:type="dxa"/>
                  <w:vMerge w:val="restart"/>
                  <w:shd w:val="clear" w:color="auto" w:fill="auto"/>
                  <w:noWrap w:val="0"/>
                  <w:vAlign w:val="center"/>
                </w:tcPr>
                <w:p w14:paraId="10EFEBDE">
                  <w:pPr>
                    <w:keepNext w:val="0"/>
                    <w:keepLines w:val="0"/>
                    <w:suppressLineNumbers w:val="0"/>
                    <w:shd w:val="clear" w:color="auto" w:fill="auto"/>
                    <w:spacing w:before="0" w:beforeAutospacing="0" w:after="0" w:afterAutospacing="0" w:line="240" w:lineRule="auto"/>
                    <w:ind w:left="0" w:leftChars="0" w:right="0" w:rightChars="0"/>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废气</w:t>
                  </w:r>
                </w:p>
              </w:tc>
              <w:tc>
                <w:tcPr>
                  <w:tcW w:w="1612" w:type="dxa"/>
                  <w:shd w:val="clear" w:color="auto" w:fill="auto"/>
                  <w:noWrap w:val="0"/>
                  <w:vAlign w:val="center"/>
                </w:tcPr>
                <w:p w14:paraId="165716D3">
                  <w:pPr>
                    <w:keepNext w:val="0"/>
                    <w:keepLines w:val="0"/>
                    <w:suppressLineNumbers w:val="0"/>
                    <w:shd w:val="clear" w:color="auto" w:fill="auto"/>
                    <w:spacing w:before="0" w:beforeAutospacing="0" w:after="0" w:afterAutospacing="0" w:line="240" w:lineRule="auto"/>
                    <w:ind w:left="0" w:leftChars="0" w:right="0" w:rightChars="0"/>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收集粉尘</w:t>
                  </w:r>
                </w:p>
              </w:tc>
              <w:tc>
                <w:tcPr>
                  <w:tcW w:w="1497" w:type="dxa"/>
                  <w:shd w:val="clear" w:color="auto" w:fill="auto"/>
                  <w:noWrap w:val="0"/>
                  <w:vAlign w:val="center"/>
                </w:tcPr>
                <w:p w14:paraId="1197FDC3">
                  <w:pPr>
                    <w:keepNext w:val="0"/>
                    <w:keepLines w:val="0"/>
                    <w:suppressLineNumbers w:val="0"/>
                    <w:shd w:val="clear" w:color="auto" w:fill="auto"/>
                    <w:spacing w:before="0" w:beforeAutospacing="0" w:after="0" w:afterAutospacing="0" w:line="240" w:lineRule="auto"/>
                    <w:ind w:left="0" w:leftChars="0" w:right="0" w:rightChars="0"/>
                    <w:jc w:val="center"/>
                    <w:rPr>
                      <w:rFonts w:hint="eastAsia"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3.0495</w:t>
                  </w:r>
                </w:p>
              </w:tc>
            </w:tr>
            <w:tr w14:paraId="0E146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shd w:val="clear" w:color="auto" w:fill="auto"/>
                  <w:noWrap w:val="0"/>
                  <w:vAlign w:val="top"/>
                </w:tcPr>
                <w:p w14:paraId="79B6B439">
                  <w:pPr>
                    <w:keepNext w:val="0"/>
                    <w:keepLines w:val="0"/>
                    <w:suppressLineNumbers w:val="0"/>
                    <w:shd w:val="clear" w:color="auto" w:fill="auto"/>
                    <w:spacing w:before="0" w:beforeAutospacing="0" w:after="0" w:afterAutospacing="0" w:line="240" w:lineRule="auto"/>
                    <w:ind w:left="0" w:leftChars="0" w:right="0" w:rightChars="0"/>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3</w:t>
                  </w:r>
                </w:p>
              </w:tc>
              <w:tc>
                <w:tcPr>
                  <w:tcW w:w="1538" w:type="dxa"/>
                  <w:shd w:val="clear" w:color="auto" w:fill="auto"/>
                  <w:noWrap w:val="0"/>
                  <w:vAlign w:val="center"/>
                </w:tcPr>
                <w:p w14:paraId="3C1B8C96">
                  <w:pPr>
                    <w:keepNext w:val="0"/>
                    <w:keepLines w:val="0"/>
                    <w:suppressLineNumbers w:val="0"/>
                    <w:shd w:val="clear" w:color="auto" w:fill="auto"/>
                    <w:spacing w:before="0" w:beforeAutospacing="0" w:after="0" w:afterAutospacing="0" w:line="240" w:lineRule="auto"/>
                    <w:ind w:left="0" w:leftChars="0" w:right="0" w:rightChars="0"/>
                    <w:jc w:val="center"/>
                    <w:rPr>
                      <w:rFonts w:hint="eastAsia" w:ascii="Times New Roman" w:hAnsi="Times New Roman" w:cs="Times New Roman"/>
                      <w:color w:val="000000"/>
                      <w:kern w:val="2"/>
                      <w:sz w:val="21"/>
                      <w:szCs w:val="21"/>
                      <w:highlight w:val="none"/>
                      <w:lang w:val="en-US" w:eastAsia="zh-CN" w:bidi="ar-SA"/>
                    </w:rPr>
                  </w:pPr>
                  <w:r>
                    <w:rPr>
                      <w:rFonts w:hint="eastAsia" w:ascii="Times New Roman" w:hAnsi="Times New Roman" w:cs="Times New Roman"/>
                      <w:color w:val="000000"/>
                      <w:szCs w:val="21"/>
                      <w:highlight w:val="none"/>
                      <w:lang w:val="en-US" w:eastAsia="zh-CN"/>
                    </w:rPr>
                    <w:t>稻壳</w:t>
                  </w:r>
                </w:p>
              </w:tc>
              <w:tc>
                <w:tcPr>
                  <w:tcW w:w="1312" w:type="dxa"/>
                  <w:shd w:val="clear" w:color="auto" w:fill="auto"/>
                  <w:noWrap w:val="0"/>
                  <w:vAlign w:val="center"/>
                </w:tcPr>
                <w:p w14:paraId="7A2672A9">
                  <w:pPr>
                    <w:keepNext w:val="0"/>
                    <w:keepLines w:val="0"/>
                    <w:suppressLineNumbers w:val="0"/>
                    <w:shd w:val="clear" w:color="auto" w:fill="auto"/>
                    <w:spacing w:before="0" w:beforeAutospacing="0" w:after="0" w:afterAutospacing="0" w:line="240" w:lineRule="auto"/>
                    <w:ind w:left="0" w:leftChars="0" w:right="0" w:rightChars="0"/>
                    <w:jc w:val="center"/>
                    <w:rPr>
                      <w:rFonts w:hint="eastAsia" w:ascii="Times New Roman" w:hAnsi="Times New Roman" w:cs="Times New Roman"/>
                      <w:color w:val="000000"/>
                      <w:kern w:val="2"/>
                      <w:sz w:val="21"/>
                      <w:szCs w:val="21"/>
                      <w:highlight w:val="none"/>
                      <w:lang w:val="en-US" w:eastAsia="zh-CN" w:bidi="ar-SA"/>
                    </w:rPr>
                  </w:pPr>
                  <w:r>
                    <w:rPr>
                      <w:rFonts w:hint="eastAsia" w:ascii="Times New Roman" w:hAnsi="Times New Roman" w:cs="Times New Roman"/>
                      <w:color w:val="000000"/>
                      <w:szCs w:val="21"/>
                      <w:highlight w:val="none"/>
                      <w:lang w:val="en-US" w:eastAsia="zh-CN"/>
                    </w:rPr>
                    <w:t>3000</w:t>
                  </w:r>
                </w:p>
              </w:tc>
              <w:tc>
                <w:tcPr>
                  <w:tcW w:w="913" w:type="dxa"/>
                  <w:vMerge w:val="continue"/>
                  <w:shd w:val="clear" w:color="auto" w:fill="auto"/>
                  <w:noWrap w:val="0"/>
                  <w:vAlign w:val="top"/>
                </w:tcPr>
                <w:p w14:paraId="6AE53AA2">
                  <w:pPr>
                    <w:keepNext w:val="0"/>
                    <w:keepLines w:val="0"/>
                    <w:suppressLineNumbers w:val="0"/>
                    <w:shd w:val="clear" w:color="auto" w:fill="auto"/>
                    <w:spacing w:before="0" w:beforeAutospacing="0" w:after="0" w:afterAutospacing="0" w:line="240" w:lineRule="auto"/>
                    <w:ind w:left="0" w:leftChars="0" w:right="0" w:rightChars="0"/>
                    <w:jc w:val="center"/>
                    <w:rPr>
                      <w:rFonts w:hint="eastAsia" w:ascii="Times New Roman" w:hAnsi="Times New Roman" w:eastAsia="宋体" w:cs="Times New Roman"/>
                      <w:color w:val="000000"/>
                      <w:szCs w:val="21"/>
                      <w:highlight w:val="none"/>
                      <w:lang w:val="en-US" w:eastAsia="zh-CN"/>
                    </w:rPr>
                  </w:pPr>
                </w:p>
              </w:tc>
              <w:tc>
                <w:tcPr>
                  <w:tcW w:w="1612" w:type="dxa"/>
                  <w:shd w:val="clear" w:color="auto" w:fill="auto"/>
                  <w:noWrap w:val="0"/>
                  <w:vAlign w:val="top"/>
                </w:tcPr>
                <w:p w14:paraId="454BF104">
                  <w:pPr>
                    <w:keepNext w:val="0"/>
                    <w:keepLines w:val="0"/>
                    <w:suppressLineNumbers w:val="0"/>
                    <w:shd w:val="clear" w:color="auto" w:fill="auto"/>
                    <w:spacing w:before="0" w:beforeAutospacing="0" w:after="0" w:afterAutospacing="0" w:line="240" w:lineRule="auto"/>
                    <w:ind w:left="0" w:leftChars="0" w:right="0" w:rightChars="0"/>
                    <w:jc w:val="center"/>
                    <w:rPr>
                      <w:rFonts w:hint="default" w:ascii="Times New Roman" w:hAnsi="Times New Roman" w:eastAsia="宋体" w:cs="Times New Roman"/>
                      <w:color w:val="000000"/>
                      <w:szCs w:val="21"/>
                      <w:highlight w:val="none"/>
                      <w:lang w:val="en-US" w:eastAsia="zh-CN"/>
                    </w:rPr>
                  </w:pPr>
                  <w:r>
                    <w:rPr>
                      <w:rFonts w:hint="eastAsia" w:cs="Times New Roman"/>
                      <w:color w:val="000000"/>
                      <w:szCs w:val="21"/>
                      <w:highlight w:val="none"/>
                      <w:lang w:val="en-US" w:eastAsia="zh-CN"/>
                    </w:rPr>
                    <w:t>废气排放</w:t>
                  </w:r>
                </w:p>
              </w:tc>
              <w:tc>
                <w:tcPr>
                  <w:tcW w:w="1497" w:type="dxa"/>
                  <w:shd w:val="clear" w:color="auto" w:fill="auto"/>
                  <w:noWrap w:val="0"/>
                  <w:vAlign w:val="center"/>
                </w:tcPr>
                <w:p w14:paraId="73332CDB">
                  <w:pPr>
                    <w:keepNext w:val="0"/>
                    <w:keepLines w:val="0"/>
                    <w:suppressLineNumbers w:val="0"/>
                    <w:shd w:val="clear" w:color="auto" w:fill="auto"/>
                    <w:spacing w:before="0" w:beforeAutospacing="0" w:after="0" w:afterAutospacing="0" w:line="240" w:lineRule="auto"/>
                    <w:ind w:left="0" w:leftChars="0" w:right="0" w:rightChars="0"/>
                    <w:jc w:val="center"/>
                    <w:rPr>
                      <w:rFonts w:hint="eastAsia"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0.5135</w:t>
                  </w:r>
                </w:p>
              </w:tc>
            </w:tr>
            <w:tr w14:paraId="6F5E8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shd w:val="clear" w:color="auto" w:fill="auto"/>
                  <w:noWrap w:val="0"/>
                  <w:vAlign w:val="top"/>
                </w:tcPr>
                <w:p w14:paraId="63A4118A">
                  <w:pPr>
                    <w:keepNext w:val="0"/>
                    <w:keepLines w:val="0"/>
                    <w:suppressLineNumbers w:val="0"/>
                    <w:shd w:val="clear" w:color="auto" w:fill="auto"/>
                    <w:spacing w:before="0" w:beforeAutospacing="0" w:after="0" w:afterAutospacing="0" w:line="240" w:lineRule="auto"/>
                    <w:ind w:left="0" w:leftChars="0" w:right="0" w:rightChars="0"/>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4</w:t>
                  </w:r>
                </w:p>
              </w:tc>
              <w:tc>
                <w:tcPr>
                  <w:tcW w:w="1538" w:type="dxa"/>
                  <w:shd w:val="clear" w:color="auto" w:fill="auto"/>
                  <w:noWrap w:val="0"/>
                  <w:vAlign w:val="top"/>
                </w:tcPr>
                <w:p w14:paraId="5F63E49D">
                  <w:pPr>
                    <w:keepNext w:val="0"/>
                    <w:keepLines w:val="0"/>
                    <w:suppressLineNumbers w:val="0"/>
                    <w:shd w:val="clear" w:color="auto" w:fill="auto"/>
                    <w:spacing w:before="0" w:beforeAutospacing="0" w:after="0" w:afterAutospacing="0" w:line="240" w:lineRule="auto"/>
                    <w:ind w:left="0" w:leftChars="0" w:right="0" w:rightChars="0"/>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软水</w:t>
                  </w:r>
                </w:p>
              </w:tc>
              <w:tc>
                <w:tcPr>
                  <w:tcW w:w="1312" w:type="dxa"/>
                  <w:shd w:val="clear" w:color="auto" w:fill="auto"/>
                  <w:noWrap w:val="0"/>
                  <w:vAlign w:val="top"/>
                </w:tcPr>
                <w:p w14:paraId="7F81F21A">
                  <w:pPr>
                    <w:keepNext w:val="0"/>
                    <w:keepLines w:val="0"/>
                    <w:suppressLineNumbers w:val="0"/>
                    <w:shd w:val="clear" w:color="auto" w:fill="auto"/>
                    <w:spacing w:before="0" w:beforeAutospacing="0" w:after="0" w:afterAutospacing="0" w:line="240" w:lineRule="auto"/>
                    <w:ind w:left="0" w:leftChars="0" w:right="0" w:rightChars="0"/>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4667</w:t>
                  </w:r>
                </w:p>
              </w:tc>
              <w:tc>
                <w:tcPr>
                  <w:tcW w:w="2525" w:type="dxa"/>
                  <w:gridSpan w:val="2"/>
                  <w:shd w:val="clear" w:color="auto" w:fill="auto"/>
                  <w:noWrap w:val="0"/>
                  <w:vAlign w:val="top"/>
                </w:tcPr>
                <w:p w14:paraId="0041C86E">
                  <w:pPr>
                    <w:keepNext w:val="0"/>
                    <w:keepLines w:val="0"/>
                    <w:suppressLineNumbers w:val="0"/>
                    <w:shd w:val="clear" w:color="auto" w:fill="auto"/>
                    <w:spacing w:before="0" w:beforeAutospacing="0" w:after="0" w:afterAutospacing="0" w:line="240" w:lineRule="auto"/>
                    <w:ind w:left="0" w:leftChars="0" w:right="0" w:rightChars="0"/>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水蒸气</w:t>
                  </w:r>
                </w:p>
              </w:tc>
              <w:tc>
                <w:tcPr>
                  <w:tcW w:w="1497" w:type="dxa"/>
                  <w:shd w:val="clear" w:color="auto" w:fill="auto"/>
                  <w:noWrap w:val="0"/>
                  <w:vAlign w:val="top"/>
                </w:tcPr>
                <w:p w14:paraId="7D520377">
                  <w:pPr>
                    <w:keepNext w:val="0"/>
                    <w:keepLines w:val="0"/>
                    <w:suppressLineNumbers w:val="0"/>
                    <w:shd w:val="clear" w:color="auto" w:fill="auto"/>
                    <w:spacing w:before="0" w:beforeAutospacing="0" w:after="0" w:afterAutospacing="0" w:line="240" w:lineRule="auto"/>
                    <w:ind w:left="0" w:leftChars="0" w:right="0" w:rightChars="0"/>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4200</w:t>
                  </w:r>
                </w:p>
              </w:tc>
            </w:tr>
            <w:tr w14:paraId="74BB7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shd w:val="clear" w:color="auto" w:fill="auto"/>
                  <w:noWrap w:val="0"/>
                  <w:vAlign w:val="top"/>
                </w:tcPr>
                <w:p w14:paraId="044D79EA">
                  <w:pPr>
                    <w:keepNext w:val="0"/>
                    <w:keepLines w:val="0"/>
                    <w:suppressLineNumbers w:val="0"/>
                    <w:shd w:val="clear" w:color="auto" w:fill="auto"/>
                    <w:spacing w:before="0" w:beforeAutospacing="0" w:after="0" w:afterAutospacing="0" w:line="240" w:lineRule="auto"/>
                    <w:ind w:left="0" w:leftChars="0" w:right="0" w:rightChars="0"/>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5</w:t>
                  </w:r>
                </w:p>
              </w:tc>
              <w:tc>
                <w:tcPr>
                  <w:tcW w:w="1538" w:type="dxa"/>
                  <w:shd w:val="clear" w:color="auto" w:fill="auto"/>
                  <w:noWrap w:val="0"/>
                  <w:vAlign w:val="top"/>
                </w:tcPr>
                <w:p w14:paraId="0332D2DA">
                  <w:pPr>
                    <w:keepNext w:val="0"/>
                    <w:keepLines w:val="0"/>
                    <w:suppressLineNumbers w:val="0"/>
                    <w:shd w:val="clear" w:color="auto" w:fill="auto"/>
                    <w:spacing w:before="0" w:beforeAutospacing="0" w:after="0" w:afterAutospacing="0" w:line="240" w:lineRule="auto"/>
                    <w:ind w:left="0" w:leftChars="0" w:right="0" w:right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新鲜水</w:t>
                  </w:r>
                </w:p>
              </w:tc>
              <w:tc>
                <w:tcPr>
                  <w:tcW w:w="1312" w:type="dxa"/>
                  <w:shd w:val="clear" w:color="auto" w:fill="auto"/>
                  <w:noWrap w:val="0"/>
                  <w:vAlign w:val="center"/>
                </w:tcPr>
                <w:p w14:paraId="2481AF7C">
                  <w:pPr>
                    <w:keepNext w:val="0"/>
                    <w:keepLines w:val="0"/>
                    <w:suppressLineNumbers w:val="0"/>
                    <w:shd w:val="clear" w:color="auto" w:fill="auto"/>
                    <w:spacing w:before="0" w:beforeAutospacing="0" w:after="0" w:afterAutospacing="0" w:line="240" w:lineRule="auto"/>
                    <w:ind w:left="0" w:leftChars="0" w:right="0" w:rightChars="0"/>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1125</w:t>
                  </w:r>
                </w:p>
              </w:tc>
              <w:tc>
                <w:tcPr>
                  <w:tcW w:w="913" w:type="dxa"/>
                  <w:vMerge w:val="restart"/>
                  <w:shd w:val="clear" w:color="auto" w:fill="auto"/>
                  <w:noWrap w:val="0"/>
                  <w:vAlign w:val="center"/>
                </w:tcPr>
                <w:p w14:paraId="71588962">
                  <w:pPr>
                    <w:keepNext w:val="0"/>
                    <w:keepLines w:val="0"/>
                    <w:suppressLineNumbers w:val="0"/>
                    <w:shd w:val="clear" w:color="auto" w:fill="auto"/>
                    <w:spacing w:before="0" w:beforeAutospacing="0" w:after="0" w:afterAutospacing="0" w:line="240" w:lineRule="auto"/>
                    <w:ind w:left="0" w:leftChars="0" w:right="0" w:rightChars="0"/>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废水</w:t>
                  </w:r>
                </w:p>
              </w:tc>
              <w:tc>
                <w:tcPr>
                  <w:tcW w:w="1612" w:type="dxa"/>
                  <w:shd w:val="clear" w:color="auto" w:fill="auto"/>
                  <w:noWrap w:val="0"/>
                  <w:vAlign w:val="top"/>
                </w:tcPr>
                <w:p w14:paraId="25D21544">
                  <w:pPr>
                    <w:keepNext w:val="0"/>
                    <w:keepLines w:val="0"/>
                    <w:suppressLineNumbers w:val="0"/>
                    <w:shd w:val="clear" w:color="auto" w:fill="auto"/>
                    <w:spacing w:before="0" w:beforeAutospacing="0" w:after="0" w:afterAutospacing="0" w:line="240" w:lineRule="auto"/>
                    <w:ind w:left="0" w:leftChars="0" w:right="0" w:rightChars="0"/>
                    <w:jc w:val="center"/>
                    <w:rPr>
                      <w:rFonts w:hint="eastAsia"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锅底水</w:t>
                  </w:r>
                </w:p>
              </w:tc>
              <w:tc>
                <w:tcPr>
                  <w:tcW w:w="1497" w:type="dxa"/>
                  <w:shd w:val="clear" w:color="auto" w:fill="auto"/>
                  <w:noWrap w:val="0"/>
                  <w:vAlign w:val="top"/>
                </w:tcPr>
                <w:p w14:paraId="6A91748F">
                  <w:pPr>
                    <w:keepNext w:val="0"/>
                    <w:keepLines w:val="0"/>
                    <w:suppressLineNumbers w:val="0"/>
                    <w:shd w:val="clear" w:color="auto" w:fill="auto"/>
                    <w:spacing w:before="0" w:beforeAutospacing="0" w:after="0" w:afterAutospacing="0" w:line="240" w:lineRule="auto"/>
                    <w:ind w:left="0" w:leftChars="0" w:right="0" w:rightChars="0"/>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240</w:t>
                  </w:r>
                </w:p>
              </w:tc>
            </w:tr>
            <w:tr w14:paraId="4AC94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shd w:val="clear" w:color="auto" w:fill="auto"/>
                  <w:noWrap w:val="0"/>
                  <w:vAlign w:val="top"/>
                </w:tcPr>
                <w:p w14:paraId="1D176DBC">
                  <w:pPr>
                    <w:keepNext w:val="0"/>
                    <w:keepLines w:val="0"/>
                    <w:suppressLineNumbers w:val="0"/>
                    <w:shd w:val="clear" w:color="auto" w:fill="auto"/>
                    <w:spacing w:before="0" w:beforeAutospacing="0" w:after="0" w:afterAutospacing="0" w:line="240" w:lineRule="auto"/>
                    <w:ind w:left="0" w:leftChars="0" w:right="0" w:rightChars="0"/>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6</w:t>
                  </w:r>
                </w:p>
              </w:tc>
              <w:tc>
                <w:tcPr>
                  <w:tcW w:w="1538" w:type="dxa"/>
                  <w:shd w:val="clear" w:color="auto" w:fill="auto"/>
                  <w:noWrap w:val="0"/>
                  <w:vAlign w:val="top"/>
                </w:tcPr>
                <w:p w14:paraId="204FAF09">
                  <w:pPr>
                    <w:keepNext w:val="0"/>
                    <w:keepLines w:val="0"/>
                    <w:suppressLineNumbers w:val="0"/>
                    <w:shd w:val="clear" w:color="auto" w:fill="auto"/>
                    <w:spacing w:before="0" w:beforeAutospacing="0" w:after="0" w:afterAutospacing="0" w:line="240" w:lineRule="auto"/>
                    <w:ind w:left="0" w:leftChars="0" w:right="0" w:rightChars="0"/>
                    <w:jc w:val="center"/>
                    <w:rPr>
                      <w:rFonts w:hint="default" w:ascii="Times New Roman" w:hAnsi="Times New Roman" w:eastAsia="宋体" w:cs="Times New Roman"/>
                      <w:color w:val="000000"/>
                      <w:sz w:val="21"/>
                      <w:szCs w:val="21"/>
                      <w:highlight w:val="none"/>
                      <w:lang w:val="en-US" w:eastAsia="zh-CN"/>
                    </w:rPr>
                  </w:pPr>
                </w:p>
              </w:tc>
              <w:tc>
                <w:tcPr>
                  <w:tcW w:w="1312" w:type="dxa"/>
                  <w:shd w:val="clear" w:color="auto" w:fill="auto"/>
                  <w:noWrap w:val="0"/>
                  <w:vAlign w:val="center"/>
                </w:tcPr>
                <w:p w14:paraId="26022620">
                  <w:pPr>
                    <w:keepNext w:val="0"/>
                    <w:keepLines w:val="0"/>
                    <w:suppressLineNumbers w:val="0"/>
                    <w:shd w:val="clear" w:color="auto" w:fill="auto"/>
                    <w:spacing w:before="0" w:beforeAutospacing="0" w:after="0" w:afterAutospacing="0" w:line="240" w:lineRule="auto"/>
                    <w:ind w:left="0" w:leftChars="0" w:right="0" w:rightChars="0"/>
                    <w:jc w:val="center"/>
                    <w:rPr>
                      <w:rFonts w:hint="eastAsia" w:ascii="Times New Roman" w:hAnsi="Times New Roman" w:eastAsia="宋体" w:cs="Times New Roman"/>
                      <w:color w:val="000000"/>
                      <w:sz w:val="21"/>
                      <w:szCs w:val="21"/>
                      <w:highlight w:val="none"/>
                      <w:lang w:val="en-US" w:eastAsia="zh-CN"/>
                    </w:rPr>
                  </w:pPr>
                </w:p>
              </w:tc>
              <w:tc>
                <w:tcPr>
                  <w:tcW w:w="913" w:type="dxa"/>
                  <w:vMerge w:val="continue"/>
                  <w:shd w:val="clear" w:color="auto" w:fill="auto"/>
                  <w:noWrap w:val="0"/>
                  <w:vAlign w:val="center"/>
                </w:tcPr>
                <w:p w14:paraId="7A1E605C">
                  <w:pPr>
                    <w:keepNext w:val="0"/>
                    <w:keepLines w:val="0"/>
                    <w:suppressLineNumbers w:val="0"/>
                    <w:shd w:val="clear" w:color="auto" w:fill="auto"/>
                    <w:spacing w:before="0" w:beforeAutospacing="0" w:after="0" w:afterAutospacing="0" w:line="240" w:lineRule="auto"/>
                    <w:ind w:left="0" w:leftChars="0" w:right="0" w:rightChars="0"/>
                    <w:jc w:val="center"/>
                    <w:rPr>
                      <w:rFonts w:hint="eastAsia" w:ascii="Times New Roman" w:hAnsi="Times New Roman" w:eastAsia="宋体" w:cs="Times New Roman"/>
                      <w:color w:val="000000"/>
                      <w:szCs w:val="21"/>
                      <w:highlight w:val="none"/>
                      <w:lang w:val="en-US" w:eastAsia="zh-CN"/>
                    </w:rPr>
                  </w:pPr>
                </w:p>
              </w:tc>
              <w:tc>
                <w:tcPr>
                  <w:tcW w:w="1612" w:type="dxa"/>
                  <w:shd w:val="clear" w:color="auto" w:fill="auto"/>
                  <w:noWrap w:val="0"/>
                  <w:vAlign w:val="top"/>
                </w:tcPr>
                <w:p w14:paraId="4F4951AF">
                  <w:pPr>
                    <w:keepNext w:val="0"/>
                    <w:keepLines w:val="0"/>
                    <w:suppressLineNumbers w:val="0"/>
                    <w:shd w:val="clear" w:color="auto" w:fill="auto"/>
                    <w:spacing w:before="0" w:beforeAutospacing="0" w:after="0" w:afterAutospacing="0" w:line="240" w:lineRule="auto"/>
                    <w:ind w:left="0" w:leftChars="0" w:right="0" w:rightChars="0"/>
                    <w:jc w:val="center"/>
                    <w:rPr>
                      <w:rFonts w:hint="eastAsia"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窖底水</w:t>
                  </w:r>
                </w:p>
              </w:tc>
              <w:tc>
                <w:tcPr>
                  <w:tcW w:w="1497" w:type="dxa"/>
                  <w:shd w:val="clear" w:color="auto" w:fill="auto"/>
                  <w:noWrap w:val="0"/>
                  <w:vAlign w:val="top"/>
                </w:tcPr>
                <w:p w14:paraId="4F326D32">
                  <w:pPr>
                    <w:keepNext w:val="0"/>
                    <w:keepLines w:val="0"/>
                    <w:suppressLineNumbers w:val="0"/>
                    <w:shd w:val="clear" w:color="auto" w:fill="auto"/>
                    <w:spacing w:before="0" w:beforeAutospacing="0" w:after="0" w:afterAutospacing="0" w:line="240" w:lineRule="auto"/>
                    <w:ind w:left="0" w:leftChars="0" w:right="0" w:rightChars="0"/>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600</w:t>
                  </w:r>
                </w:p>
              </w:tc>
            </w:tr>
            <w:tr w14:paraId="57795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shd w:val="clear" w:color="auto" w:fill="auto"/>
                  <w:noWrap w:val="0"/>
                  <w:vAlign w:val="top"/>
                </w:tcPr>
                <w:p w14:paraId="51D5B93D">
                  <w:pPr>
                    <w:keepNext w:val="0"/>
                    <w:keepLines w:val="0"/>
                    <w:suppressLineNumbers w:val="0"/>
                    <w:shd w:val="clear" w:color="auto" w:fill="auto"/>
                    <w:spacing w:before="0" w:beforeAutospacing="0" w:after="0" w:afterAutospacing="0" w:line="240" w:lineRule="auto"/>
                    <w:ind w:left="0" w:leftChars="0" w:right="0" w:rightChars="0"/>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7</w:t>
                  </w:r>
                </w:p>
              </w:tc>
              <w:tc>
                <w:tcPr>
                  <w:tcW w:w="1538" w:type="dxa"/>
                  <w:shd w:val="clear" w:color="auto" w:fill="auto"/>
                  <w:noWrap w:val="0"/>
                  <w:vAlign w:val="top"/>
                </w:tcPr>
                <w:p w14:paraId="653BD362">
                  <w:pPr>
                    <w:rPr>
                      <w:rFonts w:hint="eastAsia" w:ascii="Times New Roman" w:hAnsi="Times New Roman" w:cs="Times New Roman"/>
                      <w:b/>
                      <w:bCs/>
                      <w:color w:val="000000"/>
                      <w:sz w:val="21"/>
                      <w:szCs w:val="21"/>
                      <w:highlight w:val="none"/>
                      <w:vertAlign w:val="baseline"/>
                      <w:lang w:val="en-US" w:eastAsia="zh-CN"/>
                    </w:rPr>
                  </w:pPr>
                </w:p>
              </w:tc>
              <w:tc>
                <w:tcPr>
                  <w:tcW w:w="1312" w:type="dxa"/>
                  <w:shd w:val="clear" w:color="auto" w:fill="auto"/>
                  <w:noWrap w:val="0"/>
                  <w:vAlign w:val="top"/>
                </w:tcPr>
                <w:p w14:paraId="071A2BD9">
                  <w:pPr>
                    <w:keepNext w:val="0"/>
                    <w:keepLines w:val="0"/>
                    <w:suppressLineNumbers w:val="0"/>
                    <w:shd w:val="clear" w:color="auto" w:fill="auto"/>
                    <w:spacing w:before="0" w:beforeAutospacing="0" w:after="0" w:afterAutospacing="0" w:line="240" w:lineRule="auto"/>
                    <w:ind w:left="0" w:leftChars="0" w:right="0" w:rightChars="0"/>
                    <w:jc w:val="center"/>
                    <w:rPr>
                      <w:rFonts w:hint="eastAsia" w:ascii="Times New Roman" w:hAnsi="Times New Roman" w:eastAsia="宋体" w:cs="Times New Roman"/>
                      <w:color w:val="000000"/>
                      <w:szCs w:val="21"/>
                      <w:highlight w:val="none"/>
                      <w:lang w:val="en-US" w:eastAsia="zh-CN"/>
                    </w:rPr>
                  </w:pPr>
                </w:p>
              </w:tc>
              <w:tc>
                <w:tcPr>
                  <w:tcW w:w="913" w:type="dxa"/>
                  <w:vMerge w:val="continue"/>
                  <w:shd w:val="clear" w:color="auto" w:fill="auto"/>
                  <w:noWrap w:val="0"/>
                  <w:vAlign w:val="center"/>
                </w:tcPr>
                <w:p w14:paraId="762A7B1F">
                  <w:pPr>
                    <w:keepNext w:val="0"/>
                    <w:keepLines w:val="0"/>
                    <w:suppressLineNumbers w:val="0"/>
                    <w:shd w:val="clear" w:color="auto" w:fill="auto"/>
                    <w:spacing w:before="0" w:beforeAutospacing="0" w:after="0" w:afterAutospacing="0" w:line="240" w:lineRule="auto"/>
                    <w:ind w:left="0" w:leftChars="0" w:right="0" w:rightChars="0"/>
                    <w:jc w:val="center"/>
                    <w:rPr>
                      <w:rFonts w:hint="eastAsia" w:ascii="Times New Roman" w:hAnsi="Times New Roman" w:eastAsia="宋体" w:cs="Times New Roman"/>
                      <w:color w:val="000000"/>
                      <w:szCs w:val="21"/>
                      <w:highlight w:val="none"/>
                      <w:lang w:val="en-US" w:eastAsia="zh-CN"/>
                    </w:rPr>
                  </w:pPr>
                </w:p>
              </w:tc>
              <w:tc>
                <w:tcPr>
                  <w:tcW w:w="1612" w:type="dxa"/>
                  <w:shd w:val="clear" w:color="auto" w:fill="auto"/>
                  <w:noWrap w:val="0"/>
                  <w:vAlign w:val="top"/>
                </w:tcPr>
                <w:p w14:paraId="462061D6">
                  <w:pPr>
                    <w:keepNext w:val="0"/>
                    <w:keepLines w:val="0"/>
                    <w:suppressLineNumbers w:val="0"/>
                    <w:shd w:val="clear" w:color="auto" w:fill="auto"/>
                    <w:spacing w:before="0" w:beforeAutospacing="0" w:after="0" w:afterAutospacing="0" w:line="240" w:lineRule="auto"/>
                    <w:ind w:left="0" w:leftChars="0" w:right="0" w:rightChars="0"/>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锅炉排水</w:t>
                  </w:r>
                </w:p>
              </w:tc>
              <w:tc>
                <w:tcPr>
                  <w:tcW w:w="1497" w:type="dxa"/>
                  <w:shd w:val="clear" w:color="auto" w:fill="auto"/>
                  <w:noWrap w:val="0"/>
                  <w:vAlign w:val="top"/>
                </w:tcPr>
                <w:p w14:paraId="4BB4CC5E">
                  <w:pPr>
                    <w:keepNext w:val="0"/>
                    <w:keepLines w:val="0"/>
                    <w:suppressLineNumbers w:val="0"/>
                    <w:shd w:val="clear" w:color="auto" w:fill="auto"/>
                    <w:spacing w:before="0" w:beforeAutospacing="0" w:after="0" w:afterAutospacing="0" w:line="240" w:lineRule="auto"/>
                    <w:ind w:left="0" w:leftChars="0" w:right="0" w:rightChars="0"/>
                    <w:jc w:val="center"/>
                    <w:rPr>
                      <w:rFonts w:hint="eastAsia"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467</w:t>
                  </w:r>
                </w:p>
              </w:tc>
            </w:tr>
            <w:tr w14:paraId="69C56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shd w:val="clear" w:color="auto" w:fill="auto"/>
                  <w:noWrap w:val="0"/>
                  <w:vAlign w:val="top"/>
                </w:tcPr>
                <w:p w14:paraId="72FF717E">
                  <w:pPr>
                    <w:keepNext w:val="0"/>
                    <w:keepLines w:val="0"/>
                    <w:suppressLineNumbers w:val="0"/>
                    <w:shd w:val="clear" w:color="auto" w:fill="auto"/>
                    <w:spacing w:before="0" w:beforeAutospacing="0" w:after="0" w:afterAutospacing="0" w:line="240" w:lineRule="auto"/>
                    <w:ind w:left="0" w:leftChars="0" w:right="0" w:rightChars="0"/>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8</w:t>
                  </w:r>
                </w:p>
              </w:tc>
              <w:tc>
                <w:tcPr>
                  <w:tcW w:w="1538" w:type="dxa"/>
                  <w:shd w:val="clear" w:color="auto" w:fill="auto"/>
                  <w:noWrap w:val="0"/>
                  <w:vAlign w:val="top"/>
                </w:tcPr>
                <w:p w14:paraId="10B7B1B7">
                  <w:pPr>
                    <w:rPr>
                      <w:rFonts w:hint="eastAsia" w:ascii="Times New Roman" w:hAnsi="Times New Roman" w:cs="Times New Roman"/>
                      <w:b/>
                      <w:bCs/>
                      <w:color w:val="000000"/>
                      <w:sz w:val="21"/>
                      <w:szCs w:val="21"/>
                      <w:highlight w:val="none"/>
                      <w:vertAlign w:val="baseline"/>
                      <w:lang w:val="en-US" w:eastAsia="zh-CN"/>
                    </w:rPr>
                  </w:pPr>
                </w:p>
              </w:tc>
              <w:tc>
                <w:tcPr>
                  <w:tcW w:w="1312" w:type="dxa"/>
                  <w:shd w:val="clear" w:color="auto" w:fill="auto"/>
                  <w:noWrap w:val="0"/>
                  <w:vAlign w:val="top"/>
                </w:tcPr>
                <w:p w14:paraId="4CB48034">
                  <w:pPr>
                    <w:keepNext w:val="0"/>
                    <w:keepLines w:val="0"/>
                    <w:suppressLineNumbers w:val="0"/>
                    <w:shd w:val="clear" w:color="auto" w:fill="auto"/>
                    <w:spacing w:before="0" w:beforeAutospacing="0" w:after="0" w:afterAutospacing="0" w:line="240" w:lineRule="auto"/>
                    <w:ind w:left="0" w:leftChars="0" w:right="0" w:rightChars="0"/>
                    <w:jc w:val="center"/>
                    <w:rPr>
                      <w:rFonts w:hint="eastAsia" w:ascii="Times New Roman" w:hAnsi="Times New Roman" w:eastAsia="宋体" w:cs="Times New Roman"/>
                      <w:color w:val="000000"/>
                      <w:szCs w:val="21"/>
                      <w:highlight w:val="none"/>
                      <w:lang w:val="en-US" w:eastAsia="zh-CN"/>
                    </w:rPr>
                  </w:pPr>
                </w:p>
              </w:tc>
              <w:tc>
                <w:tcPr>
                  <w:tcW w:w="913" w:type="dxa"/>
                  <w:vMerge w:val="restart"/>
                  <w:shd w:val="clear" w:color="auto" w:fill="auto"/>
                  <w:noWrap w:val="0"/>
                  <w:vAlign w:val="center"/>
                </w:tcPr>
                <w:p w14:paraId="5866B34C">
                  <w:pPr>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固废</w:t>
                  </w:r>
                </w:p>
              </w:tc>
              <w:tc>
                <w:tcPr>
                  <w:tcW w:w="1612" w:type="dxa"/>
                  <w:shd w:val="clear" w:color="auto" w:fill="auto"/>
                  <w:noWrap w:val="0"/>
                  <w:vAlign w:val="top"/>
                </w:tcPr>
                <w:p w14:paraId="7D1BE24C">
                  <w:pPr>
                    <w:keepNext w:val="0"/>
                    <w:keepLines w:val="0"/>
                    <w:suppressLineNumbers w:val="0"/>
                    <w:shd w:val="clear" w:color="auto" w:fill="auto"/>
                    <w:spacing w:before="0" w:beforeAutospacing="0" w:after="0" w:afterAutospacing="0" w:line="240" w:lineRule="auto"/>
                    <w:ind w:left="0" w:leftChars="0" w:right="0" w:rightChars="0"/>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酒糟</w:t>
                  </w:r>
                </w:p>
              </w:tc>
              <w:tc>
                <w:tcPr>
                  <w:tcW w:w="1497" w:type="dxa"/>
                  <w:shd w:val="clear" w:color="auto" w:fill="auto"/>
                  <w:noWrap w:val="0"/>
                  <w:vAlign w:val="center"/>
                </w:tcPr>
                <w:p w14:paraId="0F137D0B">
                  <w:pPr>
                    <w:keepNext w:val="0"/>
                    <w:keepLines w:val="0"/>
                    <w:suppressLineNumbers w:val="0"/>
                    <w:shd w:val="clear" w:color="auto" w:fill="auto"/>
                    <w:spacing w:before="0" w:beforeAutospacing="0" w:after="0" w:afterAutospacing="0" w:line="240" w:lineRule="auto"/>
                    <w:ind w:left="0" w:leftChars="0" w:right="0" w:rightChars="0"/>
                    <w:jc w:val="center"/>
                    <w:rPr>
                      <w:rFonts w:hint="eastAsia"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4571.437</w:t>
                  </w:r>
                </w:p>
              </w:tc>
            </w:tr>
            <w:tr w14:paraId="58FD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2537" w:type="dxa"/>
                  <w:gridSpan w:val="2"/>
                  <w:shd w:val="clear" w:color="auto" w:fill="auto"/>
                  <w:noWrap w:val="0"/>
                  <w:vAlign w:val="top"/>
                </w:tcPr>
                <w:p w14:paraId="7BCFC65A">
                  <w:pPr>
                    <w:keepNext w:val="0"/>
                    <w:keepLines w:val="0"/>
                    <w:suppressLineNumbers w:val="0"/>
                    <w:shd w:val="clear" w:color="auto" w:fill="auto"/>
                    <w:spacing w:before="0" w:beforeAutospacing="0" w:after="0" w:afterAutospacing="0" w:line="240" w:lineRule="auto"/>
                    <w:ind w:left="0" w:leftChars="0" w:right="0" w:rightChars="0"/>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投入合计</w:t>
                  </w:r>
                </w:p>
              </w:tc>
              <w:tc>
                <w:tcPr>
                  <w:tcW w:w="1312" w:type="dxa"/>
                  <w:shd w:val="clear" w:color="auto" w:fill="auto"/>
                  <w:noWrap w:val="0"/>
                  <w:vAlign w:val="center"/>
                </w:tcPr>
                <w:p w14:paraId="631B35EA">
                  <w:pPr>
                    <w:keepNext w:val="0"/>
                    <w:keepLines w:val="0"/>
                    <w:suppressLineNumbers w:val="0"/>
                    <w:shd w:val="clear" w:color="auto" w:fill="auto"/>
                    <w:spacing w:before="0" w:beforeAutospacing="0" w:after="0" w:afterAutospacing="0" w:line="240" w:lineRule="auto"/>
                    <w:ind w:left="0" w:leftChars="0" w:right="0" w:rightChars="0"/>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10682</w:t>
                  </w:r>
                </w:p>
              </w:tc>
              <w:tc>
                <w:tcPr>
                  <w:tcW w:w="913" w:type="dxa"/>
                  <w:vMerge w:val="continue"/>
                  <w:shd w:val="clear" w:color="auto" w:fill="auto"/>
                  <w:noWrap w:val="0"/>
                  <w:vAlign w:val="top"/>
                </w:tcPr>
                <w:p w14:paraId="64C04543">
                  <w:pPr>
                    <w:keepNext w:val="0"/>
                    <w:keepLines w:val="0"/>
                    <w:suppressLineNumbers w:val="0"/>
                    <w:shd w:val="clear" w:color="auto" w:fill="auto"/>
                    <w:spacing w:before="0" w:beforeAutospacing="0" w:after="0" w:afterAutospacing="0" w:line="240" w:lineRule="auto"/>
                    <w:ind w:left="0" w:leftChars="0" w:right="0" w:rightChars="0"/>
                    <w:jc w:val="center"/>
                    <w:rPr>
                      <w:rFonts w:hint="eastAsia" w:ascii="Times New Roman" w:hAnsi="Times New Roman" w:eastAsia="宋体" w:cs="Times New Roman"/>
                      <w:color w:val="000000"/>
                      <w:szCs w:val="21"/>
                      <w:highlight w:val="none"/>
                      <w:lang w:val="en-US" w:eastAsia="zh-CN"/>
                    </w:rPr>
                  </w:pPr>
                </w:p>
              </w:tc>
              <w:tc>
                <w:tcPr>
                  <w:tcW w:w="1612" w:type="dxa"/>
                  <w:shd w:val="clear" w:color="auto" w:fill="auto"/>
                  <w:noWrap w:val="0"/>
                  <w:vAlign w:val="top"/>
                </w:tcPr>
                <w:p w14:paraId="259BE618">
                  <w:pPr>
                    <w:keepNext w:val="0"/>
                    <w:keepLines w:val="0"/>
                    <w:suppressLineNumbers w:val="0"/>
                    <w:shd w:val="clear" w:color="auto" w:fill="auto"/>
                    <w:spacing w:before="0" w:beforeAutospacing="0" w:after="0" w:afterAutospacing="0" w:line="240" w:lineRule="auto"/>
                    <w:ind w:left="0" w:leftChars="0" w:right="0" w:rightChars="0"/>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产出合计</w:t>
                  </w:r>
                </w:p>
              </w:tc>
              <w:tc>
                <w:tcPr>
                  <w:tcW w:w="1497" w:type="dxa"/>
                  <w:shd w:val="clear" w:color="auto" w:fill="auto"/>
                  <w:noWrap w:val="0"/>
                  <w:vAlign w:val="top"/>
                </w:tcPr>
                <w:p w14:paraId="007021D8">
                  <w:pPr>
                    <w:jc w:val="center"/>
                    <w:rPr>
                      <w:rFonts w:hint="eastAsia" w:ascii="Times New Roman" w:hAnsi="Times New Roman" w:cs="Times New Roman"/>
                      <w:b/>
                      <w:bCs/>
                      <w:color w:val="000000"/>
                      <w:sz w:val="21"/>
                      <w:szCs w:val="21"/>
                      <w:highlight w:val="none"/>
                      <w:vertAlign w:val="baseline"/>
                      <w:lang w:val="en-US" w:eastAsia="zh-CN"/>
                    </w:rPr>
                  </w:pPr>
                  <w:r>
                    <w:rPr>
                      <w:rFonts w:hint="eastAsia" w:ascii="Times New Roman" w:hAnsi="Times New Roman" w:eastAsia="宋体" w:cs="Times New Roman"/>
                      <w:color w:val="000000"/>
                      <w:szCs w:val="21"/>
                      <w:highlight w:val="none"/>
                      <w:lang w:val="en-US" w:eastAsia="zh-CN"/>
                    </w:rPr>
                    <w:t>10682</w:t>
                  </w:r>
                </w:p>
              </w:tc>
            </w:tr>
            <w:tr w14:paraId="064E2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1" w:type="dxa"/>
                  <w:gridSpan w:val="6"/>
                  <w:shd w:val="clear" w:color="auto" w:fill="auto"/>
                  <w:noWrap w:val="0"/>
                  <w:vAlign w:val="top"/>
                </w:tcPr>
                <w:p w14:paraId="1CC14B20">
                  <w:pPr>
                    <w:jc w:val="both"/>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说明</w:t>
                  </w:r>
                  <w:r>
                    <w:rPr>
                      <w:rFonts w:hint="eastAsia" w:cs="Times New Roman"/>
                      <w:color w:val="000000"/>
                      <w:szCs w:val="21"/>
                      <w:highlight w:val="none"/>
                      <w:lang w:val="en-US" w:eastAsia="zh-CN"/>
                    </w:rPr>
                    <w:t>：</w:t>
                  </w:r>
                  <w:r>
                    <w:rPr>
                      <w:rFonts w:hint="eastAsia" w:ascii="Times New Roman" w:hAnsi="Times New Roman" w:eastAsia="宋体" w:cs="Times New Roman"/>
                      <w:color w:val="000000"/>
                      <w:szCs w:val="21"/>
                      <w:highlight w:val="none"/>
                      <w:lang w:val="en-US" w:eastAsia="zh-CN"/>
                    </w:rPr>
                    <w:t>表中仅涉及直接参与白酒酿造过程的原辅料及水。</w:t>
                  </w:r>
                </w:p>
              </w:tc>
            </w:tr>
          </w:tbl>
          <w:p w14:paraId="49E2C837">
            <w:pPr>
              <w:widowControl/>
              <w:shd w:val="clear" w:color="auto" w:fill="auto"/>
              <w:adjustRightInd w:val="0"/>
              <w:snapToGrid w:val="0"/>
              <w:spacing w:line="360" w:lineRule="auto"/>
              <w:ind w:firstLine="422" w:firstLineChars="200"/>
              <w:rPr>
                <w:rFonts w:hint="default" w:ascii="Times New Roman" w:hAnsi="Times New Roman" w:cs="Times New Roman"/>
                <w:b/>
                <w:bCs/>
                <w:color w:val="000000"/>
                <w:sz w:val="21"/>
                <w:szCs w:val="21"/>
                <w:highlight w:val="none"/>
              </w:rPr>
            </w:pPr>
            <w:r>
              <w:rPr>
                <w:rFonts w:hint="eastAsia" w:cs="Times New Roman"/>
                <w:b/>
                <w:bCs/>
                <w:color w:val="000000"/>
                <w:sz w:val="21"/>
                <w:szCs w:val="21"/>
                <w:highlight w:val="none"/>
                <w:lang w:val="en-US" w:eastAsia="zh-CN"/>
              </w:rPr>
              <w:t>8.</w:t>
            </w:r>
            <w:r>
              <w:rPr>
                <w:rFonts w:hint="default" w:ascii="Times New Roman" w:hAnsi="Times New Roman" w:cs="Times New Roman"/>
                <w:b/>
                <w:bCs/>
                <w:color w:val="000000"/>
                <w:sz w:val="21"/>
                <w:szCs w:val="21"/>
                <w:highlight w:val="none"/>
              </w:rPr>
              <w:t>水平衡分析</w:t>
            </w:r>
          </w:p>
          <w:p w14:paraId="10387320">
            <w:pPr>
              <w:widowControl/>
              <w:shd w:val="clear" w:color="auto" w:fill="auto"/>
              <w:adjustRightInd w:val="0"/>
              <w:snapToGrid w:val="0"/>
              <w:spacing w:line="360" w:lineRule="auto"/>
              <w:ind w:firstLine="420" w:firstLineChars="200"/>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（1）供水</w:t>
            </w:r>
          </w:p>
          <w:p w14:paraId="3722BBD6">
            <w:pPr>
              <w:shd w:val="clear" w:color="auto" w:fill="auto"/>
              <w:spacing w:line="360" w:lineRule="auto"/>
              <w:ind w:firstLine="420" w:firstLineChars="200"/>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w:t>
            </w:r>
            <w:r>
              <w:rPr>
                <w:rFonts w:hint="default" w:ascii="Times New Roman" w:hAnsi="Times New Roman" w:eastAsia="宋体" w:cs="Times New Roman"/>
                <w:color w:val="000000"/>
                <w:sz w:val="21"/>
                <w:szCs w:val="21"/>
                <w:highlight w:val="none"/>
              </w:rPr>
              <w:t>供水由</w:t>
            </w:r>
            <w:r>
              <w:rPr>
                <w:rFonts w:hint="eastAsia" w:ascii="Times New Roman" w:hAnsi="Times New Roman" w:eastAsia="宋体" w:cs="Times New Roman"/>
                <w:color w:val="000000"/>
                <w:sz w:val="21"/>
                <w:szCs w:val="21"/>
                <w:highlight w:val="none"/>
                <w:lang w:val="en-US" w:eastAsia="zh-CN"/>
              </w:rPr>
              <w:t>尹家务村供水管网提供</w:t>
            </w:r>
            <w:r>
              <w:rPr>
                <w:rFonts w:hint="default" w:ascii="Times New Roman" w:hAnsi="Times New Roman" w:cs="Times New Roman"/>
                <w:color w:val="000000"/>
                <w:sz w:val="21"/>
                <w:szCs w:val="21"/>
                <w:highlight w:val="none"/>
              </w:rPr>
              <w:t>，</w:t>
            </w:r>
            <w:r>
              <w:rPr>
                <w:rFonts w:hint="eastAsia" w:ascii="Times New Roman" w:hAnsi="Times New Roman" w:cs="Times New Roman"/>
                <w:color w:val="000000"/>
                <w:sz w:val="21"/>
                <w:szCs w:val="21"/>
                <w:highlight w:val="none"/>
                <w:lang w:val="en-US" w:eastAsia="zh-CN"/>
              </w:rPr>
              <w:t>能够满足生产、生活用水需要</w:t>
            </w:r>
            <w:r>
              <w:rPr>
                <w:rFonts w:hint="default" w:ascii="Times New Roman" w:hAnsi="Times New Roman" w:cs="Times New Roman"/>
                <w:color w:val="000000"/>
                <w:sz w:val="21"/>
                <w:szCs w:val="21"/>
                <w:highlight w:val="none"/>
              </w:rPr>
              <w:t>。</w:t>
            </w:r>
          </w:p>
          <w:p w14:paraId="112144F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1</w:t>
            </w:r>
            <w:r>
              <w:rPr>
                <w:rFonts w:hint="eastAsia" w:ascii="Times New Roman" w:hAnsi="Times New Roman" w:cs="Times New Roman"/>
                <w:color w:val="000000"/>
                <w:sz w:val="21"/>
                <w:szCs w:val="21"/>
                <w:highlight w:val="none"/>
                <w:lang w:val="en-US" w:eastAsia="zh-CN"/>
              </w:rPr>
              <w:t>）</w:t>
            </w:r>
            <w:r>
              <w:rPr>
                <w:rFonts w:hint="default" w:ascii="Times New Roman" w:hAnsi="Times New Roman" w:cs="Times New Roman"/>
                <w:color w:val="000000"/>
                <w:sz w:val="21"/>
                <w:szCs w:val="21"/>
                <w:highlight w:val="none"/>
                <w:lang w:val="en-US" w:eastAsia="zh-CN"/>
              </w:rPr>
              <w:t>生活用水</w:t>
            </w:r>
          </w:p>
          <w:p w14:paraId="49D01BC0">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项目劳动定员</w:t>
            </w:r>
            <w:r>
              <w:rPr>
                <w:rFonts w:hint="eastAsia" w:ascii="Times New Roman" w:hAnsi="Times New Roman" w:cs="Times New Roman"/>
                <w:color w:val="000000"/>
                <w:sz w:val="21"/>
                <w:szCs w:val="21"/>
                <w:highlight w:val="none"/>
                <w:lang w:val="en-US" w:eastAsia="zh-CN"/>
              </w:rPr>
              <w:t>30</w:t>
            </w:r>
            <w:r>
              <w:rPr>
                <w:rFonts w:hint="default" w:ascii="Times New Roman" w:hAnsi="Times New Roman" w:cs="Times New Roman"/>
                <w:color w:val="000000"/>
                <w:sz w:val="21"/>
                <w:szCs w:val="21"/>
                <w:highlight w:val="none"/>
              </w:rPr>
              <w:t>人，厂区提供食宿，根据《行业用水定额》（陕西省地方标准2020修订版）要求并结合本项目特点，本项目营运期员工用水量按</w:t>
            </w:r>
            <w:r>
              <w:rPr>
                <w:rFonts w:hint="eastAsia" w:ascii="Times New Roman" w:hAnsi="Times New Roman" w:cs="Times New Roman"/>
                <w:color w:val="000000"/>
                <w:sz w:val="21"/>
                <w:szCs w:val="21"/>
                <w:highlight w:val="none"/>
                <w:lang w:val="en-US" w:eastAsia="zh-CN"/>
              </w:rPr>
              <w:t>70</w:t>
            </w:r>
            <w:r>
              <w:rPr>
                <w:rFonts w:hint="default" w:ascii="Times New Roman" w:hAnsi="Times New Roman" w:cs="Times New Roman"/>
                <w:color w:val="000000"/>
                <w:sz w:val="21"/>
                <w:szCs w:val="21"/>
                <w:highlight w:val="none"/>
              </w:rPr>
              <w:t>L/人•d计，项目年运行300天，则本项目员工生活用水量为</w:t>
            </w:r>
            <w:r>
              <w:rPr>
                <w:rFonts w:hint="eastAsia" w:ascii="Times New Roman" w:hAnsi="Times New Roman" w:cs="Times New Roman"/>
                <w:color w:val="000000"/>
                <w:sz w:val="21"/>
                <w:szCs w:val="21"/>
                <w:highlight w:val="none"/>
                <w:lang w:val="en-US" w:eastAsia="zh-CN"/>
              </w:rPr>
              <w:t>2.1</w:t>
            </w:r>
            <w:r>
              <w:rPr>
                <w:rFonts w:hint="eastAsia" w:ascii="Times New Roman" w:hAnsi="Times New Roman" w:cs="Times New Roman"/>
                <w:color w:val="000000"/>
                <w:sz w:val="21"/>
                <w:szCs w:val="21"/>
                <w:highlight w:val="none"/>
                <w:lang w:eastAsia="zh-CN"/>
              </w:rPr>
              <w:t>m³</w:t>
            </w:r>
            <w:r>
              <w:rPr>
                <w:rFonts w:hint="default" w:ascii="Times New Roman" w:hAnsi="Times New Roman" w:cs="Times New Roman"/>
                <w:color w:val="000000"/>
                <w:sz w:val="21"/>
                <w:szCs w:val="21"/>
                <w:highlight w:val="none"/>
              </w:rPr>
              <w:t>/d、</w:t>
            </w:r>
            <w:r>
              <w:rPr>
                <w:rFonts w:hint="eastAsia" w:ascii="Times New Roman" w:hAnsi="Times New Roman" w:cs="Times New Roman"/>
                <w:color w:val="000000"/>
                <w:sz w:val="21"/>
                <w:szCs w:val="21"/>
                <w:highlight w:val="none"/>
                <w:lang w:val="en-US" w:eastAsia="zh-CN"/>
              </w:rPr>
              <w:t>630</w:t>
            </w:r>
            <w:r>
              <w:rPr>
                <w:rFonts w:hint="eastAsia" w:ascii="Times New Roman" w:hAnsi="Times New Roman" w:cs="Times New Roman"/>
                <w:color w:val="000000"/>
                <w:sz w:val="21"/>
                <w:szCs w:val="21"/>
                <w:highlight w:val="none"/>
                <w:lang w:eastAsia="zh-CN"/>
              </w:rPr>
              <w:t>m³</w:t>
            </w:r>
            <w:r>
              <w:rPr>
                <w:rFonts w:hint="default" w:ascii="Times New Roman" w:hAnsi="Times New Roman" w:cs="Times New Roman"/>
                <w:color w:val="000000"/>
                <w:sz w:val="21"/>
                <w:szCs w:val="21"/>
                <w:highlight w:val="none"/>
              </w:rPr>
              <w:t>/a</w:t>
            </w:r>
            <w:r>
              <w:rPr>
                <w:rFonts w:hint="eastAsia"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lang w:val="en-US" w:eastAsia="zh-CN"/>
              </w:rPr>
              <w:t>生活污水</w:t>
            </w:r>
            <w:r>
              <w:rPr>
                <w:rFonts w:hint="default" w:ascii="Times New Roman" w:hAnsi="Times New Roman" w:cs="Times New Roman"/>
                <w:color w:val="000000"/>
                <w:sz w:val="21"/>
                <w:szCs w:val="21"/>
                <w:highlight w:val="none"/>
              </w:rPr>
              <w:t>量按用水量的</w:t>
            </w:r>
            <w:r>
              <w:rPr>
                <w:rFonts w:hint="default" w:ascii="Times New Roman" w:hAnsi="Times New Roman" w:cs="Times New Roman"/>
                <w:color w:val="000000"/>
                <w:sz w:val="21"/>
                <w:szCs w:val="21"/>
                <w:highlight w:val="none"/>
                <w:lang w:val="en-US" w:eastAsia="zh-CN"/>
              </w:rPr>
              <w:t>80</w:t>
            </w:r>
            <w:r>
              <w:rPr>
                <w:rFonts w:hint="default" w:ascii="Times New Roman" w:hAnsi="Times New Roman" w:cs="Times New Roman"/>
                <w:color w:val="000000"/>
                <w:sz w:val="21"/>
                <w:szCs w:val="21"/>
                <w:highlight w:val="none"/>
              </w:rPr>
              <w:t>%计</w:t>
            </w:r>
            <w:r>
              <w:rPr>
                <w:rFonts w:hint="default" w:ascii="Times New Roman" w:hAnsi="Times New Roman" w:cs="Times New Roman"/>
                <w:bCs/>
                <w:color w:val="000000"/>
                <w:sz w:val="21"/>
                <w:szCs w:val="21"/>
                <w:highlight w:val="none"/>
              </w:rPr>
              <w:t>，则员工生活污水产生量为</w:t>
            </w:r>
            <w:r>
              <w:rPr>
                <w:rFonts w:hint="eastAsia" w:ascii="Times New Roman" w:hAnsi="Times New Roman" w:cs="Times New Roman"/>
                <w:bCs/>
                <w:color w:val="000000"/>
                <w:sz w:val="21"/>
                <w:szCs w:val="21"/>
                <w:highlight w:val="none"/>
                <w:lang w:val="en-US" w:eastAsia="zh-CN"/>
              </w:rPr>
              <w:t>1.68</w:t>
            </w:r>
            <w:r>
              <w:rPr>
                <w:rFonts w:hint="eastAsia" w:ascii="Times New Roman" w:hAnsi="Times New Roman" w:cs="Times New Roman"/>
                <w:bCs/>
                <w:color w:val="000000"/>
                <w:sz w:val="21"/>
                <w:szCs w:val="21"/>
                <w:highlight w:val="none"/>
                <w:lang w:eastAsia="zh-CN"/>
              </w:rPr>
              <w:t>m³</w:t>
            </w:r>
            <w:r>
              <w:rPr>
                <w:rFonts w:hint="default" w:ascii="Times New Roman" w:hAnsi="Times New Roman" w:cs="Times New Roman"/>
                <w:bCs/>
                <w:color w:val="000000"/>
                <w:sz w:val="21"/>
                <w:szCs w:val="21"/>
                <w:highlight w:val="none"/>
              </w:rPr>
              <w:t>/d，</w:t>
            </w:r>
            <w:r>
              <w:rPr>
                <w:rFonts w:hint="eastAsia" w:ascii="Times New Roman" w:hAnsi="Times New Roman" w:cs="Times New Roman"/>
                <w:bCs/>
                <w:color w:val="000000"/>
                <w:sz w:val="21"/>
                <w:szCs w:val="21"/>
                <w:highlight w:val="none"/>
                <w:lang w:val="en-US" w:eastAsia="zh-CN"/>
              </w:rPr>
              <w:t>504</w:t>
            </w:r>
            <w:r>
              <w:rPr>
                <w:rFonts w:hint="eastAsia" w:ascii="Times New Roman" w:hAnsi="Times New Roman" w:cs="Times New Roman"/>
                <w:bCs/>
                <w:color w:val="000000"/>
                <w:sz w:val="21"/>
                <w:szCs w:val="21"/>
                <w:highlight w:val="none"/>
                <w:lang w:eastAsia="zh-CN"/>
              </w:rPr>
              <w:t>m³</w:t>
            </w:r>
            <w:r>
              <w:rPr>
                <w:rFonts w:hint="default" w:ascii="Times New Roman" w:hAnsi="Times New Roman" w:cs="Times New Roman"/>
                <w:bCs/>
                <w:color w:val="000000"/>
                <w:sz w:val="21"/>
                <w:szCs w:val="21"/>
                <w:highlight w:val="none"/>
              </w:rPr>
              <w:t>/a</w:t>
            </w:r>
            <w:r>
              <w:rPr>
                <w:rFonts w:hint="default" w:ascii="Times New Roman" w:hAnsi="Times New Roman" w:cs="Times New Roman"/>
                <w:color w:val="000000"/>
                <w:sz w:val="21"/>
                <w:szCs w:val="21"/>
                <w:highlight w:val="none"/>
              </w:rPr>
              <w:t>。</w:t>
            </w:r>
          </w:p>
          <w:p w14:paraId="3218AD60">
            <w:pPr>
              <w:numPr>
                <w:ilvl w:val="0"/>
                <w:numId w:val="0"/>
              </w:numPr>
              <w:shd w:val="clear" w:color="auto" w:fill="auto"/>
              <w:bidi w:val="0"/>
              <w:spacing w:line="360" w:lineRule="auto"/>
              <w:ind w:leftChars="200"/>
              <w:jc w:val="both"/>
              <w:rPr>
                <w:rFonts w:hint="default" w:ascii="Times New Roman" w:hAnsi="Times New Roman" w:cs="Times New Roman"/>
                <w:color w:val="000000"/>
                <w:highlight w:val="none"/>
                <w:lang w:val="en-US" w:eastAsia="zh-CN"/>
              </w:rPr>
            </w:pPr>
            <w:r>
              <w:rPr>
                <w:rFonts w:hint="eastAsia" w:cs="Times New Roman"/>
                <w:color w:val="000000"/>
                <w:sz w:val="21"/>
                <w:szCs w:val="21"/>
                <w:highlight w:val="none"/>
                <w:lang w:val="en-US" w:eastAsia="zh-CN"/>
              </w:rPr>
              <w:t>2</w:t>
            </w:r>
            <w:r>
              <w:rPr>
                <w:rFonts w:hint="eastAsia" w:ascii="Times New Roman" w:hAnsi="Times New Roman" w:cs="Times New Roman"/>
                <w:color w:val="000000"/>
                <w:sz w:val="21"/>
                <w:szCs w:val="21"/>
                <w:highlight w:val="none"/>
                <w:lang w:val="en-US" w:eastAsia="zh-CN"/>
              </w:rPr>
              <w:t>）</w:t>
            </w:r>
            <w:r>
              <w:rPr>
                <w:rFonts w:hint="eastAsia" w:ascii="Times New Roman" w:hAnsi="Times New Roman" w:cs="Times New Roman"/>
                <w:color w:val="000000"/>
                <w:highlight w:val="none"/>
                <w:lang w:val="en-US" w:eastAsia="zh-CN"/>
              </w:rPr>
              <w:t>润粮用水</w:t>
            </w:r>
          </w:p>
          <w:p w14:paraId="186E9AA2">
            <w:pPr>
              <w:numPr>
                <w:ilvl w:val="0"/>
                <w:numId w:val="0"/>
              </w:numPr>
              <w:shd w:val="clear" w:color="auto" w:fill="auto"/>
              <w:bidi w:val="0"/>
              <w:spacing w:line="360" w:lineRule="auto"/>
              <w:ind w:firstLine="420" w:firstLineChars="200"/>
              <w:jc w:val="both"/>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润粮是将高粱用热水进行浸润处理，使原料充分吸收水分，以便后续的蒸煮糊化和糖化发酵等工序顺利进行，根据建设单位提供资料，润</w:t>
            </w:r>
            <w:r>
              <w:rPr>
                <w:rFonts w:hint="eastAsia" w:cs="Times New Roman"/>
                <w:color w:val="000000"/>
                <w:highlight w:val="none"/>
                <w:lang w:val="en-US" w:eastAsia="zh-CN"/>
              </w:rPr>
              <w:t>粮</w:t>
            </w:r>
            <w:r>
              <w:rPr>
                <w:rFonts w:hint="eastAsia" w:ascii="Times New Roman" w:hAnsi="Times New Roman" w:eastAsia="宋体" w:cs="Times New Roman"/>
                <w:color w:val="000000"/>
                <w:highlight w:val="none"/>
                <w:lang w:val="en-US" w:eastAsia="zh-CN"/>
              </w:rPr>
              <w:t>用水约为高粱用量的55%，项目高粱用量为1500</w:t>
            </w:r>
            <w:r>
              <w:rPr>
                <w:rFonts w:hint="eastAsia" w:ascii="Times New Roman" w:hAnsi="Times New Roman" w:cs="Times New Roman"/>
                <w:color w:val="000000"/>
                <w:sz w:val="21"/>
                <w:szCs w:val="21"/>
                <w:highlight w:val="none"/>
                <w:lang w:val="en-US" w:eastAsia="zh-CN"/>
              </w:rPr>
              <w:t>t</w:t>
            </w:r>
            <w:r>
              <w:rPr>
                <w:rFonts w:hint="default" w:ascii="Times New Roman" w:hAnsi="Times New Roman" w:cs="Times New Roman"/>
                <w:color w:val="000000"/>
                <w:sz w:val="21"/>
                <w:szCs w:val="21"/>
                <w:highlight w:val="none"/>
                <w:lang w:val="en-US" w:eastAsia="zh-CN"/>
              </w:rPr>
              <w:t>/a</w:t>
            </w:r>
            <w:r>
              <w:rPr>
                <w:rFonts w:hint="eastAsia" w:ascii="Times New Roman" w:hAnsi="Times New Roman" w:eastAsia="宋体" w:cs="Times New Roman"/>
                <w:color w:val="000000"/>
                <w:highlight w:val="none"/>
                <w:lang w:val="en-US" w:eastAsia="zh-CN"/>
              </w:rPr>
              <w:t>，则高粱润粮用水量为2.75</w:t>
            </w:r>
            <w:r>
              <w:rPr>
                <w:rFonts w:hint="eastAsia" w:ascii="Times New Roman" w:hAnsi="Times New Roman" w:cs="Times New Roman"/>
                <w:color w:val="000000"/>
                <w:sz w:val="21"/>
                <w:szCs w:val="21"/>
                <w:highlight w:val="none"/>
                <w:lang w:eastAsia="zh-CN"/>
              </w:rPr>
              <w:t>m³</w:t>
            </w:r>
            <w:r>
              <w:rPr>
                <w:rFonts w:hint="default" w:ascii="Times New Roman" w:hAnsi="Times New Roman" w:cs="Times New Roman"/>
                <w:color w:val="000000"/>
                <w:sz w:val="21"/>
                <w:szCs w:val="21"/>
                <w:highlight w:val="none"/>
              </w:rPr>
              <w:t>/d、</w:t>
            </w:r>
            <w:r>
              <w:rPr>
                <w:rFonts w:hint="eastAsia" w:ascii="Times New Roman" w:hAnsi="Times New Roman" w:eastAsia="宋体" w:cs="Times New Roman"/>
                <w:color w:val="000000"/>
                <w:highlight w:val="none"/>
                <w:lang w:val="en-US" w:eastAsia="zh-CN"/>
              </w:rPr>
              <w:t>825</w:t>
            </w:r>
            <w:r>
              <w:rPr>
                <w:rFonts w:hint="eastAsia" w:ascii="Times New Roman" w:hAnsi="Times New Roman" w:cs="Times New Roman"/>
                <w:color w:val="000000"/>
                <w:sz w:val="21"/>
                <w:szCs w:val="21"/>
                <w:highlight w:val="none"/>
                <w:lang w:val="en-US" w:eastAsia="zh-CN"/>
              </w:rPr>
              <w:t>m³</w:t>
            </w:r>
            <w:r>
              <w:rPr>
                <w:rFonts w:hint="default" w:ascii="Times New Roman" w:hAnsi="Times New Roman" w:cs="Times New Roman"/>
                <w:color w:val="000000"/>
                <w:sz w:val="21"/>
                <w:szCs w:val="21"/>
                <w:highlight w:val="none"/>
                <w:lang w:val="en-US" w:eastAsia="zh-CN"/>
              </w:rPr>
              <w:t>/a</w:t>
            </w:r>
            <w:r>
              <w:rPr>
                <w:rFonts w:hint="eastAsia" w:cs="Times New Roman"/>
                <w:color w:val="000000"/>
                <w:highlight w:val="none"/>
                <w:lang w:val="en-US" w:eastAsia="zh-CN"/>
              </w:rPr>
              <w:t>。</w:t>
            </w:r>
          </w:p>
          <w:p w14:paraId="351AC01F">
            <w:pPr>
              <w:numPr>
                <w:ilvl w:val="0"/>
                <w:numId w:val="0"/>
              </w:numPr>
              <w:shd w:val="clear" w:color="auto" w:fill="auto"/>
              <w:bidi w:val="0"/>
              <w:spacing w:line="360" w:lineRule="auto"/>
              <w:ind w:leftChars="200"/>
              <w:jc w:val="both"/>
              <w:rPr>
                <w:rFonts w:hint="default" w:ascii="Times New Roman" w:hAnsi="Times New Roman" w:cs="Times New Roman"/>
                <w:color w:val="000000"/>
                <w:highlight w:val="none"/>
                <w:lang w:val="en-US" w:eastAsia="zh-CN"/>
              </w:rPr>
            </w:pPr>
            <w:r>
              <w:rPr>
                <w:rFonts w:hint="eastAsia" w:cs="Times New Roman"/>
                <w:color w:val="000000"/>
                <w:sz w:val="21"/>
                <w:szCs w:val="21"/>
                <w:highlight w:val="none"/>
                <w:lang w:val="en-US" w:eastAsia="zh-CN"/>
              </w:rPr>
              <w:t>3</w:t>
            </w:r>
            <w:r>
              <w:rPr>
                <w:rFonts w:hint="eastAsia" w:ascii="Times New Roman" w:hAnsi="Times New Roman" w:cs="Times New Roman"/>
                <w:color w:val="000000"/>
                <w:sz w:val="21"/>
                <w:szCs w:val="21"/>
                <w:highlight w:val="none"/>
                <w:lang w:val="en-US" w:eastAsia="zh-CN"/>
              </w:rPr>
              <w:t>）</w:t>
            </w:r>
            <w:r>
              <w:rPr>
                <w:rFonts w:hint="eastAsia" w:ascii="Times New Roman" w:hAnsi="Times New Roman" w:cs="Times New Roman"/>
                <w:color w:val="000000"/>
                <w:highlight w:val="none"/>
                <w:lang w:val="en-US" w:eastAsia="zh-CN"/>
              </w:rPr>
              <w:t>锅炉用水</w:t>
            </w:r>
          </w:p>
          <w:p w14:paraId="30E5ABA4">
            <w:pPr>
              <w:numPr>
                <w:ilvl w:val="0"/>
                <w:numId w:val="0"/>
              </w:numPr>
              <w:shd w:val="clear" w:color="auto" w:fill="auto"/>
              <w:bidi w:val="0"/>
              <w:spacing w:line="360" w:lineRule="auto"/>
              <w:ind w:leftChars="200"/>
              <w:jc w:val="both"/>
              <w:rPr>
                <w:rFonts w:hint="default" w:ascii="Times New Roman" w:hAnsi="Times New Roman" w:cs="Times New Roman"/>
                <w:color w:val="000000"/>
                <w:highlight w:val="none"/>
                <w:lang w:val="en-US" w:eastAsia="zh-CN"/>
              </w:rPr>
            </w:pPr>
            <w:r>
              <w:rPr>
                <w:rFonts w:hint="eastAsia" w:ascii="Times New Roman" w:hAnsi="Times New Roman" w:cs="Times New Roman"/>
                <w:color w:val="000000"/>
                <w:highlight w:val="none"/>
                <w:lang w:val="en-US" w:eastAsia="zh-CN"/>
              </w:rPr>
              <w:t>①锅炉运行用水</w:t>
            </w:r>
          </w:p>
          <w:p w14:paraId="419C8F4E">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本项目锅炉提供的蒸汽用于高粱蒸煮和白酒蒸馏，根据建设单位提供资料，每生产1吨凤香型白酒需要约7吨蒸汽，项目白酒产量为600t/a，则蒸汽用量为14t/d，4200t/a。由于锅炉运行过程中随着蒸发量的增加，锅炉内的水质会下降，为了保持锅炉内的水质良好，需要每天进行两次排水，锅炉每天排污率为10%，即锅炉排水量为1.56</w:t>
            </w:r>
            <w:r>
              <w:rPr>
                <w:rFonts w:hint="eastAsia" w:ascii="Times New Roman" w:hAnsi="Times New Roman" w:cs="Times New Roman"/>
                <w:color w:val="000000"/>
                <w:sz w:val="21"/>
                <w:szCs w:val="21"/>
                <w:highlight w:val="none"/>
                <w:lang w:eastAsia="zh-CN"/>
              </w:rPr>
              <w:t>m³</w:t>
            </w:r>
            <w:r>
              <w:rPr>
                <w:rFonts w:hint="default" w:ascii="Times New Roman" w:hAnsi="Times New Roman" w:cs="Times New Roman"/>
                <w:color w:val="000000"/>
                <w:sz w:val="21"/>
                <w:szCs w:val="21"/>
                <w:highlight w:val="none"/>
              </w:rPr>
              <w:t>/d、</w:t>
            </w:r>
            <w:r>
              <w:rPr>
                <w:rFonts w:hint="eastAsia" w:ascii="Times New Roman" w:hAnsi="Times New Roman" w:cs="Times New Roman"/>
                <w:color w:val="000000"/>
                <w:sz w:val="21"/>
                <w:szCs w:val="21"/>
                <w:highlight w:val="none"/>
                <w:lang w:val="en-US" w:eastAsia="zh-CN"/>
              </w:rPr>
              <w:t>467</w:t>
            </w:r>
            <w:r>
              <w:rPr>
                <w:rFonts w:hint="eastAsia" w:ascii="Times New Roman" w:hAnsi="Times New Roman" w:cs="Times New Roman"/>
                <w:color w:val="000000"/>
                <w:sz w:val="21"/>
                <w:szCs w:val="21"/>
                <w:highlight w:val="none"/>
                <w:lang w:eastAsia="zh-CN"/>
              </w:rPr>
              <w:t>m³</w:t>
            </w:r>
            <w:r>
              <w:rPr>
                <w:rFonts w:hint="default" w:ascii="Times New Roman" w:hAnsi="Times New Roman" w:cs="Times New Roman"/>
                <w:color w:val="000000"/>
                <w:sz w:val="21"/>
                <w:szCs w:val="21"/>
                <w:highlight w:val="none"/>
              </w:rPr>
              <w:t>/a</w:t>
            </w:r>
            <w:r>
              <w:rPr>
                <w:rFonts w:hint="eastAsia" w:ascii="Times New Roman" w:hAnsi="Times New Roman" w:cs="Times New Roman"/>
                <w:color w:val="000000"/>
                <w:sz w:val="21"/>
                <w:szCs w:val="21"/>
                <w:highlight w:val="none"/>
                <w:lang w:eastAsia="zh-CN"/>
              </w:rPr>
              <w:t>。</w:t>
            </w:r>
            <w:r>
              <w:rPr>
                <w:rFonts w:hint="eastAsia" w:ascii="Times New Roman" w:hAnsi="Times New Roman" w:cs="Times New Roman"/>
                <w:color w:val="000000"/>
                <w:sz w:val="21"/>
                <w:szCs w:val="21"/>
                <w:highlight w:val="none"/>
                <w:lang w:val="en-US" w:eastAsia="zh-CN"/>
              </w:rPr>
              <w:t>锅炉运行用水量合计为4667</w:t>
            </w:r>
            <w:r>
              <w:rPr>
                <w:rFonts w:hint="eastAsia" w:ascii="Times New Roman" w:hAnsi="Times New Roman" w:cs="Times New Roman"/>
                <w:color w:val="000000"/>
                <w:sz w:val="21"/>
                <w:szCs w:val="21"/>
                <w:highlight w:val="none"/>
                <w:lang w:eastAsia="zh-CN"/>
              </w:rPr>
              <w:t>m³</w:t>
            </w:r>
            <w:r>
              <w:rPr>
                <w:rFonts w:hint="default" w:ascii="Times New Roman" w:hAnsi="Times New Roman" w:cs="Times New Roman"/>
                <w:color w:val="000000"/>
                <w:sz w:val="21"/>
                <w:szCs w:val="21"/>
                <w:highlight w:val="none"/>
              </w:rPr>
              <w:t>/a</w:t>
            </w:r>
            <w:r>
              <w:rPr>
                <w:rFonts w:hint="eastAsia" w:ascii="Times New Roman" w:hAnsi="Times New Roman" w:cs="Times New Roman"/>
                <w:color w:val="000000"/>
                <w:sz w:val="21"/>
                <w:szCs w:val="21"/>
                <w:highlight w:val="none"/>
                <w:lang w:eastAsia="zh-CN"/>
              </w:rPr>
              <w:t>。</w:t>
            </w:r>
          </w:p>
          <w:p w14:paraId="654E21FE">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②锅炉清洗用水</w:t>
            </w:r>
          </w:p>
          <w:p w14:paraId="50114307">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Chars="200"/>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根据建设单位提供资料，锅炉需每年清洗一次，每次清洗用水量约为10t，即锅炉</w:t>
            </w:r>
          </w:p>
          <w:p w14:paraId="6200E475">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清洗用水量为10m³</w:t>
            </w:r>
            <w:r>
              <w:rPr>
                <w:rFonts w:hint="default" w:ascii="Times New Roman" w:hAnsi="Times New Roman" w:cs="Times New Roman"/>
                <w:color w:val="000000"/>
                <w:sz w:val="21"/>
                <w:szCs w:val="21"/>
                <w:highlight w:val="none"/>
                <w:lang w:val="en-US" w:eastAsia="zh-CN"/>
              </w:rPr>
              <w:t>/a</w:t>
            </w:r>
            <w:r>
              <w:rPr>
                <w:rFonts w:hint="eastAsia" w:ascii="Times New Roman" w:hAnsi="Times New Roman" w:cs="Times New Roman"/>
                <w:color w:val="000000"/>
                <w:sz w:val="21"/>
                <w:szCs w:val="21"/>
                <w:highlight w:val="none"/>
                <w:lang w:val="en-US" w:eastAsia="zh-CN"/>
              </w:rPr>
              <w:t>。锅炉清洗废水产生量按锅炉清洗用水量的80%计，则锅炉清洗废水产生量为8m³</w:t>
            </w:r>
            <w:r>
              <w:rPr>
                <w:rFonts w:hint="default" w:ascii="Times New Roman" w:hAnsi="Times New Roman" w:cs="Times New Roman"/>
                <w:color w:val="000000"/>
                <w:sz w:val="21"/>
                <w:szCs w:val="21"/>
                <w:highlight w:val="none"/>
                <w:lang w:val="en-US" w:eastAsia="zh-CN"/>
              </w:rPr>
              <w:t>/a</w:t>
            </w:r>
            <w:r>
              <w:rPr>
                <w:rFonts w:hint="eastAsia" w:ascii="Times New Roman" w:hAnsi="Times New Roman" w:cs="Times New Roman"/>
                <w:color w:val="000000"/>
                <w:sz w:val="21"/>
                <w:szCs w:val="21"/>
                <w:highlight w:val="none"/>
                <w:lang w:val="en-US" w:eastAsia="zh-CN"/>
              </w:rPr>
              <w:t>。</w:t>
            </w:r>
          </w:p>
          <w:p w14:paraId="7789A1FB">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Chars="200"/>
              <w:textAlignment w:val="auto"/>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4）</w:t>
            </w:r>
            <w:r>
              <w:rPr>
                <w:rFonts w:hint="eastAsia" w:ascii="Times New Roman" w:hAnsi="Times New Roman" w:cs="Times New Roman"/>
                <w:color w:val="000000"/>
                <w:sz w:val="21"/>
                <w:szCs w:val="21"/>
                <w:highlight w:val="none"/>
                <w:lang w:val="en-US" w:eastAsia="zh-CN"/>
              </w:rPr>
              <w:t>软水制备用水</w:t>
            </w:r>
          </w:p>
          <w:p w14:paraId="3759A0CF">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本项目制备的软水用于</w:t>
            </w:r>
            <w:r>
              <w:rPr>
                <w:rFonts w:hint="eastAsia" w:ascii="Times New Roman" w:hAnsi="Times New Roman" w:cs="Times New Roman"/>
                <w:color w:val="000000"/>
                <w:highlight w:val="none"/>
                <w:lang w:val="en-US" w:eastAsia="zh-CN"/>
              </w:rPr>
              <w:t>锅炉运行用水</w:t>
            </w:r>
            <w:r>
              <w:rPr>
                <w:rFonts w:hint="eastAsia" w:ascii="Times New Roman" w:hAnsi="Times New Roman" w:cs="Times New Roman"/>
                <w:color w:val="000000"/>
                <w:sz w:val="21"/>
                <w:szCs w:val="21"/>
                <w:highlight w:val="none"/>
                <w:lang w:val="en-US" w:eastAsia="zh-CN"/>
              </w:rPr>
              <w:t>，锅炉运行用水量合计为4667</w:t>
            </w:r>
            <w:r>
              <w:rPr>
                <w:rFonts w:hint="eastAsia" w:ascii="Times New Roman" w:hAnsi="Times New Roman" w:cs="Times New Roman"/>
                <w:color w:val="000000"/>
                <w:sz w:val="21"/>
                <w:szCs w:val="21"/>
                <w:highlight w:val="none"/>
                <w:lang w:eastAsia="zh-CN"/>
              </w:rPr>
              <w:t>m³</w:t>
            </w:r>
            <w:r>
              <w:rPr>
                <w:rFonts w:hint="default" w:ascii="Times New Roman" w:hAnsi="Times New Roman" w:cs="Times New Roman"/>
                <w:color w:val="000000"/>
                <w:sz w:val="21"/>
                <w:szCs w:val="21"/>
                <w:highlight w:val="none"/>
              </w:rPr>
              <w:t>/a</w:t>
            </w:r>
            <w:r>
              <w:rPr>
                <w:rFonts w:hint="eastAsia" w:ascii="Times New Roman" w:hAnsi="Times New Roman" w:cs="Times New Roman"/>
                <w:color w:val="000000"/>
                <w:sz w:val="21"/>
                <w:szCs w:val="21"/>
                <w:highlight w:val="none"/>
                <w:lang w:val="en-US" w:eastAsia="zh-CN"/>
              </w:rPr>
              <w:t>，离子交换树脂需要每周清洗一次，反冲洗用水为软水，查阅相关资料，反冲洗用水量为树脂床体积的2~5倍，本次取最大用水量为树脂床体积的5倍，根据设备供应商提供技术资料，项目离子交换树脂的体积为0.1m³，经计算，每次反冲洗用水量为0.5m³，合计反冲洗用水量为20m³/a。软水制取率为90%，则软水制备用水量为5207.8</w:t>
            </w:r>
            <w:r>
              <w:rPr>
                <w:rFonts w:hint="eastAsia" w:ascii="Times New Roman" w:hAnsi="Times New Roman" w:cs="Times New Roman"/>
                <w:color w:val="000000"/>
                <w:sz w:val="21"/>
                <w:szCs w:val="21"/>
                <w:highlight w:val="none"/>
                <w:lang w:eastAsia="zh-CN"/>
              </w:rPr>
              <w:t>m³</w:t>
            </w:r>
            <w:r>
              <w:rPr>
                <w:rFonts w:hint="default" w:ascii="Times New Roman" w:hAnsi="Times New Roman" w:cs="Times New Roman"/>
                <w:color w:val="000000"/>
                <w:sz w:val="21"/>
                <w:szCs w:val="21"/>
                <w:highlight w:val="none"/>
              </w:rPr>
              <w:t>/</w:t>
            </w:r>
            <w:r>
              <w:rPr>
                <w:rFonts w:hint="eastAsia" w:ascii="Times New Roman" w:hAnsi="Times New Roman" w:cs="Times New Roman"/>
                <w:color w:val="000000"/>
                <w:sz w:val="21"/>
                <w:szCs w:val="21"/>
                <w:highlight w:val="none"/>
                <w:lang w:val="en-US" w:eastAsia="zh-CN"/>
              </w:rPr>
              <w:t>a，浓水产生量为520.8m³</w:t>
            </w:r>
            <w:r>
              <w:rPr>
                <w:rFonts w:hint="default" w:ascii="Times New Roman" w:hAnsi="Times New Roman" w:cs="Times New Roman"/>
                <w:color w:val="000000"/>
                <w:sz w:val="21"/>
                <w:szCs w:val="21"/>
                <w:highlight w:val="none"/>
                <w:lang w:val="en-US" w:eastAsia="zh-CN"/>
              </w:rPr>
              <w:t>/a</w:t>
            </w:r>
            <w:r>
              <w:rPr>
                <w:rFonts w:hint="eastAsia" w:ascii="Times New Roman" w:hAnsi="Times New Roman" w:cs="Times New Roman"/>
                <w:color w:val="000000"/>
                <w:sz w:val="21"/>
                <w:szCs w:val="21"/>
                <w:highlight w:val="none"/>
                <w:lang w:val="en-US" w:eastAsia="zh-CN"/>
              </w:rPr>
              <w:t>。反冲洗废水产生量按使用水量的90%计，则反冲洗废水产生量为18m³/a。则软水制备废水产生量为538.8m³/a。</w:t>
            </w:r>
          </w:p>
          <w:p w14:paraId="48FE9143">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Chars="200"/>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5</w:t>
            </w:r>
            <w:r>
              <w:rPr>
                <w:rFonts w:hint="eastAsia" w:ascii="Times New Roman" w:hAnsi="Times New Roman" w:cs="Times New Roman"/>
                <w:color w:val="000000"/>
                <w:sz w:val="21"/>
                <w:szCs w:val="21"/>
                <w:highlight w:val="none"/>
                <w:lang w:val="en-US" w:eastAsia="zh-CN"/>
              </w:rPr>
              <w:t>）纯水制备用水</w:t>
            </w:r>
          </w:p>
          <w:p w14:paraId="17B8E69B">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本项目成品勾兑用水及洗瓶水均采用单级反渗透系统</w:t>
            </w:r>
            <w:r>
              <w:rPr>
                <w:rFonts w:hint="eastAsia" w:ascii="Times New Roman" w:hAnsi="Times New Roman" w:cs="Times New Roman"/>
                <w:color w:val="000000"/>
                <w:sz w:val="21"/>
                <w:szCs w:val="21"/>
                <w:highlight w:val="none"/>
                <w:lang w:val="en-US" w:eastAsia="zh-CN"/>
              </w:rPr>
              <w:t>制备的纯水</w:t>
            </w:r>
            <w:r>
              <w:rPr>
                <w:rFonts w:hint="default" w:ascii="Times New Roman" w:hAnsi="Times New Roman" w:cs="Times New Roman"/>
                <w:color w:val="000000"/>
                <w:sz w:val="21"/>
                <w:szCs w:val="21"/>
                <w:highlight w:val="none"/>
                <w:lang w:val="en-US" w:eastAsia="zh-CN"/>
              </w:rPr>
              <w:t>。</w:t>
            </w:r>
            <w:r>
              <w:rPr>
                <w:rFonts w:hint="eastAsia" w:ascii="Times New Roman" w:hAnsi="Times New Roman" w:cs="Times New Roman"/>
                <w:color w:val="000000"/>
                <w:sz w:val="21"/>
                <w:szCs w:val="21"/>
                <w:highlight w:val="none"/>
                <w:lang w:val="en-US" w:eastAsia="zh-CN"/>
              </w:rPr>
              <w:t>勾兑用水、洗瓶用水和实验用水量合计为816.26m³</w:t>
            </w:r>
            <w:r>
              <w:rPr>
                <w:rFonts w:hint="default" w:ascii="Times New Roman" w:hAnsi="Times New Roman" w:cs="Times New Roman"/>
                <w:color w:val="000000"/>
                <w:sz w:val="21"/>
                <w:szCs w:val="21"/>
                <w:highlight w:val="none"/>
                <w:lang w:val="en-US" w:eastAsia="zh-CN"/>
              </w:rPr>
              <w:t>/a</w:t>
            </w:r>
            <w:r>
              <w:rPr>
                <w:rFonts w:hint="eastAsia" w:ascii="Times New Roman" w:hAnsi="Times New Roman" w:cs="Times New Roman"/>
                <w:color w:val="000000"/>
                <w:sz w:val="21"/>
                <w:szCs w:val="21"/>
                <w:highlight w:val="none"/>
                <w:lang w:val="en-US" w:eastAsia="zh-CN"/>
              </w:rPr>
              <w:t>，</w:t>
            </w:r>
            <w:r>
              <w:rPr>
                <w:rFonts w:hint="default" w:ascii="Times New Roman" w:hAnsi="Times New Roman" w:cs="Times New Roman"/>
                <w:color w:val="000000"/>
                <w:sz w:val="21"/>
                <w:szCs w:val="21"/>
                <w:highlight w:val="none"/>
                <w:lang w:val="en-US" w:eastAsia="zh-CN"/>
              </w:rPr>
              <w:t>同时纯水制备设施每两个月进行一次反冲洗，每次用水量为3</w:t>
            </w:r>
            <w:r>
              <w:rPr>
                <w:rFonts w:hint="eastAsia" w:ascii="Times New Roman" w:hAnsi="Times New Roman" w:cs="Times New Roman"/>
                <w:color w:val="000000"/>
                <w:sz w:val="21"/>
                <w:szCs w:val="21"/>
                <w:highlight w:val="none"/>
                <w:lang w:val="en-US" w:eastAsia="zh-CN"/>
              </w:rPr>
              <w:t>m³</w:t>
            </w:r>
            <w:r>
              <w:rPr>
                <w:rFonts w:hint="default" w:ascii="Times New Roman" w:hAnsi="Times New Roman" w:cs="Times New Roman"/>
                <w:color w:val="000000"/>
                <w:sz w:val="21"/>
                <w:szCs w:val="21"/>
                <w:highlight w:val="none"/>
                <w:lang w:val="en-US" w:eastAsia="zh-CN"/>
              </w:rPr>
              <w:t>，</w:t>
            </w:r>
            <w:r>
              <w:rPr>
                <w:rFonts w:hint="eastAsia" w:ascii="Times New Roman" w:hAnsi="Times New Roman" w:cs="Times New Roman"/>
                <w:color w:val="000000"/>
                <w:sz w:val="21"/>
                <w:szCs w:val="21"/>
                <w:highlight w:val="none"/>
                <w:lang w:val="en-US" w:eastAsia="zh-CN"/>
              </w:rPr>
              <w:t>即</w:t>
            </w:r>
            <w:r>
              <w:rPr>
                <w:rFonts w:hint="default" w:ascii="Times New Roman" w:hAnsi="Times New Roman" w:cs="Times New Roman"/>
                <w:color w:val="000000"/>
                <w:sz w:val="21"/>
                <w:szCs w:val="21"/>
                <w:highlight w:val="none"/>
                <w:lang w:val="en-US" w:eastAsia="zh-CN"/>
              </w:rPr>
              <w:t>反冲洗</w:t>
            </w:r>
            <w:r>
              <w:rPr>
                <w:rFonts w:hint="eastAsia" w:ascii="Times New Roman" w:hAnsi="Times New Roman" w:cs="Times New Roman"/>
                <w:color w:val="000000"/>
                <w:sz w:val="21"/>
                <w:szCs w:val="21"/>
                <w:highlight w:val="none"/>
                <w:lang w:val="en-US" w:eastAsia="zh-CN"/>
              </w:rPr>
              <w:t>用水量为15m³</w:t>
            </w:r>
            <w:r>
              <w:rPr>
                <w:rFonts w:hint="default" w:ascii="Times New Roman" w:hAnsi="Times New Roman" w:cs="Times New Roman"/>
                <w:color w:val="000000"/>
                <w:sz w:val="21"/>
                <w:szCs w:val="21"/>
                <w:highlight w:val="none"/>
                <w:lang w:val="en-US" w:eastAsia="zh-CN"/>
              </w:rPr>
              <w:t>/a</w:t>
            </w:r>
            <w:r>
              <w:rPr>
                <w:rFonts w:hint="eastAsia" w:ascii="Times New Roman" w:hAnsi="Times New Roman" w:cs="Times New Roman"/>
                <w:color w:val="000000"/>
                <w:sz w:val="21"/>
                <w:szCs w:val="21"/>
                <w:highlight w:val="none"/>
                <w:lang w:val="en-US" w:eastAsia="zh-CN"/>
              </w:rPr>
              <w:t>，纯水用量为831.26m³</w:t>
            </w:r>
            <w:r>
              <w:rPr>
                <w:rFonts w:hint="default" w:ascii="Times New Roman" w:hAnsi="Times New Roman" w:cs="Times New Roman"/>
                <w:color w:val="000000"/>
                <w:sz w:val="21"/>
                <w:szCs w:val="21"/>
                <w:highlight w:val="none"/>
                <w:lang w:val="en-US" w:eastAsia="zh-CN"/>
              </w:rPr>
              <w:t>/a</w:t>
            </w:r>
            <w:r>
              <w:rPr>
                <w:rFonts w:hint="eastAsia" w:cs="Times New Roman"/>
                <w:color w:val="000000"/>
                <w:sz w:val="21"/>
                <w:szCs w:val="21"/>
                <w:highlight w:val="none"/>
                <w:lang w:val="en-US" w:eastAsia="zh-CN"/>
              </w:rPr>
              <w:t>，</w:t>
            </w:r>
            <w:r>
              <w:rPr>
                <w:rFonts w:hint="default" w:ascii="Times New Roman" w:hAnsi="Times New Roman" w:cs="Times New Roman"/>
                <w:color w:val="000000"/>
                <w:sz w:val="21"/>
                <w:szCs w:val="21"/>
                <w:highlight w:val="none"/>
                <w:lang w:val="en-US" w:eastAsia="zh-CN"/>
              </w:rPr>
              <w:t>纯水系统纯水</w:t>
            </w:r>
            <w:r>
              <w:rPr>
                <w:rFonts w:hint="eastAsia" w:ascii="Times New Roman" w:hAnsi="Times New Roman" w:cs="Times New Roman"/>
                <w:color w:val="000000"/>
                <w:sz w:val="21"/>
                <w:szCs w:val="21"/>
                <w:highlight w:val="none"/>
                <w:lang w:val="en-US" w:eastAsia="zh-CN"/>
              </w:rPr>
              <w:t>制备率</w:t>
            </w:r>
            <w:r>
              <w:rPr>
                <w:rFonts w:hint="default" w:ascii="Times New Roman" w:hAnsi="Times New Roman" w:cs="Times New Roman"/>
                <w:color w:val="000000"/>
                <w:sz w:val="21"/>
                <w:szCs w:val="21"/>
                <w:highlight w:val="none"/>
                <w:lang w:val="en-US" w:eastAsia="zh-CN"/>
              </w:rPr>
              <w:t>大于70%，</w:t>
            </w:r>
            <w:r>
              <w:rPr>
                <w:rFonts w:hint="eastAsia" w:ascii="Times New Roman" w:hAnsi="Times New Roman" w:cs="Times New Roman"/>
                <w:color w:val="000000"/>
                <w:sz w:val="21"/>
                <w:szCs w:val="21"/>
                <w:highlight w:val="none"/>
                <w:lang w:val="en-US" w:eastAsia="zh-CN"/>
              </w:rPr>
              <w:t>按70%计，则纯水制备用水量为1187.51m³</w:t>
            </w:r>
            <w:r>
              <w:rPr>
                <w:rFonts w:hint="default" w:ascii="Times New Roman" w:hAnsi="Times New Roman" w:cs="Times New Roman"/>
                <w:color w:val="000000"/>
                <w:sz w:val="21"/>
                <w:szCs w:val="21"/>
                <w:highlight w:val="none"/>
                <w:lang w:val="en-US" w:eastAsia="zh-CN"/>
              </w:rPr>
              <w:t>/a</w:t>
            </w:r>
            <w:r>
              <w:rPr>
                <w:rFonts w:hint="eastAsia" w:cs="Times New Roman"/>
                <w:color w:val="000000"/>
                <w:sz w:val="21"/>
                <w:szCs w:val="21"/>
                <w:highlight w:val="none"/>
                <w:lang w:val="en-US" w:eastAsia="zh-CN"/>
              </w:rPr>
              <w:t>，</w:t>
            </w:r>
            <w:r>
              <w:rPr>
                <w:rFonts w:hint="eastAsia" w:ascii="Times New Roman" w:hAnsi="Times New Roman" w:cs="Times New Roman"/>
                <w:color w:val="000000"/>
                <w:sz w:val="21"/>
                <w:szCs w:val="21"/>
                <w:highlight w:val="none"/>
                <w:lang w:val="en-US" w:eastAsia="zh-CN"/>
              </w:rPr>
              <w:t>纯水制备浓水产生量为356.25m³</w:t>
            </w:r>
            <w:r>
              <w:rPr>
                <w:rFonts w:hint="default" w:ascii="Times New Roman" w:hAnsi="Times New Roman" w:cs="Times New Roman"/>
                <w:color w:val="000000"/>
                <w:sz w:val="21"/>
                <w:szCs w:val="21"/>
                <w:highlight w:val="none"/>
                <w:lang w:val="en-US" w:eastAsia="zh-CN"/>
              </w:rPr>
              <w:t>/a</w:t>
            </w:r>
            <w:r>
              <w:rPr>
                <w:rFonts w:hint="eastAsia" w:ascii="Times New Roman" w:hAnsi="Times New Roman" w:cs="Times New Roman"/>
                <w:color w:val="000000"/>
                <w:sz w:val="21"/>
                <w:szCs w:val="21"/>
                <w:highlight w:val="none"/>
                <w:lang w:val="en-US" w:eastAsia="zh-CN"/>
              </w:rPr>
              <w:t>，反冲洗废水产生率按90计，则反冲洗废水的产生量为13.5m³</w:t>
            </w:r>
            <w:r>
              <w:rPr>
                <w:rFonts w:hint="default" w:ascii="Times New Roman" w:hAnsi="Times New Roman" w:cs="Times New Roman"/>
                <w:color w:val="000000"/>
                <w:sz w:val="21"/>
                <w:szCs w:val="21"/>
                <w:highlight w:val="none"/>
                <w:lang w:val="en-US" w:eastAsia="zh-CN"/>
              </w:rPr>
              <w:t>/a</w:t>
            </w:r>
            <w:r>
              <w:rPr>
                <w:rFonts w:hint="eastAsia" w:cs="Times New Roman"/>
                <w:color w:val="000000"/>
                <w:sz w:val="21"/>
                <w:szCs w:val="21"/>
                <w:highlight w:val="none"/>
                <w:lang w:val="en-US" w:eastAsia="zh-CN"/>
              </w:rPr>
              <w:t>，</w:t>
            </w:r>
            <w:r>
              <w:rPr>
                <w:rFonts w:hint="eastAsia" w:ascii="Times New Roman" w:hAnsi="Times New Roman" w:cs="Times New Roman"/>
                <w:color w:val="000000"/>
                <w:sz w:val="21"/>
                <w:szCs w:val="21"/>
                <w:highlight w:val="none"/>
                <w:lang w:val="en-US" w:eastAsia="zh-CN"/>
              </w:rPr>
              <w:t>则纯水制备废水产生量为369.75m³/a。</w:t>
            </w:r>
          </w:p>
          <w:p w14:paraId="259F59C9">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Chars="200"/>
              <w:textAlignment w:val="auto"/>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6</w:t>
            </w:r>
            <w:r>
              <w:rPr>
                <w:rFonts w:hint="eastAsia" w:ascii="Times New Roman" w:hAnsi="Times New Roman" w:cs="Times New Roman"/>
                <w:color w:val="000000"/>
                <w:sz w:val="21"/>
                <w:szCs w:val="21"/>
                <w:highlight w:val="none"/>
                <w:lang w:val="en-US" w:eastAsia="zh-CN"/>
              </w:rPr>
              <w:t>）白酒勾兑用水</w:t>
            </w:r>
          </w:p>
          <w:p w14:paraId="4D5BC779">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本项目生产的原酒需要勾兑后才能灌装，白酒勾兑用水为纯水，每100L65度酒勾兑为45度用纯水量约为44.4L，每100L65℃酒勾兑为55度用纯水量约为18.2L，经计算，</w:t>
            </w:r>
            <w:r>
              <w:rPr>
                <w:rFonts w:hint="default" w:ascii="Times New Roman" w:hAnsi="Times New Roman" w:cs="Times New Roman"/>
                <w:color w:val="000000"/>
                <w:sz w:val="21"/>
                <w:szCs w:val="21"/>
                <w:highlight w:val="none"/>
                <w:lang w:val="en-US" w:eastAsia="zh-CN"/>
              </w:rPr>
              <w:t>勾兑用水量为</w:t>
            </w:r>
            <w:r>
              <w:rPr>
                <w:rFonts w:hint="eastAsia" w:ascii="Times New Roman" w:hAnsi="Times New Roman" w:eastAsia="宋体" w:cs="Times New Roman"/>
                <w:color w:val="000000"/>
                <w:sz w:val="21"/>
                <w:szCs w:val="21"/>
                <w:highlight w:val="none"/>
                <w:lang w:val="en-US" w:eastAsia="zh-CN"/>
              </w:rPr>
              <w:t>179.66</w:t>
            </w:r>
            <w:r>
              <w:rPr>
                <w:rFonts w:hint="eastAsia" w:ascii="Times New Roman" w:hAnsi="Times New Roman" w:cs="Times New Roman"/>
                <w:color w:val="000000"/>
                <w:sz w:val="21"/>
                <w:szCs w:val="21"/>
                <w:highlight w:val="none"/>
                <w:lang w:val="en-US" w:eastAsia="zh-CN"/>
              </w:rPr>
              <w:t>m³</w:t>
            </w:r>
            <w:r>
              <w:rPr>
                <w:rFonts w:hint="default" w:ascii="Times New Roman" w:hAnsi="Times New Roman" w:cs="Times New Roman"/>
                <w:color w:val="000000"/>
                <w:sz w:val="21"/>
                <w:szCs w:val="21"/>
                <w:highlight w:val="none"/>
                <w:lang w:val="en-US" w:eastAsia="zh-CN"/>
              </w:rPr>
              <w:t>/a。</w:t>
            </w:r>
          </w:p>
          <w:p w14:paraId="6023E2DF">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Chars="200"/>
              <w:textAlignment w:val="auto"/>
              <w:rPr>
                <w:rFonts w:hint="eastAsia"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7</w:t>
            </w:r>
            <w:r>
              <w:rPr>
                <w:rFonts w:hint="eastAsia" w:ascii="Times New Roman" w:hAnsi="Times New Roman" w:cs="Times New Roman"/>
                <w:color w:val="000000"/>
                <w:sz w:val="21"/>
                <w:szCs w:val="21"/>
                <w:highlight w:val="none"/>
                <w:lang w:val="en-US" w:eastAsia="zh-CN"/>
              </w:rPr>
              <w:t>）洗瓶用水</w:t>
            </w:r>
          </w:p>
          <w:p w14:paraId="32D88FFF">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本项目包装所用白酒瓶均为外购新瓶，洗瓶用设备为回转式清洗冲控机，该设备采用高压循环水定位及跟踪冲洗，并配有循环水箱、加压泵和过滤设施，循环水可反复利用，类比同类项目，洗瓶用水量为2.12</w:t>
            </w:r>
            <w:r>
              <w:rPr>
                <w:rFonts w:hint="eastAsia" w:ascii="Times New Roman" w:hAnsi="Times New Roman" w:cs="Times New Roman"/>
                <w:color w:val="000000"/>
                <w:sz w:val="21"/>
                <w:szCs w:val="21"/>
                <w:highlight w:val="none"/>
                <w:lang w:val="en-US" w:eastAsia="zh-CN"/>
              </w:rPr>
              <w:t>m³/d，</w:t>
            </w:r>
            <w:r>
              <w:rPr>
                <w:rFonts w:hint="eastAsia" w:ascii="Times New Roman" w:hAnsi="Times New Roman" w:eastAsia="宋体" w:cs="Times New Roman"/>
                <w:color w:val="000000"/>
                <w:sz w:val="21"/>
                <w:szCs w:val="21"/>
                <w:highlight w:val="none"/>
                <w:lang w:val="en-US" w:eastAsia="zh-CN"/>
              </w:rPr>
              <w:t>636</w:t>
            </w:r>
            <w:r>
              <w:rPr>
                <w:rFonts w:hint="eastAsia" w:ascii="Times New Roman" w:hAnsi="Times New Roman" w:cs="Times New Roman"/>
                <w:color w:val="000000"/>
                <w:sz w:val="21"/>
                <w:szCs w:val="21"/>
                <w:highlight w:val="none"/>
                <w:lang w:val="en-US" w:eastAsia="zh-CN"/>
              </w:rPr>
              <w:t>m³/a，洗瓶废水产生率按80%计，则1.7m³/d，508.8m³/a。</w:t>
            </w:r>
          </w:p>
          <w:p w14:paraId="32CB12D2">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Chars="200"/>
              <w:textAlignment w:val="auto"/>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8</w:t>
            </w:r>
            <w:r>
              <w:rPr>
                <w:rFonts w:hint="eastAsia" w:ascii="Times New Roman" w:hAnsi="Times New Roman" w:cs="Times New Roman"/>
                <w:color w:val="000000"/>
                <w:sz w:val="21"/>
                <w:szCs w:val="21"/>
                <w:highlight w:val="none"/>
                <w:lang w:val="en-US" w:eastAsia="zh-CN"/>
              </w:rPr>
              <w:t>）实验室用水</w:t>
            </w:r>
          </w:p>
          <w:p w14:paraId="6735CFBC">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根据建设单位提供</w:t>
            </w:r>
            <w:r>
              <w:rPr>
                <w:rFonts w:hint="eastAsia" w:cs="Times New Roman"/>
                <w:color w:val="000000"/>
                <w:sz w:val="21"/>
                <w:szCs w:val="21"/>
                <w:highlight w:val="none"/>
                <w:lang w:val="en-US" w:eastAsia="zh-CN"/>
              </w:rPr>
              <w:t>的</w:t>
            </w:r>
            <w:r>
              <w:rPr>
                <w:rFonts w:hint="eastAsia" w:ascii="Times New Roman" w:hAnsi="Times New Roman" w:cs="Times New Roman"/>
                <w:color w:val="000000"/>
                <w:sz w:val="21"/>
                <w:szCs w:val="21"/>
                <w:highlight w:val="none"/>
                <w:lang w:val="en-US" w:eastAsia="zh-CN"/>
              </w:rPr>
              <w:t>资料，实验室用水为纯水，用水量为2L/d，0.6m³</w:t>
            </w:r>
            <w:r>
              <w:rPr>
                <w:rFonts w:hint="default" w:ascii="Times New Roman" w:hAnsi="Times New Roman" w:cs="Times New Roman"/>
                <w:color w:val="000000"/>
                <w:sz w:val="21"/>
                <w:szCs w:val="21"/>
                <w:highlight w:val="none"/>
                <w:lang w:val="en-US" w:eastAsia="zh-CN"/>
              </w:rPr>
              <w:t>/a</w:t>
            </w:r>
            <w:r>
              <w:rPr>
                <w:rFonts w:hint="eastAsia" w:ascii="Times New Roman" w:hAnsi="Times New Roman" w:cs="Times New Roman"/>
                <w:color w:val="000000"/>
                <w:sz w:val="21"/>
                <w:szCs w:val="21"/>
                <w:highlight w:val="none"/>
                <w:lang w:val="en-US" w:eastAsia="zh-CN"/>
              </w:rPr>
              <w:t>。废水产生量按用水量的80%计，实验室废水产生量为0.48m³</w:t>
            </w:r>
            <w:r>
              <w:rPr>
                <w:rFonts w:hint="default" w:ascii="Times New Roman" w:hAnsi="Times New Roman" w:cs="Times New Roman"/>
                <w:color w:val="000000"/>
                <w:sz w:val="21"/>
                <w:szCs w:val="21"/>
                <w:highlight w:val="none"/>
                <w:lang w:val="en-US" w:eastAsia="zh-CN"/>
              </w:rPr>
              <w:t>/a</w:t>
            </w:r>
            <w:r>
              <w:rPr>
                <w:rFonts w:hint="eastAsia" w:ascii="Times New Roman" w:hAnsi="Times New Roman" w:cs="Times New Roman"/>
                <w:color w:val="000000"/>
                <w:sz w:val="21"/>
                <w:szCs w:val="21"/>
                <w:highlight w:val="none"/>
                <w:lang w:val="en-US" w:eastAsia="zh-CN"/>
              </w:rPr>
              <w:t>。</w:t>
            </w:r>
          </w:p>
          <w:p w14:paraId="72FE8D6C">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Chars="200"/>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9</w:t>
            </w:r>
            <w:r>
              <w:rPr>
                <w:rFonts w:hint="eastAsia" w:ascii="Times New Roman" w:hAnsi="Times New Roman" w:cs="Times New Roman"/>
                <w:color w:val="000000"/>
                <w:sz w:val="21"/>
                <w:szCs w:val="21"/>
                <w:highlight w:val="none"/>
                <w:lang w:val="en-US" w:eastAsia="zh-CN"/>
              </w:rPr>
              <w:t>）设备清洗用水</w:t>
            </w:r>
          </w:p>
          <w:p w14:paraId="6E0C3CD2">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Times New Roman" w:hAnsi="Times New Roman" w:cs="Times New Roman"/>
                <w:color w:val="000000"/>
                <w:sz w:val="21"/>
                <w:szCs w:val="21"/>
                <w:highlight w:val="none"/>
                <w:lang w:val="en-US"/>
              </w:rPr>
            </w:pPr>
            <w:r>
              <w:rPr>
                <w:rFonts w:hint="default" w:ascii="Times New Roman" w:hAnsi="Times New Roman" w:cs="Times New Roman"/>
                <w:color w:val="000000"/>
                <w:sz w:val="21"/>
                <w:szCs w:val="21"/>
                <w:highlight w:val="none"/>
                <w:lang w:val="en-US" w:eastAsia="zh-CN"/>
              </w:rPr>
              <w:t>蒸酒甑每3天清洗一次，一次用水量为</w:t>
            </w:r>
            <w:r>
              <w:rPr>
                <w:rFonts w:hint="eastAsia" w:ascii="Times New Roman" w:hAnsi="Times New Roman" w:cs="Times New Roman"/>
                <w:color w:val="000000"/>
                <w:sz w:val="21"/>
                <w:szCs w:val="21"/>
                <w:highlight w:val="none"/>
                <w:lang w:val="en-US" w:eastAsia="zh-CN"/>
              </w:rPr>
              <w:t>20</w:t>
            </w:r>
            <w:r>
              <w:rPr>
                <w:rFonts w:hint="default" w:ascii="Times New Roman" w:hAnsi="Times New Roman" w:cs="Times New Roman"/>
                <w:color w:val="000000"/>
                <w:sz w:val="21"/>
                <w:szCs w:val="21"/>
                <w:highlight w:val="none"/>
                <w:lang w:val="en-US" w:eastAsia="zh-CN"/>
              </w:rPr>
              <w:t>L</w:t>
            </w:r>
            <w:r>
              <w:rPr>
                <w:rFonts w:hint="eastAsia" w:ascii="Times New Roman" w:hAnsi="Times New Roman" w:cs="Times New Roman"/>
                <w:color w:val="000000"/>
                <w:sz w:val="21"/>
                <w:szCs w:val="21"/>
                <w:highlight w:val="none"/>
                <w:lang w:val="en-US" w:eastAsia="zh-CN"/>
              </w:rPr>
              <w:t>（单个</w:t>
            </w:r>
            <w:r>
              <w:rPr>
                <w:rFonts w:hint="default" w:ascii="Times New Roman" w:hAnsi="Times New Roman" w:cs="Times New Roman"/>
                <w:color w:val="000000"/>
                <w:sz w:val="21"/>
                <w:szCs w:val="21"/>
                <w:highlight w:val="none"/>
                <w:lang w:val="en-US" w:eastAsia="zh-CN"/>
              </w:rPr>
              <w:t>蒸酒甑</w:t>
            </w:r>
            <w:r>
              <w:rPr>
                <w:rFonts w:hint="eastAsia" w:ascii="Times New Roman" w:hAnsi="Times New Roman" w:cs="Times New Roman"/>
                <w:color w:val="000000"/>
                <w:sz w:val="21"/>
                <w:szCs w:val="21"/>
                <w:highlight w:val="none"/>
                <w:lang w:val="en-US" w:eastAsia="zh-CN"/>
              </w:rPr>
              <w:t>每次清洗用水量为5L）</w:t>
            </w:r>
            <w:r>
              <w:rPr>
                <w:rFonts w:hint="default" w:ascii="Times New Roman" w:hAnsi="Times New Roman" w:cs="Times New Roman"/>
                <w:color w:val="000000"/>
                <w:sz w:val="21"/>
                <w:szCs w:val="21"/>
                <w:highlight w:val="none"/>
                <w:lang w:val="en-US" w:eastAsia="zh-CN"/>
              </w:rPr>
              <w:t>，蒸酒甑</w:t>
            </w:r>
            <w:r>
              <w:rPr>
                <w:rFonts w:hint="eastAsia" w:ascii="Times New Roman" w:hAnsi="Times New Roman" w:cs="Times New Roman"/>
                <w:color w:val="000000"/>
                <w:sz w:val="21"/>
                <w:szCs w:val="21"/>
                <w:highlight w:val="none"/>
                <w:lang w:val="en-US" w:eastAsia="zh-CN"/>
              </w:rPr>
              <w:t>清洗用水量为2m³</w:t>
            </w:r>
            <w:r>
              <w:rPr>
                <w:rFonts w:hint="default" w:ascii="Times New Roman" w:hAnsi="Times New Roman" w:cs="Times New Roman"/>
                <w:color w:val="000000"/>
                <w:sz w:val="21"/>
                <w:szCs w:val="21"/>
                <w:highlight w:val="none"/>
                <w:lang w:val="en-US" w:eastAsia="zh-CN"/>
              </w:rPr>
              <w:t>/a。管道和泵酒设备清洗水，用水量为</w:t>
            </w:r>
            <w:r>
              <w:rPr>
                <w:rFonts w:hint="eastAsia" w:ascii="Times New Roman" w:hAnsi="Times New Roman" w:cs="Times New Roman"/>
                <w:color w:val="000000"/>
                <w:sz w:val="21"/>
                <w:szCs w:val="21"/>
                <w:highlight w:val="none"/>
                <w:lang w:val="en-US" w:eastAsia="zh-CN"/>
              </w:rPr>
              <w:t>0.1m³</w:t>
            </w:r>
            <w:r>
              <w:rPr>
                <w:rFonts w:hint="default" w:ascii="Times New Roman" w:hAnsi="Times New Roman" w:cs="Times New Roman"/>
                <w:color w:val="000000"/>
                <w:sz w:val="21"/>
                <w:szCs w:val="21"/>
                <w:highlight w:val="none"/>
                <w:lang w:val="en-US" w:eastAsia="zh-CN"/>
              </w:rPr>
              <w:t>/次，每个月清洗一次，</w:t>
            </w:r>
            <w:r>
              <w:rPr>
                <w:rFonts w:hint="eastAsia" w:ascii="Times New Roman" w:hAnsi="Times New Roman" w:cs="Times New Roman"/>
                <w:color w:val="000000"/>
                <w:sz w:val="21"/>
                <w:szCs w:val="21"/>
                <w:highlight w:val="none"/>
                <w:lang w:val="en-US" w:eastAsia="zh-CN"/>
              </w:rPr>
              <w:t>则</w:t>
            </w:r>
            <w:r>
              <w:rPr>
                <w:rFonts w:hint="default" w:ascii="Times New Roman" w:hAnsi="Times New Roman" w:cs="Times New Roman"/>
                <w:color w:val="000000"/>
                <w:sz w:val="21"/>
                <w:szCs w:val="21"/>
                <w:highlight w:val="none"/>
                <w:lang w:val="en-US" w:eastAsia="zh-CN"/>
              </w:rPr>
              <w:t>管道和泵酒设备清洗</w:t>
            </w:r>
            <w:r>
              <w:rPr>
                <w:rFonts w:hint="eastAsia" w:ascii="Times New Roman" w:hAnsi="Times New Roman" w:cs="Times New Roman"/>
                <w:color w:val="000000"/>
                <w:sz w:val="21"/>
                <w:szCs w:val="21"/>
                <w:highlight w:val="none"/>
                <w:lang w:val="en-US" w:eastAsia="zh-CN"/>
              </w:rPr>
              <w:t>用水量为1m³</w:t>
            </w:r>
            <w:r>
              <w:rPr>
                <w:rFonts w:hint="default" w:ascii="Times New Roman" w:hAnsi="Times New Roman" w:cs="Times New Roman"/>
                <w:color w:val="000000"/>
                <w:sz w:val="21"/>
                <w:szCs w:val="21"/>
                <w:highlight w:val="none"/>
                <w:lang w:val="en-US" w:eastAsia="zh-CN"/>
              </w:rPr>
              <w:t>/a。</w:t>
            </w:r>
            <w:r>
              <w:rPr>
                <w:rFonts w:hint="eastAsia" w:ascii="Times New Roman" w:hAnsi="Times New Roman" w:cs="Times New Roman"/>
                <w:color w:val="000000"/>
                <w:sz w:val="21"/>
                <w:szCs w:val="21"/>
                <w:highlight w:val="none"/>
                <w:lang w:val="en-US" w:eastAsia="zh-CN"/>
              </w:rPr>
              <w:t>设备清洗用水合计用量为3m³</w:t>
            </w:r>
            <w:r>
              <w:rPr>
                <w:rFonts w:hint="default" w:ascii="Times New Roman" w:hAnsi="Times New Roman" w:cs="Times New Roman"/>
                <w:color w:val="000000"/>
                <w:sz w:val="21"/>
                <w:szCs w:val="21"/>
                <w:highlight w:val="none"/>
                <w:lang w:val="en-US" w:eastAsia="zh-CN"/>
              </w:rPr>
              <w:t>/a。</w:t>
            </w:r>
            <w:r>
              <w:rPr>
                <w:rFonts w:hint="eastAsia" w:ascii="Times New Roman" w:hAnsi="Times New Roman" w:cs="Times New Roman"/>
                <w:color w:val="000000"/>
                <w:sz w:val="21"/>
                <w:szCs w:val="21"/>
                <w:highlight w:val="none"/>
                <w:lang w:val="en-US" w:eastAsia="zh-CN"/>
              </w:rPr>
              <w:t>设备清洗废水产生率按80%计，则设备清洗废水产生量为2.4m³</w:t>
            </w:r>
            <w:r>
              <w:rPr>
                <w:rFonts w:hint="default" w:ascii="Times New Roman" w:hAnsi="Times New Roman" w:cs="Times New Roman"/>
                <w:color w:val="000000"/>
                <w:sz w:val="21"/>
                <w:szCs w:val="21"/>
                <w:highlight w:val="none"/>
                <w:lang w:val="en-US" w:eastAsia="zh-CN"/>
              </w:rPr>
              <w:t>/a。</w:t>
            </w:r>
          </w:p>
          <w:p w14:paraId="32F736A6">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Chars="200"/>
              <w:textAlignment w:val="auto"/>
              <w:rPr>
                <w:rFonts w:hint="eastAsia"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10</w:t>
            </w:r>
            <w:r>
              <w:rPr>
                <w:rFonts w:hint="eastAsia" w:ascii="Times New Roman" w:hAnsi="Times New Roman" w:cs="Times New Roman"/>
                <w:color w:val="000000"/>
                <w:sz w:val="21"/>
                <w:szCs w:val="21"/>
                <w:highlight w:val="none"/>
                <w:lang w:val="en-US" w:eastAsia="zh-CN"/>
              </w:rPr>
              <w:t>）地面冲洗用水</w:t>
            </w:r>
          </w:p>
          <w:p w14:paraId="5710EE7D">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本项目酿酒车间地面需每日进行冲洗，地面冲洗水按1L/</w:t>
            </w:r>
            <w:r>
              <w:rPr>
                <w:rFonts w:hint="eastAsia" w:ascii="Times New Roman" w:hAnsi="Times New Roman" w:eastAsia="宋体"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计，酿酒车间的需要冲洗的面积为</w:t>
            </w:r>
            <w:r>
              <w:rPr>
                <w:rFonts w:hint="eastAsia" w:ascii="Times New Roman" w:hAnsi="Times New Roman" w:eastAsia="宋体" w:cs="Times New Roman"/>
                <w:color w:val="000000"/>
                <w:sz w:val="21"/>
                <w:szCs w:val="21"/>
                <w:highlight w:val="none"/>
                <w:lang w:val="en-US" w:eastAsia="zh-CN"/>
              </w:rPr>
              <w:t>1500㎡</w:t>
            </w:r>
            <w:r>
              <w:rPr>
                <w:rFonts w:hint="default" w:ascii="Times New Roman" w:hAnsi="Times New Roman" w:eastAsia="宋体" w:cs="Times New Roman"/>
                <w:color w:val="000000"/>
                <w:sz w:val="21"/>
                <w:szCs w:val="21"/>
                <w:highlight w:val="none"/>
                <w:lang w:val="en-US" w:eastAsia="zh-CN"/>
              </w:rPr>
              <w:t>，则</w:t>
            </w:r>
            <w:r>
              <w:rPr>
                <w:rFonts w:hint="eastAsia" w:ascii="Times New Roman" w:hAnsi="Times New Roman" w:eastAsia="宋体" w:cs="Times New Roman"/>
                <w:color w:val="000000"/>
                <w:sz w:val="21"/>
                <w:szCs w:val="21"/>
                <w:highlight w:val="none"/>
                <w:lang w:val="en-US" w:eastAsia="zh-CN"/>
              </w:rPr>
              <w:t>车间地面</w:t>
            </w:r>
            <w:r>
              <w:rPr>
                <w:rFonts w:hint="default" w:ascii="Times New Roman" w:hAnsi="Times New Roman" w:eastAsia="宋体" w:cs="Times New Roman"/>
                <w:color w:val="000000"/>
                <w:sz w:val="21"/>
                <w:szCs w:val="21"/>
                <w:highlight w:val="none"/>
                <w:lang w:val="en-US" w:eastAsia="zh-CN"/>
              </w:rPr>
              <w:t>冲洗用水量为</w:t>
            </w:r>
            <w:r>
              <w:rPr>
                <w:rFonts w:hint="eastAsia" w:ascii="Times New Roman" w:hAnsi="Times New Roman" w:eastAsia="宋体" w:cs="Times New Roman"/>
                <w:color w:val="000000"/>
                <w:sz w:val="21"/>
                <w:szCs w:val="21"/>
                <w:highlight w:val="none"/>
                <w:lang w:val="en-US" w:eastAsia="zh-CN"/>
              </w:rPr>
              <w:t>1.5m³</w:t>
            </w:r>
            <w:r>
              <w:rPr>
                <w:rFonts w:hint="default" w:ascii="Times New Roman" w:hAnsi="Times New Roman" w:eastAsia="宋体" w:cs="Times New Roman"/>
                <w:color w:val="000000"/>
                <w:sz w:val="21"/>
                <w:szCs w:val="21"/>
                <w:highlight w:val="none"/>
                <w:lang w:val="en-US" w:eastAsia="zh-CN"/>
              </w:rPr>
              <w:t>/d，</w:t>
            </w:r>
            <w:r>
              <w:rPr>
                <w:rFonts w:hint="eastAsia" w:ascii="Times New Roman" w:hAnsi="Times New Roman" w:eastAsia="宋体" w:cs="Times New Roman"/>
                <w:color w:val="000000"/>
                <w:sz w:val="21"/>
                <w:szCs w:val="21"/>
                <w:highlight w:val="none"/>
                <w:lang w:val="en-US" w:eastAsia="zh-CN"/>
              </w:rPr>
              <w:t>450m³</w:t>
            </w:r>
            <w:r>
              <w:rPr>
                <w:rFonts w:hint="default" w:ascii="Times New Roman" w:hAnsi="Times New Roman" w:eastAsia="宋体" w:cs="Times New Roman"/>
                <w:color w:val="000000"/>
                <w:sz w:val="21"/>
                <w:szCs w:val="21"/>
                <w:highlight w:val="none"/>
                <w:lang w:val="en-US" w:eastAsia="zh-CN"/>
              </w:rPr>
              <w:t>/a，</w:t>
            </w:r>
            <w:r>
              <w:rPr>
                <w:rFonts w:hint="eastAsia" w:ascii="Times New Roman" w:hAnsi="Times New Roman" w:eastAsia="宋体" w:cs="Times New Roman"/>
                <w:color w:val="000000"/>
                <w:sz w:val="21"/>
                <w:szCs w:val="21"/>
                <w:highlight w:val="none"/>
                <w:lang w:val="en-US" w:eastAsia="zh-CN"/>
              </w:rPr>
              <w:t>车间清洗废水产生率按80%计，则车间冲洗废水产生量为1.2m³</w:t>
            </w:r>
            <w:r>
              <w:rPr>
                <w:rFonts w:hint="default" w:ascii="Times New Roman" w:hAnsi="Times New Roman" w:eastAsia="宋体" w:cs="Times New Roman"/>
                <w:color w:val="000000"/>
                <w:sz w:val="21"/>
                <w:szCs w:val="21"/>
                <w:highlight w:val="none"/>
                <w:lang w:val="en-US" w:eastAsia="zh-CN"/>
              </w:rPr>
              <w:t>/d，</w:t>
            </w:r>
            <w:r>
              <w:rPr>
                <w:rFonts w:hint="eastAsia" w:ascii="Times New Roman" w:hAnsi="Times New Roman" w:eastAsia="宋体" w:cs="Times New Roman"/>
                <w:color w:val="000000"/>
                <w:sz w:val="21"/>
                <w:szCs w:val="21"/>
                <w:highlight w:val="none"/>
                <w:lang w:val="en-US" w:eastAsia="zh-CN"/>
              </w:rPr>
              <w:t>360m³</w:t>
            </w:r>
            <w:r>
              <w:rPr>
                <w:rFonts w:hint="default" w:ascii="Times New Roman" w:hAnsi="Times New Roman" w:eastAsia="宋体" w:cs="Times New Roman"/>
                <w:color w:val="000000"/>
                <w:sz w:val="21"/>
                <w:szCs w:val="21"/>
                <w:highlight w:val="none"/>
                <w:lang w:val="en-US" w:eastAsia="zh-CN"/>
              </w:rPr>
              <w:t>/a</w:t>
            </w:r>
            <w:r>
              <w:rPr>
                <w:rFonts w:hint="eastAsia" w:ascii="Times New Roman" w:hAnsi="Times New Roman" w:eastAsia="宋体" w:cs="Times New Roman"/>
                <w:color w:val="000000"/>
                <w:sz w:val="21"/>
                <w:szCs w:val="21"/>
                <w:highlight w:val="none"/>
                <w:lang w:val="en-US" w:eastAsia="zh-CN"/>
              </w:rPr>
              <w:t>。</w:t>
            </w:r>
          </w:p>
          <w:p w14:paraId="1D38590E">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leftChars="20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（2）排水</w:t>
            </w:r>
          </w:p>
          <w:p w14:paraId="107E79D7">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项目生产废水包括锅炉排水、锅炉清洗废水、软水制备浓水、软水制备反冲洗废水、纯水制备废水、纯水制备反冲洗废水、设备清洗废水、洗瓶废水、实验室废水、车间地面冲洗废水、锅底废水、</w:t>
            </w:r>
            <w:r>
              <w:rPr>
                <w:rFonts w:hint="eastAsia" w:cs="Times New Roman"/>
                <w:color w:val="000000"/>
                <w:sz w:val="21"/>
                <w:szCs w:val="21"/>
                <w:highlight w:val="none"/>
                <w:lang w:val="en-US" w:eastAsia="zh-CN"/>
              </w:rPr>
              <w:t>窖底</w:t>
            </w:r>
            <w:r>
              <w:rPr>
                <w:rFonts w:hint="eastAsia" w:ascii="Times New Roman" w:hAnsi="Times New Roman" w:eastAsia="宋体" w:cs="Times New Roman"/>
                <w:color w:val="000000"/>
                <w:sz w:val="21"/>
                <w:szCs w:val="21"/>
                <w:highlight w:val="none"/>
                <w:lang w:val="en-US" w:eastAsia="zh-CN"/>
              </w:rPr>
              <w:t>废水。</w:t>
            </w:r>
          </w:p>
          <w:p w14:paraId="59E3539D">
            <w:pPr>
              <w:shd w:val="clear" w:color="auto" w:fill="auto"/>
              <w:bidi w:val="0"/>
              <w:spacing w:line="360" w:lineRule="auto"/>
              <w:ind w:firstLine="420" w:firstLineChars="200"/>
              <w:rPr>
                <w:rFonts w:hint="default"/>
                <w:color w:val="000000"/>
                <w:highlight w:val="none"/>
                <w:lang w:val="en-US" w:eastAsia="zh-CN"/>
              </w:rPr>
            </w:pPr>
            <w:r>
              <w:rPr>
                <w:rFonts w:hint="eastAsia"/>
                <w:color w:val="000000"/>
                <w:highlight w:val="none"/>
                <w:lang w:val="en-US" w:eastAsia="zh-CN"/>
              </w:rPr>
              <w:t>1）</w:t>
            </w:r>
            <w:r>
              <w:rPr>
                <w:rFonts w:hint="default"/>
                <w:color w:val="000000"/>
                <w:highlight w:val="none"/>
                <w:lang w:val="en-US" w:eastAsia="zh-CN"/>
              </w:rPr>
              <w:t>锅底水</w:t>
            </w:r>
          </w:p>
          <w:p w14:paraId="33847066">
            <w:pPr>
              <w:shd w:val="clear" w:color="auto" w:fill="auto"/>
              <w:bidi w:val="0"/>
              <w:spacing w:line="360" w:lineRule="auto"/>
              <w:ind w:firstLine="420" w:firstLineChars="200"/>
              <w:rPr>
                <w:rFonts w:hint="default"/>
                <w:color w:val="000000"/>
                <w:highlight w:val="none"/>
                <w:lang w:val="en-US" w:eastAsia="zh-CN"/>
              </w:rPr>
            </w:pPr>
            <w:r>
              <w:rPr>
                <w:rFonts w:hint="eastAsia"/>
                <w:color w:val="000000"/>
                <w:highlight w:val="none"/>
                <w:lang w:val="en-US" w:eastAsia="zh-CN"/>
              </w:rPr>
              <w:t>本</w:t>
            </w:r>
            <w:r>
              <w:rPr>
                <w:rFonts w:hint="default"/>
                <w:color w:val="000000"/>
                <w:highlight w:val="none"/>
                <w:lang w:val="en-US" w:eastAsia="zh-CN"/>
              </w:rPr>
              <w:t>项目</w:t>
            </w:r>
            <w:r>
              <w:rPr>
                <w:rFonts w:hint="eastAsia"/>
                <w:color w:val="000000"/>
                <w:highlight w:val="none"/>
                <w:lang w:val="en-US" w:eastAsia="zh-CN"/>
              </w:rPr>
              <w:t>生产时间为300</w:t>
            </w:r>
            <w:r>
              <w:rPr>
                <w:rFonts w:hint="default"/>
                <w:color w:val="000000"/>
                <w:highlight w:val="none"/>
                <w:lang w:val="en-US" w:eastAsia="zh-CN"/>
              </w:rPr>
              <w:t>d，</w:t>
            </w:r>
            <w:r>
              <w:rPr>
                <w:rFonts w:hint="eastAsia"/>
                <w:color w:val="000000"/>
                <w:highlight w:val="none"/>
                <w:lang w:val="en-US" w:eastAsia="zh-CN"/>
              </w:rPr>
              <w:t>制酒车间</w:t>
            </w:r>
            <w:r>
              <w:rPr>
                <w:rFonts w:hint="default"/>
                <w:color w:val="000000"/>
                <w:highlight w:val="none"/>
                <w:lang w:val="en-US" w:eastAsia="zh-CN"/>
              </w:rPr>
              <w:t>设</w:t>
            </w:r>
            <w:r>
              <w:rPr>
                <w:rFonts w:hint="eastAsia"/>
                <w:color w:val="000000"/>
                <w:highlight w:val="none"/>
                <w:lang w:val="en-US" w:eastAsia="zh-CN"/>
              </w:rPr>
              <w:t>2</w:t>
            </w:r>
            <w:r>
              <w:rPr>
                <w:rFonts w:hint="default"/>
                <w:color w:val="000000"/>
                <w:highlight w:val="none"/>
                <w:lang w:val="en-US" w:eastAsia="zh-CN"/>
              </w:rPr>
              <w:t>个</w:t>
            </w:r>
            <w:r>
              <w:rPr>
                <w:rFonts w:hint="eastAsia"/>
                <w:color w:val="000000"/>
                <w:highlight w:val="none"/>
                <w:lang w:val="en-US" w:eastAsia="zh-CN"/>
              </w:rPr>
              <w:t>甑锅</w:t>
            </w:r>
            <w:r>
              <w:rPr>
                <w:rFonts w:hint="default"/>
                <w:color w:val="000000"/>
                <w:highlight w:val="none"/>
                <w:lang w:val="en-US" w:eastAsia="zh-CN"/>
              </w:rPr>
              <w:t>，每个</w:t>
            </w:r>
            <w:r>
              <w:rPr>
                <w:rFonts w:hint="eastAsia"/>
                <w:color w:val="000000"/>
                <w:highlight w:val="none"/>
                <w:lang w:val="en-US" w:eastAsia="zh-CN"/>
              </w:rPr>
              <w:t>甑锅产生</w:t>
            </w:r>
            <w:r>
              <w:rPr>
                <w:rFonts w:hint="default"/>
                <w:color w:val="000000"/>
                <w:highlight w:val="none"/>
                <w:lang w:val="en-US" w:eastAsia="zh-CN"/>
              </w:rPr>
              <w:t>锅底水量为0.</w:t>
            </w:r>
            <w:r>
              <w:rPr>
                <w:rFonts w:hint="eastAsia"/>
                <w:color w:val="000000"/>
                <w:highlight w:val="none"/>
                <w:lang w:val="en-US" w:eastAsia="zh-CN"/>
              </w:rPr>
              <w:t>2m³</w:t>
            </w:r>
            <w:r>
              <w:rPr>
                <w:rFonts w:hint="default"/>
                <w:color w:val="000000"/>
                <w:highlight w:val="none"/>
                <w:lang w:val="en-US" w:eastAsia="zh-CN"/>
              </w:rPr>
              <w:t>，</w:t>
            </w:r>
            <w:r>
              <w:rPr>
                <w:rFonts w:hint="eastAsia"/>
                <w:color w:val="000000"/>
                <w:highlight w:val="none"/>
                <w:lang w:val="en-US" w:eastAsia="zh-CN"/>
              </w:rPr>
              <w:t>蒸馏</w:t>
            </w:r>
            <w:r>
              <w:rPr>
                <w:rFonts w:hint="default"/>
                <w:color w:val="000000"/>
                <w:highlight w:val="none"/>
                <w:lang w:val="en-US" w:eastAsia="zh-CN"/>
              </w:rPr>
              <w:t>以一天作为生产周期，1口锅</w:t>
            </w:r>
            <w:r>
              <w:rPr>
                <w:rFonts w:hint="eastAsia"/>
                <w:color w:val="000000"/>
                <w:highlight w:val="none"/>
                <w:lang w:val="en-US" w:eastAsia="zh-CN"/>
              </w:rPr>
              <w:t>每天</w:t>
            </w:r>
            <w:r>
              <w:rPr>
                <w:rFonts w:hint="default"/>
                <w:color w:val="000000"/>
                <w:highlight w:val="none"/>
                <w:lang w:val="en-US" w:eastAsia="zh-CN"/>
              </w:rPr>
              <w:t>排</w:t>
            </w:r>
            <w:r>
              <w:rPr>
                <w:rFonts w:hint="eastAsia"/>
                <w:color w:val="000000"/>
                <w:highlight w:val="none"/>
                <w:lang w:val="en-US" w:eastAsia="zh-CN"/>
              </w:rPr>
              <w:t>2</w:t>
            </w:r>
            <w:r>
              <w:rPr>
                <w:rFonts w:hint="default"/>
                <w:color w:val="000000"/>
                <w:highlight w:val="none"/>
                <w:lang w:val="en-US" w:eastAsia="zh-CN"/>
              </w:rPr>
              <w:t>次锅底水，则锅底废水产生量为</w:t>
            </w:r>
            <w:r>
              <w:rPr>
                <w:rFonts w:hint="eastAsia"/>
                <w:color w:val="000000"/>
                <w:highlight w:val="none"/>
                <w:lang w:val="en-US" w:eastAsia="zh-CN"/>
              </w:rPr>
              <w:t>0.8m³</w:t>
            </w:r>
            <w:r>
              <w:rPr>
                <w:rFonts w:hint="default"/>
                <w:color w:val="000000"/>
                <w:highlight w:val="none"/>
                <w:lang w:val="en-US" w:eastAsia="zh-CN"/>
              </w:rPr>
              <w:t>/d</w:t>
            </w:r>
            <w:r>
              <w:rPr>
                <w:rFonts w:hint="eastAsia"/>
                <w:color w:val="000000"/>
                <w:highlight w:val="none"/>
                <w:lang w:val="en-US" w:eastAsia="zh-CN"/>
              </w:rPr>
              <w:t>，240</w:t>
            </w:r>
            <w:r>
              <w:rPr>
                <w:rFonts w:hint="eastAsia" w:ascii="Times New Roman" w:hAnsi="Times New Roman" w:eastAsia="宋体" w:cs="Times New Roman"/>
                <w:color w:val="000000"/>
                <w:sz w:val="21"/>
                <w:szCs w:val="21"/>
                <w:highlight w:val="none"/>
                <w:lang w:val="en-US" w:eastAsia="zh-CN"/>
              </w:rPr>
              <w:t>m³</w:t>
            </w:r>
            <w:r>
              <w:rPr>
                <w:rFonts w:hint="default" w:ascii="Times New Roman" w:hAnsi="Times New Roman" w:eastAsia="宋体" w:cs="Times New Roman"/>
                <w:color w:val="000000"/>
                <w:sz w:val="21"/>
                <w:szCs w:val="21"/>
                <w:highlight w:val="none"/>
                <w:lang w:val="en-US" w:eastAsia="zh-CN"/>
              </w:rPr>
              <w:t>/a</w:t>
            </w:r>
            <w:r>
              <w:rPr>
                <w:rFonts w:hint="eastAsia" w:ascii="Times New Roman" w:hAnsi="Times New Roman" w:eastAsia="宋体" w:cs="Times New Roman"/>
                <w:color w:val="000000"/>
                <w:sz w:val="21"/>
                <w:szCs w:val="21"/>
                <w:highlight w:val="none"/>
                <w:lang w:val="en-US" w:eastAsia="zh-CN"/>
              </w:rPr>
              <w:t>。</w:t>
            </w:r>
          </w:p>
          <w:p w14:paraId="0BAC732B">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Times New Roman" w:hAnsi="Times New Roman" w:eastAsia="宋体" w:cs="Times New Roman"/>
                <w:color w:val="000000"/>
                <w:sz w:val="21"/>
                <w:szCs w:val="21"/>
                <w:highlight w:val="none"/>
                <w:lang w:val="en-US" w:eastAsia="zh-CN"/>
              </w:rPr>
            </w:pPr>
            <w:r>
              <w:rPr>
                <w:rFonts w:hint="eastAsia"/>
                <w:color w:val="000000"/>
                <w:highlight w:val="none"/>
                <w:lang w:val="en-US" w:eastAsia="zh-CN"/>
              </w:rPr>
              <w:t>2）</w:t>
            </w:r>
            <w:r>
              <w:rPr>
                <w:rFonts w:hint="eastAsia" w:ascii="Times New Roman" w:hAnsi="Times New Roman" w:eastAsia="宋体" w:cs="Times New Roman"/>
                <w:color w:val="000000"/>
                <w:sz w:val="21"/>
                <w:szCs w:val="21"/>
                <w:highlight w:val="none"/>
                <w:lang w:val="en-US" w:eastAsia="zh-CN"/>
              </w:rPr>
              <w:t>窖底水</w:t>
            </w:r>
          </w:p>
          <w:p w14:paraId="110CC78D">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kern w:val="2"/>
                <w:szCs w:val="21"/>
                <w:highlight w:val="none"/>
                <w:lang w:val="en-US" w:eastAsia="zh-CN" w:bidi="ar-SA"/>
              </w:rPr>
              <w:t>本</w:t>
            </w:r>
            <w:r>
              <w:rPr>
                <w:rFonts w:hint="default" w:ascii="Times New Roman" w:hAnsi="Times New Roman" w:eastAsia="宋体" w:cs="Times New Roman"/>
                <w:color w:val="000000"/>
                <w:kern w:val="2"/>
                <w:szCs w:val="21"/>
                <w:highlight w:val="none"/>
                <w:lang w:val="en-US" w:bidi="ar-SA"/>
              </w:rPr>
              <w:t>项目设置</w:t>
            </w:r>
            <w:r>
              <w:rPr>
                <w:rFonts w:hint="eastAsia" w:ascii="Times New Roman" w:hAnsi="Times New Roman" w:eastAsia="宋体" w:cs="Times New Roman"/>
                <w:color w:val="000000"/>
                <w:kern w:val="2"/>
                <w:szCs w:val="21"/>
                <w:highlight w:val="none"/>
                <w:lang w:val="en-US" w:eastAsia="zh-CN" w:bidi="ar-SA"/>
              </w:rPr>
              <w:t>150个</w:t>
            </w:r>
            <w:r>
              <w:rPr>
                <w:rFonts w:hint="default" w:ascii="Times New Roman" w:hAnsi="Times New Roman" w:eastAsia="宋体" w:cs="Times New Roman"/>
                <w:color w:val="000000"/>
                <w:kern w:val="2"/>
                <w:szCs w:val="21"/>
                <w:highlight w:val="none"/>
                <w:lang w:val="en-US" w:bidi="ar-SA"/>
              </w:rPr>
              <w:t>生产窖池，</w:t>
            </w:r>
            <w:r>
              <w:rPr>
                <w:rFonts w:hint="default" w:ascii="Times New Roman" w:hAnsi="Times New Roman" w:eastAsia="宋体" w:cs="Times New Roman"/>
                <w:color w:val="000000"/>
                <w:kern w:val="2"/>
                <w:highlight w:val="none"/>
                <w:lang w:val="en-US" w:bidi="ar-SA"/>
              </w:rPr>
              <w:t>单次发酵周期约为一个月，</w:t>
            </w:r>
            <w:r>
              <w:rPr>
                <w:rFonts w:hint="default" w:ascii="Times New Roman" w:hAnsi="Times New Roman" w:eastAsia="宋体" w:cs="Times New Roman"/>
                <w:color w:val="000000"/>
                <w:kern w:val="2"/>
                <w:szCs w:val="21"/>
                <w:highlight w:val="none"/>
                <w:lang w:val="en-US" w:bidi="ar-SA"/>
              </w:rPr>
              <w:t>每座窖池一个周期内产生窖底水约0.4</w:t>
            </w:r>
            <w:r>
              <w:rPr>
                <w:rFonts w:hint="eastAsia" w:ascii="Times New Roman" w:hAnsi="Times New Roman" w:eastAsia="宋体" w:cs="Times New Roman"/>
                <w:color w:val="000000"/>
                <w:kern w:val="2"/>
                <w:szCs w:val="21"/>
                <w:highlight w:val="none"/>
                <w:lang w:val="en-US" w:eastAsia="zh-CN" w:bidi="ar-SA"/>
              </w:rPr>
              <w:t>m³</w:t>
            </w:r>
            <w:r>
              <w:rPr>
                <w:rFonts w:hint="default" w:ascii="Times New Roman" w:hAnsi="Times New Roman" w:eastAsia="宋体" w:cs="Times New Roman"/>
                <w:color w:val="000000"/>
                <w:kern w:val="2"/>
                <w:szCs w:val="21"/>
                <w:highlight w:val="none"/>
                <w:lang w:val="en-US" w:bidi="ar-SA"/>
              </w:rPr>
              <w:t>，</w:t>
            </w:r>
            <w:r>
              <w:rPr>
                <w:rFonts w:hint="eastAsia" w:ascii="Times New Roman" w:hAnsi="Times New Roman" w:eastAsia="宋体" w:cs="Times New Roman"/>
                <w:color w:val="000000"/>
                <w:kern w:val="2"/>
                <w:szCs w:val="21"/>
                <w:highlight w:val="none"/>
                <w:lang w:val="en-US" w:eastAsia="zh-CN" w:bidi="ar-SA"/>
              </w:rPr>
              <w:t>凤香型白酒</w:t>
            </w:r>
            <w:r>
              <w:rPr>
                <w:rFonts w:hint="default" w:ascii="Times New Roman" w:hAnsi="Times New Roman" w:eastAsia="宋体" w:cs="Times New Roman"/>
                <w:color w:val="000000"/>
                <w:kern w:val="2"/>
                <w:szCs w:val="21"/>
                <w:highlight w:val="none"/>
                <w:lang w:val="en-US" w:bidi="ar-SA"/>
              </w:rPr>
              <w:t>生产周期约150d，一年生产两次，</w:t>
            </w:r>
            <w:r>
              <w:rPr>
                <w:rFonts w:hint="default" w:ascii="Times New Roman" w:hAnsi="Times New Roman" w:eastAsia="宋体" w:cs="Times New Roman"/>
                <w:color w:val="000000"/>
                <w:kern w:val="2"/>
                <w:highlight w:val="none"/>
                <w:lang w:val="en-US" w:bidi="ar-SA"/>
              </w:rPr>
              <w:t>因此窖底水产生量</w:t>
            </w:r>
            <w:r>
              <w:rPr>
                <w:rFonts w:hint="default" w:ascii="Times New Roman" w:hAnsi="Times New Roman" w:eastAsia="宋体" w:cs="Times New Roman"/>
                <w:color w:val="000000"/>
                <w:kern w:val="2"/>
                <w:szCs w:val="21"/>
                <w:highlight w:val="none"/>
                <w:lang w:val="en-US" w:bidi="ar-SA"/>
              </w:rPr>
              <w:t>为</w:t>
            </w:r>
            <w:r>
              <w:rPr>
                <w:rFonts w:hint="eastAsia" w:ascii="Times New Roman" w:hAnsi="Times New Roman" w:eastAsia="宋体" w:cs="Times New Roman"/>
                <w:color w:val="000000"/>
                <w:kern w:val="2"/>
                <w:szCs w:val="21"/>
                <w:highlight w:val="none"/>
                <w:lang w:val="en-US" w:eastAsia="zh-CN" w:bidi="ar-SA"/>
              </w:rPr>
              <w:t>600</w:t>
            </w:r>
            <w:r>
              <w:rPr>
                <w:rFonts w:hint="eastAsia" w:ascii="Times New Roman" w:hAnsi="Times New Roman" w:eastAsia="宋体" w:cs="Times New Roman"/>
                <w:color w:val="000000"/>
                <w:kern w:val="2"/>
                <w:highlight w:val="none"/>
                <w:lang w:val="en-US" w:eastAsia="zh-CN" w:bidi="ar-SA"/>
              </w:rPr>
              <w:t>m³</w:t>
            </w:r>
            <w:r>
              <w:rPr>
                <w:rFonts w:hint="default" w:ascii="Times New Roman" w:hAnsi="Times New Roman" w:eastAsia="宋体" w:cs="Times New Roman"/>
                <w:color w:val="000000"/>
                <w:kern w:val="2"/>
                <w:highlight w:val="none"/>
                <w:lang w:val="en-US" w:bidi="ar-SA"/>
              </w:rPr>
              <w:t>/</w:t>
            </w:r>
            <w:r>
              <w:rPr>
                <w:rFonts w:hint="eastAsia" w:ascii="Times New Roman" w:hAnsi="Times New Roman" w:eastAsia="宋体" w:cs="Times New Roman"/>
                <w:color w:val="000000"/>
                <w:kern w:val="2"/>
                <w:highlight w:val="none"/>
                <w:lang w:val="en-US" w:eastAsia="zh-CN" w:bidi="ar-SA"/>
              </w:rPr>
              <w:t>a</w:t>
            </w:r>
            <w:r>
              <w:rPr>
                <w:rFonts w:hint="default" w:ascii="Times New Roman" w:hAnsi="Times New Roman" w:eastAsia="宋体" w:cs="Times New Roman"/>
                <w:color w:val="000000"/>
                <w:kern w:val="2"/>
                <w:szCs w:val="22"/>
                <w:highlight w:val="none"/>
                <w:lang w:val="en-US" w:bidi="ar-SA"/>
              </w:rPr>
              <w:t>。</w:t>
            </w:r>
          </w:p>
          <w:p w14:paraId="2219D7B3">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3</w:t>
            </w:r>
            <w:r>
              <w:rPr>
                <w:rFonts w:hint="eastAsia" w:ascii="Times New Roman" w:hAnsi="Times New Roman" w:eastAsia="宋体" w:cs="Times New Roman"/>
                <w:color w:val="000000"/>
                <w:sz w:val="21"/>
                <w:szCs w:val="21"/>
                <w:highlight w:val="none"/>
                <w:lang w:val="en-US" w:eastAsia="zh-CN"/>
              </w:rPr>
              <w:t>）其他废水</w:t>
            </w:r>
          </w:p>
          <w:p w14:paraId="7C849866">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锅炉排水量为467m³</w:t>
            </w:r>
            <w:r>
              <w:rPr>
                <w:rFonts w:hint="default" w:ascii="Times New Roman" w:hAnsi="Times New Roman" w:eastAsia="宋体" w:cs="Times New Roman"/>
                <w:color w:val="000000"/>
                <w:sz w:val="21"/>
                <w:szCs w:val="21"/>
                <w:highlight w:val="none"/>
                <w:lang w:val="en-US" w:eastAsia="zh-CN"/>
              </w:rPr>
              <w:t>/a</w:t>
            </w:r>
            <w:r>
              <w:rPr>
                <w:rFonts w:hint="eastAsia" w:ascii="Times New Roman" w:hAnsi="Times New Roman" w:eastAsia="宋体" w:cs="Times New Roman"/>
                <w:color w:val="000000"/>
                <w:sz w:val="21"/>
                <w:szCs w:val="21"/>
                <w:highlight w:val="none"/>
                <w:lang w:val="en-US" w:eastAsia="zh-CN"/>
              </w:rPr>
              <w:t>，锅炉清洗废水产生量为8m³</w:t>
            </w:r>
            <w:r>
              <w:rPr>
                <w:rFonts w:hint="default" w:ascii="Times New Roman" w:hAnsi="Times New Roman" w:eastAsia="宋体" w:cs="Times New Roman"/>
                <w:color w:val="000000"/>
                <w:sz w:val="21"/>
                <w:szCs w:val="21"/>
                <w:highlight w:val="none"/>
                <w:lang w:val="en-US" w:eastAsia="zh-CN"/>
              </w:rPr>
              <w:t>/a</w:t>
            </w:r>
            <w:r>
              <w:rPr>
                <w:rFonts w:hint="eastAsia" w:ascii="Times New Roman" w:hAnsi="Times New Roman" w:eastAsia="宋体" w:cs="Times New Roman"/>
                <w:color w:val="000000"/>
                <w:sz w:val="21"/>
                <w:szCs w:val="21"/>
                <w:highlight w:val="none"/>
                <w:lang w:val="en-US" w:eastAsia="zh-CN"/>
              </w:rPr>
              <w:t>，软水制备浓水产生量为520.8m³</w:t>
            </w:r>
            <w:r>
              <w:rPr>
                <w:rFonts w:hint="default" w:ascii="Times New Roman" w:hAnsi="Times New Roman" w:eastAsia="宋体" w:cs="Times New Roman"/>
                <w:color w:val="000000"/>
                <w:sz w:val="21"/>
                <w:szCs w:val="21"/>
                <w:highlight w:val="none"/>
                <w:lang w:val="en-US" w:eastAsia="zh-CN"/>
              </w:rPr>
              <w:t>/a</w:t>
            </w:r>
            <w:r>
              <w:rPr>
                <w:rFonts w:hint="eastAsia" w:ascii="Times New Roman" w:hAnsi="Times New Roman" w:eastAsia="宋体" w:cs="Times New Roman"/>
                <w:color w:val="000000"/>
                <w:sz w:val="21"/>
                <w:szCs w:val="21"/>
                <w:highlight w:val="none"/>
                <w:lang w:val="en-US" w:eastAsia="zh-CN"/>
              </w:rPr>
              <w:t>，软水制备反冲洗废水18m³</w:t>
            </w:r>
            <w:r>
              <w:rPr>
                <w:rFonts w:hint="default" w:ascii="Times New Roman" w:hAnsi="Times New Roman" w:eastAsia="宋体" w:cs="Times New Roman"/>
                <w:color w:val="000000"/>
                <w:sz w:val="21"/>
                <w:szCs w:val="21"/>
                <w:highlight w:val="none"/>
                <w:lang w:val="en-US" w:eastAsia="zh-CN"/>
              </w:rPr>
              <w:t>/a</w:t>
            </w:r>
            <w:r>
              <w:rPr>
                <w:rFonts w:hint="eastAsia" w:ascii="Times New Roman" w:hAnsi="Times New Roman" w:eastAsia="宋体" w:cs="Times New Roman"/>
                <w:color w:val="000000"/>
                <w:sz w:val="21"/>
                <w:szCs w:val="21"/>
                <w:highlight w:val="none"/>
                <w:lang w:val="en-US" w:eastAsia="zh-CN"/>
              </w:rPr>
              <w:t>，纯水制备浓水产生量为</w:t>
            </w:r>
            <w:r>
              <w:rPr>
                <w:rFonts w:hint="eastAsia" w:ascii="Times New Roman" w:hAnsi="Times New Roman" w:cs="Times New Roman"/>
                <w:color w:val="000000"/>
                <w:sz w:val="21"/>
                <w:szCs w:val="21"/>
                <w:highlight w:val="none"/>
                <w:lang w:val="en-US" w:eastAsia="zh-CN"/>
              </w:rPr>
              <w:t>301.74</w:t>
            </w:r>
            <w:r>
              <w:rPr>
                <w:rFonts w:hint="eastAsia" w:ascii="Times New Roman" w:hAnsi="Times New Roman" w:eastAsia="宋体" w:cs="Times New Roman"/>
                <w:color w:val="000000"/>
                <w:sz w:val="21"/>
                <w:szCs w:val="21"/>
                <w:highlight w:val="none"/>
                <w:lang w:val="en-US" w:eastAsia="zh-CN"/>
              </w:rPr>
              <w:t>m³</w:t>
            </w:r>
            <w:r>
              <w:rPr>
                <w:rFonts w:hint="default" w:ascii="Times New Roman" w:hAnsi="Times New Roman" w:eastAsia="宋体" w:cs="Times New Roman"/>
                <w:color w:val="000000"/>
                <w:sz w:val="21"/>
                <w:szCs w:val="21"/>
                <w:highlight w:val="none"/>
                <w:lang w:val="en-US" w:eastAsia="zh-CN"/>
              </w:rPr>
              <w:t>/a</w:t>
            </w:r>
            <w:r>
              <w:rPr>
                <w:rFonts w:hint="eastAsia" w:ascii="Times New Roman" w:hAnsi="Times New Roman" w:eastAsia="宋体" w:cs="Times New Roman"/>
                <w:color w:val="000000"/>
                <w:sz w:val="21"/>
                <w:szCs w:val="21"/>
                <w:highlight w:val="none"/>
                <w:lang w:val="en-US" w:eastAsia="zh-CN"/>
              </w:rPr>
              <w:t>，</w:t>
            </w:r>
            <w:r>
              <w:rPr>
                <w:rFonts w:hint="eastAsia" w:ascii="Times New Roman" w:hAnsi="Times New Roman" w:cs="Times New Roman"/>
                <w:color w:val="000000"/>
                <w:sz w:val="21"/>
                <w:szCs w:val="21"/>
                <w:highlight w:val="none"/>
                <w:lang w:val="en-US" w:eastAsia="zh-CN"/>
              </w:rPr>
              <w:t>纯水机反冲洗用水13.5</w:t>
            </w:r>
            <w:r>
              <w:rPr>
                <w:rFonts w:hint="eastAsia" w:ascii="Times New Roman" w:hAnsi="Times New Roman" w:eastAsia="宋体" w:cs="Times New Roman"/>
                <w:color w:val="000000"/>
                <w:sz w:val="21"/>
                <w:szCs w:val="21"/>
                <w:highlight w:val="none"/>
                <w:lang w:val="en-US" w:eastAsia="zh-CN"/>
              </w:rPr>
              <w:t>m³</w:t>
            </w:r>
            <w:r>
              <w:rPr>
                <w:rFonts w:hint="default" w:ascii="Times New Roman" w:hAnsi="Times New Roman" w:eastAsia="宋体" w:cs="Times New Roman"/>
                <w:color w:val="000000"/>
                <w:sz w:val="21"/>
                <w:szCs w:val="21"/>
                <w:highlight w:val="none"/>
                <w:lang w:val="en-US" w:eastAsia="zh-CN"/>
              </w:rPr>
              <w:t>/a</w:t>
            </w:r>
            <w:r>
              <w:rPr>
                <w:rFonts w:hint="eastAsia" w:ascii="Times New Roman" w:hAnsi="Times New Roman" w:eastAsia="宋体" w:cs="Times New Roman"/>
                <w:color w:val="000000"/>
                <w:sz w:val="21"/>
                <w:szCs w:val="21"/>
                <w:highlight w:val="none"/>
                <w:lang w:val="en-US" w:eastAsia="zh-CN"/>
              </w:rPr>
              <w:t>，设备清洗废水产生量为2.4m³</w:t>
            </w:r>
            <w:r>
              <w:rPr>
                <w:rFonts w:hint="default" w:ascii="Times New Roman" w:hAnsi="Times New Roman" w:eastAsia="宋体" w:cs="Times New Roman"/>
                <w:color w:val="000000"/>
                <w:sz w:val="21"/>
                <w:szCs w:val="21"/>
                <w:highlight w:val="none"/>
                <w:lang w:val="en-US" w:eastAsia="zh-CN"/>
              </w:rPr>
              <w:t>/a</w:t>
            </w:r>
            <w:r>
              <w:rPr>
                <w:rFonts w:hint="eastAsia" w:ascii="Times New Roman" w:hAnsi="Times New Roman" w:eastAsia="宋体" w:cs="Times New Roman"/>
                <w:color w:val="000000"/>
                <w:sz w:val="21"/>
                <w:szCs w:val="21"/>
                <w:highlight w:val="none"/>
                <w:lang w:val="en-US" w:eastAsia="zh-CN"/>
              </w:rPr>
              <w:t>，洗瓶废水产生量为508.8m³/a，地面冲洗废水产生量为360m³</w:t>
            </w:r>
            <w:r>
              <w:rPr>
                <w:rFonts w:hint="default" w:ascii="Times New Roman" w:hAnsi="Times New Roman" w:eastAsia="宋体" w:cs="Times New Roman"/>
                <w:color w:val="000000"/>
                <w:sz w:val="21"/>
                <w:szCs w:val="21"/>
                <w:highlight w:val="none"/>
                <w:lang w:val="en-US" w:eastAsia="zh-CN"/>
              </w:rPr>
              <w:t>/a</w:t>
            </w:r>
            <w:r>
              <w:rPr>
                <w:rFonts w:hint="eastAsia" w:ascii="Times New Roman" w:hAnsi="Times New Roman" w:eastAsia="宋体" w:cs="Times New Roman"/>
                <w:color w:val="000000"/>
                <w:sz w:val="21"/>
                <w:szCs w:val="21"/>
                <w:highlight w:val="none"/>
                <w:lang w:val="en-US" w:eastAsia="zh-CN"/>
              </w:rPr>
              <w:t>，生活污水产生量为504m³</w:t>
            </w:r>
            <w:r>
              <w:rPr>
                <w:rFonts w:hint="default" w:ascii="Times New Roman" w:hAnsi="Times New Roman" w:eastAsia="宋体" w:cs="Times New Roman"/>
                <w:color w:val="000000"/>
                <w:sz w:val="21"/>
                <w:szCs w:val="21"/>
                <w:highlight w:val="none"/>
                <w:lang w:val="en-US" w:eastAsia="zh-CN"/>
              </w:rPr>
              <w:t>/a</w:t>
            </w:r>
            <w:r>
              <w:rPr>
                <w:rFonts w:hint="eastAsia" w:ascii="Times New Roman" w:hAnsi="Times New Roman" w:eastAsia="宋体" w:cs="Times New Roman"/>
                <w:color w:val="000000"/>
                <w:sz w:val="21"/>
                <w:szCs w:val="21"/>
                <w:highlight w:val="none"/>
                <w:lang w:val="en-US" w:eastAsia="zh-CN"/>
              </w:rPr>
              <w:t>，</w:t>
            </w:r>
            <w:r>
              <w:rPr>
                <w:rFonts w:hint="eastAsia" w:ascii="Times New Roman" w:hAnsi="Times New Roman" w:cs="Times New Roman"/>
                <w:color w:val="000000"/>
                <w:sz w:val="21"/>
                <w:szCs w:val="21"/>
                <w:highlight w:val="none"/>
                <w:lang w:val="en-US" w:eastAsia="zh-CN"/>
              </w:rPr>
              <w:t>实验室废水产生量为0.48m³</w:t>
            </w:r>
            <w:r>
              <w:rPr>
                <w:rFonts w:hint="default" w:ascii="Times New Roman" w:hAnsi="Times New Roman" w:cs="Times New Roman"/>
                <w:color w:val="000000"/>
                <w:sz w:val="21"/>
                <w:szCs w:val="21"/>
                <w:highlight w:val="none"/>
                <w:lang w:val="en-US" w:eastAsia="zh-CN"/>
              </w:rPr>
              <w:t>/a</w:t>
            </w:r>
            <w:r>
              <w:rPr>
                <w:rFonts w:hint="eastAsia" w:cs="Times New Roman"/>
                <w:color w:val="000000"/>
                <w:sz w:val="21"/>
                <w:szCs w:val="21"/>
                <w:highlight w:val="none"/>
                <w:lang w:val="en-US" w:eastAsia="zh-CN"/>
              </w:rPr>
              <w:t>。</w:t>
            </w:r>
          </w:p>
          <w:p w14:paraId="4482C43F">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综上分析，本项目废水排放总量为3599.23m³</w:t>
            </w:r>
            <w:r>
              <w:rPr>
                <w:rFonts w:hint="default" w:ascii="Times New Roman" w:hAnsi="Times New Roman" w:eastAsia="宋体" w:cs="Times New Roman"/>
                <w:color w:val="000000"/>
                <w:sz w:val="21"/>
                <w:szCs w:val="21"/>
                <w:highlight w:val="none"/>
                <w:lang w:val="en-US" w:eastAsia="zh-CN"/>
              </w:rPr>
              <w:t>/a</w:t>
            </w:r>
            <w:r>
              <w:rPr>
                <w:rFonts w:hint="eastAsia" w:ascii="Times New Roman" w:hAnsi="Times New Roman" w:eastAsia="宋体" w:cs="Times New Roman"/>
                <w:color w:val="000000"/>
                <w:sz w:val="21"/>
                <w:szCs w:val="21"/>
                <w:highlight w:val="none"/>
                <w:lang w:val="en-US" w:eastAsia="zh-CN"/>
              </w:rPr>
              <w:t>。</w:t>
            </w:r>
          </w:p>
          <w:p w14:paraId="2DD75C1C">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本项目排水实行雨污分流</w:t>
            </w:r>
            <w:r>
              <w:rPr>
                <w:rFonts w:hint="default" w:ascii="Times New Roman" w:hAnsi="Times New Roman" w:eastAsia="宋体" w:cs="Times New Roman"/>
                <w:color w:val="000000"/>
                <w:sz w:val="21"/>
                <w:szCs w:val="21"/>
                <w:highlight w:val="none"/>
                <w:lang w:val="zh-CN" w:eastAsia="zh-CN"/>
              </w:rPr>
              <w:t>制。雨水沿雨水渠排入雨水管网；</w:t>
            </w:r>
            <w:r>
              <w:rPr>
                <w:rFonts w:hint="eastAsia" w:ascii="Times New Roman" w:hAnsi="Times New Roman" w:eastAsia="宋体" w:cs="Times New Roman"/>
                <w:color w:val="000000"/>
                <w:sz w:val="21"/>
                <w:szCs w:val="21"/>
                <w:highlight w:val="none"/>
                <w:lang w:val="en-US" w:eastAsia="zh-CN"/>
              </w:rPr>
              <w:t>生产废水经污水处理站处理达标后拉运至宝鸡天龙污水处理有限公司，生活污水经化粪池和隔油池处理后拉运至宝鸡天龙污水处理有限公司。</w:t>
            </w:r>
          </w:p>
          <w:p w14:paraId="5D592FBF">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line="360" w:lineRule="auto"/>
              <w:ind w:leftChars="200"/>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本项目</w:t>
            </w:r>
            <w:r>
              <w:rPr>
                <w:rFonts w:hint="eastAsia" w:ascii="Times New Roman" w:hAnsi="Times New Roman" w:eastAsia="宋体" w:cs="Times New Roman"/>
                <w:color w:val="000000"/>
                <w:sz w:val="21"/>
                <w:szCs w:val="21"/>
                <w:highlight w:val="none"/>
                <w:lang w:val="en-US" w:eastAsia="zh-CN"/>
              </w:rPr>
              <w:t>的</w:t>
            </w:r>
            <w:r>
              <w:rPr>
                <w:rFonts w:hint="default" w:ascii="Times New Roman" w:hAnsi="Times New Roman" w:eastAsia="宋体" w:cs="Times New Roman"/>
                <w:color w:val="000000"/>
                <w:sz w:val="21"/>
                <w:szCs w:val="21"/>
                <w:highlight w:val="none"/>
                <w:lang w:val="en-US" w:eastAsia="zh-CN"/>
              </w:rPr>
              <w:t>水平衡详见下表。</w:t>
            </w:r>
          </w:p>
          <w:p w14:paraId="5D41F916">
            <w:pPr>
              <w:keepNext w:val="0"/>
              <w:keepLines w:val="0"/>
              <w:pageBreakBefore w:val="0"/>
              <w:shd w:val="clear" w:color="auto" w:fill="auto"/>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b/>
                <w:color w:val="000000"/>
                <w:sz w:val="21"/>
                <w:szCs w:val="21"/>
                <w:highlight w:val="none"/>
              </w:rPr>
              <w:t>表2-</w:t>
            </w:r>
            <w:r>
              <w:rPr>
                <w:rFonts w:hint="default" w:ascii="Times New Roman" w:hAnsi="Times New Roman" w:eastAsia="宋体" w:cs="Times New Roman"/>
                <w:b/>
                <w:color w:val="000000"/>
                <w:sz w:val="21"/>
                <w:szCs w:val="21"/>
                <w:highlight w:val="none"/>
                <w:lang w:val="en-US" w:eastAsia="zh-CN"/>
              </w:rPr>
              <w:t>6</w:t>
            </w:r>
            <w:r>
              <w:rPr>
                <w:rFonts w:hint="default" w:ascii="Times New Roman" w:hAnsi="Times New Roman" w:eastAsia="宋体" w:cs="Times New Roman"/>
                <w:b/>
                <w:color w:val="000000"/>
                <w:sz w:val="21"/>
                <w:szCs w:val="21"/>
                <w:highlight w:val="none"/>
              </w:rPr>
              <w:t xml:space="preserve">  项目</w:t>
            </w:r>
            <w:r>
              <w:rPr>
                <w:rFonts w:hint="default" w:ascii="Times New Roman" w:hAnsi="Times New Roman" w:eastAsia="宋体" w:cs="Times New Roman"/>
                <w:b/>
                <w:color w:val="000000"/>
                <w:sz w:val="21"/>
                <w:szCs w:val="21"/>
                <w:highlight w:val="none"/>
                <w:lang w:val="en-US" w:eastAsia="zh-CN"/>
              </w:rPr>
              <w:t>用水、排水情况</w:t>
            </w:r>
            <w:r>
              <w:rPr>
                <w:rFonts w:hint="default" w:ascii="Times New Roman" w:hAnsi="Times New Roman" w:eastAsia="宋体" w:cs="Times New Roman"/>
                <w:b/>
                <w:color w:val="000000"/>
                <w:sz w:val="21"/>
                <w:szCs w:val="21"/>
                <w:highlight w:val="none"/>
              </w:rPr>
              <w:t>一览表</w:t>
            </w:r>
            <w:r>
              <w:rPr>
                <w:rFonts w:hint="default" w:ascii="Times New Roman" w:hAnsi="Times New Roman" w:eastAsia="宋体" w:cs="Times New Roman"/>
                <w:b/>
                <w:color w:val="000000"/>
                <w:sz w:val="21"/>
                <w:szCs w:val="21"/>
                <w:highlight w:val="none"/>
                <w:lang w:val="en-US" w:eastAsia="zh-CN"/>
              </w:rPr>
              <w:t xml:space="preserve">  单位t/a</w:t>
            </w:r>
          </w:p>
          <w:tbl>
            <w:tblPr>
              <w:tblStyle w:val="21"/>
              <w:tblW w:w="5003"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shd w:val="clear" w:color="auto" w:fill="auto"/>
              <w:tblLayout w:type="fixed"/>
              <w:tblCellMar>
                <w:top w:w="0" w:type="dxa"/>
                <w:left w:w="108" w:type="dxa"/>
                <w:bottom w:w="0" w:type="dxa"/>
                <w:right w:w="108" w:type="dxa"/>
              </w:tblCellMar>
            </w:tblPr>
            <w:tblGrid>
              <w:gridCol w:w="543"/>
              <w:gridCol w:w="1233"/>
              <w:gridCol w:w="861"/>
              <w:gridCol w:w="645"/>
              <w:gridCol w:w="753"/>
              <w:gridCol w:w="660"/>
              <w:gridCol w:w="781"/>
              <w:gridCol w:w="791"/>
              <w:gridCol w:w="783"/>
              <w:gridCol w:w="817"/>
            </w:tblGrid>
            <w:tr w14:paraId="1887274B">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shd w:val="clear" w:color="auto" w:fill="auto"/>
                <w:tblCellMar>
                  <w:top w:w="0" w:type="dxa"/>
                  <w:left w:w="108" w:type="dxa"/>
                  <w:bottom w:w="0" w:type="dxa"/>
                  <w:right w:w="108" w:type="dxa"/>
                </w:tblCellMar>
              </w:tblPrEx>
              <w:trPr>
                <w:trHeight w:val="513" w:hRule="atLeast"/>
              </w:trPr>
              <w:tc>
                <w:tcPr>
                  <w:tcW w:w="345" w:type="pct"/>
                  <w:tcBorders>
                    <w:tl2br w:val="nil"/>
                    <w:tr2bl w:val="nil"/>
                  </w:tcBorders>
                  <w:shd w:val="clear" w:color="auto" w:fill="auto"/>
                  <w:noWrap w:val="0"/>
                  <w:vAlign w:val="center"/>
                </w:tcPr>
                <w:p w14:paraId="4C2526CB">
                  <w:pPr>
                    <w:shd w:val="clear" w:color="auto" w:fill="auto"/>
                    <w:adjustRightInd w:val="0"/>
                    <w:snapToGrid w:val="0"/>
                    <w:spacing w:line="240" w:lineRule="auto"/>
                    <w:jc w:val="center"/>
                    <w:rPr>
                      <w:rFonts w:hint="default" w:ascii="Times New Roman" w:hAnsi="Times New Roman" w:eastAsia="Times New Roman" w:cs="Times New Roman"/>
                      <w:color w:val="000000"/>
                      <w:sz w:val="21"/>
                      <w:szCs w:val="21"/>
                      <w:highlight w:val="none"/>
                    </w:rPr>
                  </w:pPr>
                  <w:r>
                    <w:rPr>
                      <w:rFonts w:hint="default" w:ascii="Times New Roman" w:hAnsi="Times New Roman" w:cs="Times New Roman"/>
                      <w:color w:val="000000"/>
                      <w:sz w:val="21"/>
                      <w:szCs w:val="21"/>
                      <w:highlight w:val="none"/>
                    </w:rPr>
                    <w:t>序号</w:t>
                  </w:r>
                </w:p>
              </w:tc>
              <w:tc>
                <w:tcPr>
                  <w:tcW w:w="783" w:type="pct"/>
                  <w:tcBorders>
                    <w:tl2br w:val="nil"/>
                    <w:tr2bl w:val="nil"/>
                  </w:tcBorders>
                  <w:shd w:val="clear" w:color="auto" w:fill="auto"/>
                  <w:noWrap w:val="0"/>
                  <w:vAlign w:val="center"/>
                </w:tcPr>
                <w:p w14:paraId="3900B987">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用水环节</w:t>
                  </w:r>
                </w:p>
              </w:tc>
              <w:tc>
                <w:tcPr>
                  <w:tcW w:w="547" w:type="pct"/>
                  <w:tcBorders>
                    <w:tl2br w:val="nil"/>
                    <w:tr2bl w:val="nil"/>
                  </w:tcBorders>
                  <w:shd w:val="clear" w:color="auto" w:fill="auto"/>
                  <w:noWrap w:val="0"/>
                  <w:vAlign w:val="center"/>
                </w:tcPr>
                <w:p w14:paraId="758F457F">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新鲜水量</w:t>
                  </w:r>
                </w:p>
              </w:tc>
              <w:tc>
                <w:tcPr>
                  <w:tcW w:w="409" w:type="pct"/>
                  <w:tcBorders>
                    <w:tl2br w:val="nil"/>
                    <w:tr2bl w:val="nil"/>
                  </w:tcBorders>
                  <w:shd w:val="clear" w:color="auto" w:fill="auto"/>
                  <w:noWrap w:val="0"/>
                  <w:vAlign w:val="center"/>
                </w:tcPr>
                <w:p w14:paraId="7FD66C9F">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纯水</w:t>
                  </w:r>
                  <w:r>
                    <w:rPr>
                      <w:rFonts w:hint="eastAsia" w:cs="Times New Roman"/>
                      <w:color w:val="000000"/>
                      <w:sz w:val="21"/>
                      <w:szCs w:val="21"/>
                      <w:highlight w:val="none"/>
                      <w:lang w:val="en-US" w:eastAsia="zh-CN"/>
                    </w:rPr>
                    <w:t>制备量</w:t>
                  </w:r>
                </w:p>
              </w:tc>
              <w:tc>
                <w:tcPr>
                  <w:tcW w:w="478" w:type="pct"/>
                  <w:tcBorders>
                    <w:tl2br w:val="nil"/>
                    <w:tr2bl w:val="nil"/>
                  </w:tcBorders>
                  <w:shd w:val="clear" w:color="auto" w:fill="auto"/>
                  <w:noWrap w:val="0"/>
                  <w:vAlign w:val="center"/>
                </w:tcPr>
                <w:p w14:paraId="60783F4C">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纯水用量</w:t>
                  </w:r>
                </w:p>
              </w:tc>
              <w:tc>
                <w:tcPr>
                  <w:tcW w:w="419" w:type="pct"/>
                  <w:tcBorders>
                    <w:tl2br w:val="nil"/>
                    <w:tr2bl w:val="nil"/>
                  </w:tcBorders>
                  <w:shd w:val="clear" w:color="auto" w:fill="auto"/>
                  <w:noWrap w:val="0"/>
                  <w:vAlign w:val="center"/>
                </w:tcPr>
                <w:p w14:paraId="0F6ADB41">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软水</w:t>
                  </w:r>
                  <w:r>
                    <w:rPr>
                      <w:rFonts w:hint="eastAsia" w:cs="Times New Roman"/>
                      <w:color w:val="000000"/>
                      <w:sz w:val="21"/>
                      <w:szCs w:val="21"/>
                      <w:highlight w:val="none"/>
                      <w:lang w:val="en-US" w:eastAsia="zh-CN"/>
                    </w:rPr>
                    <w:t>制备量</w:t>
                  </w:r>
                </w:p>
              </w:tc>
              <w:tc>
                <w:tcPr>
                  <w:tcW w:w="496" w:type="pct"/>
                  <w:tcBorders>
                    <w:tl2br w:val="nil"/>
                    <w:tr2bl w:val="nil"/>
                  </w:tcBorders>
                  <w:shd w:val="clear" w:color="auto" w:fill="auto"/>
                  <w:noWrap w:val="0"/>
                  <w:vAlign w:val="center"/>
                </w:tcPr>
                <w:p w14:paraId="4401CE34">
                  <w:pPr>
                    <w:shd w:val="clear" w:color="auto" w:fill="auto"/>
                    <w:adjustRightInd w:val="0"/>
                    <w:snapToGrid w:val="0"/>
                    <w:spacing w:line="240" w:lineRule="auto"/>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软水用量</w:t>
                  </w:r>
                </w:p>
              </w:tc>
              <w:tc>
                <w:tcPr>
                  <w:tcW w:w="502" w:type="pct"/>
                  <w:tcBorders>
                    <w:tl2br w:val="nil"/>
                    <w:tr2bl w:val="nil"/>
                  </w:tcBorders>
                  <w:shd w:val="clear" w:color="auto" w:fill="auto"/>
                  <w:noWrap w:val="0"/>
                  <w:vAlign w:val="center"/>
                </w:tcPr>
                <w:p w14:paraId="4712708D">
                  <w:pPr>
                    <w:shd w:val="clear" w:color="auto" w:fill="auto"/>
                    <w:adjustRightInd w:val="0"/>
                    <w:snapToGrid w:val="0"/>
                    <w:spacing w:line="240" w:lineRule="auto"/>
                    <w:jc w:val="center"/>
                    <w:rPr>
                      <w:rFonts w:hint="eastAsia" w:ascii="Times New Roman" w:hAnsi="Times New Roman"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损耗量</w:t>
                  </w:r>
                </w:p>
              </w:tc>
              <w:tc>
                <w:tcPr>
                  <w:tcW w:w="497" w:type="pct"/>
                  <w:tcBorders>
                    <w:tl2br w:val="nil"/>
                    <w:tr2bl w:val="nil"/>
                  </w:tcBorders>
                  <w:shd w:val="clear" w:color="auto" w:fill="auto"/>
                  <w:noWrap w:val="0"/>
                  <w:vAlign w:val="center"/>
                </w:tcPr>
                <w:p w14:paraId="6183C5AB">
                  <w:pPr>
                    <w:shd w:val="clear" w:color="auto" w:fill="auto"/>
                    <w:adjustRightInd w:val="0"/>
                    <w:snapToGrid w:val="0"/>
                    <w:spacing w:line="240" w:lineRule="auto"/>
                    <w:jc w:val="center"/>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进入产品</w:t>
                  </w:r>
                </w:p>
              </w:tc>
              <w:tc>
                <w:tcPr>
                  <w:tcW w:w="519" w:type="pct"/>
                  <w:tcBorders>
                    <w:tl2br w:val="nil"/>
                    <w:tr2bl w:val="nil"/>
                  </w:tcBorders>
                  <w:shd w:val="clear" w:color="auto" w:fill="auto"/>
                  <w:noWrap w:val="0"/>
                  <w:vAlign w:val="center"/>
                </w:tcPr>
                <w:p w14:paraId="067FEA5A">
                  <w:pPr>
                    <w:shd w:val="clear" w:color="auto" w:fill="auto"/>
                    <w:adjustRightInd w:val="0"/>
                    <w:snapToGrid w:val="0"/>
                    <w:spacing w:line="240" w:lineRule="auto"/>
                    <w:jc w:val="center"/>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废水</w:t>
                  </w:r>
                  <w:r>
                    <w:rPr>
                      <w:rFonts w:hint="default" w:ascii="Times New Roman" w:hAnsi="Times New Roman" w:cs="Times New Roman"/>
                      <w:color w:val="000000"/>
                      <w:sz w:val="21"/>
                      <w:szCs w:val="21"/>
                      <w:highlight w:val="none"/>
                      <w:lang w:val="en-US" w:eastAsia="zh-CN"/>
                    </w:rPr>
                    <w:t>量</w:t>
                  </w:r>
                </w:p>
              </w:tc>
            </w:tr>
            <w:tr w14:paraId="7E633686">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shd w:val="clear" w:color="auto" w:fill="auto"/>
                <w:tblCellMar>
                  <w:top w:w="0" w:type="dxa"/>
                  <w:left w:w="108" w:type="dxa"/>
                  <w:bottom w:w="0" w:type="dxa"/>
                  <w:right w:w="108" w:type="dxa"/>
                </w:tblCellMar>
              </w:tblPrEx>
              <w:trPr>
                <w:trHeight w:val="340" w:hRule="atLeast"/>
              </w:trPr>
              <w:tc>
                <w:tcPr>
                  <w:tcW w:w="345" w:type="pct"/>
                  <w:tcBorders>
                    <w:tl2br w:val="nil"/>
                    <w:tr2bl w:val="nil"/>
                  </w:tcBorders>
                  <w:shd w:val="clear" w:color="auto" w:fill="auto"/>
                  <w:noWrap w:val="0"/>
                  <w:vAlign w:val="center"/>
                </w:tcPr>
                <w:p w14:paraId="7594CF25">
                  <w:pPr>
                    <w:shd w:val="clear" w:color="auto" w:fill="auto"/>
                    <w:adjustRightInd w:val="0"/>
                    <w:snapToGrid w:val="0"/>
                    <w:spacing w:line="240" w:lineRule="auto"/>
                    <w:jc w:val="center"/>
                    <w:rPr>
                      <w:rFonts w:hint="default" w:ascii="Times New Roman" w:hAnsi="Times New Roman" w:eastAsia="Times New Roman" w:cs="Times New Roman"/>
                      <w:color w:val="000000"/>
                      <w:sz w:val="21"/>
                      <w:szCs w:val="21"/>
                      <w:highlight w:val="none"/>
                    </w:rPr>
                  </w:pPr>
                  <w:r>
                    <w:rPr>
                      <w:rFonts w:hint="default" w:ascii="Times New Roman" w:hAnsi="Times New Roman" w:eastAsia="Times New Roman" w:cs="Times New Roman"/>
                      <w:color w:val="000000"/>
                      <w:sz w:val="21"/>
                      <w:szCs w:val="21"/>
                      <w:highlight w:val="none"/>
                    </w:rPr>
                    <w:t>1</w:t>
                  </w:r>
                </w:p>
              </w:tc>
              <w:tc>
                <w:tcPr>
                  <w:tcW w:w="783" w:type="pct"/>
                  <w:tcBorders>
                    <w:tl2br w:val="nil"/>
                    <w:tr2bl w:val="nil"/>
                  </w:tcBorders>
                  <w:shd w:val="clear" w:color="auto" w:fill="auto"/>
                  <w:noWrap w:val="0"/>
                  <w:vAlign w:val="center"/>
                </w:tcPr>
                <w:p w14:paraId="1E2D7EFA">
                  <w:pPr>
                    <w:shd w:val="clear" w:color="auto" w:fill="auto"/>
                    <w:bidi w:val="0"/>
                    <w:jc w:val="center"/>
                    <w:rPr>
                      <w:rFonts w:hint="default"/>
                      <w:color w:val="000000"/>
                      <w:highlight w:val="none"/>
                      <w:lang w:val="en-US" w:eastAsia="zh-CN"/>
                    </w:rPr>
                  </w:pPr>
                  <w:r>
                    <w:rPr>
                      <w:rFonts w:hint="eastAsia"/>
                      <w:color w:val="000000"/>
                      <w:highlight w:val="none"/>
                      <w:lang w:val="en-US" w:eastAsia="zh-CN"/>
                    </w:rPr>
                    <w:t>生活用水</w:t>
                  </w:r>
                </w:p>
              </w:tc>
              <w:tc>
                <w:tcPr>
                  <w:tcW w:w="547" w:type="pct"/>
                  <w:tcBorders>
                    <w:tl2br w:val="nil"/>
                    <w:tr2bl w:val="nil"/>
                  </w:tcBorders>
                  <w:shd w:val="clear" w:color="auto" w:fill="auto"/>
                  <w:noWrap w:val="0"/>
                  <w:vAlign w:val="center"/>
                </w:tcPr>
                <w:p w14:paraId="4E3854D7">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630</w:t>
                  </w:r>
                </w:p>
              </w:tc>
              <w:tc>
                <w:tcPr>
                  <w:tcW w:w="409" w:type="pct"/>
                  <w:tcBorders>
                    <w:tl2br w:val="nil"/>
                    <w:tr2bl w:val="nil"/>
                  </w:tcBorders>
                  <w:shd w:val="clear" w:color="auto" w:fill="auto"/>
                  <w:noWrap w:val="0"/>
                  <w:vAlign w:val="center"/>
                </w:tcPr>
                <w:p w14:paraId="1BFD3901">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p>
              </w:tc>
              <w:tc>
                <w:tcPr>
                  <w:tcW w:w="478" w:type="pct"/>
                  <w:tcBorders>
                    <w:tl2br w:val="nil"/>
                    <w:tr2bl w:val="nil"/>
                  </w:tcBorders>
                  <w:shd w:val="clear" w:color="auto" w:fill="auto"/>
                  <w:noWrap w:val="0"/>
                  <w:vAlign w:val="center"/>
                </w:tcPr>
                <w:p w14:paraId="7C98402F">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p>
              </w:tc>
              <w:tc>
                <w:tcPr>
                  <w:tcW w:w="419" w:type="pct"/>
                  <w:tcBorders>
                    <w:tl2br w:val="nil"/>
                    <w:tr2bl w:val="nil"/>
                  </w:tcBorders>
                  <w:shd w:val="clear" w:color="auto" w:fill="auto"/>
                  <w:noWrap w:val="0"/>
                  <w:vAlign w:val="center"/>
                </w:tcPr>
                <w:p w14:paraId="400DDA85">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p>
              </w:tc>
              <w:tc>
                <w:tcPr>
                  <w:tcW w:w="496" w:type="pct"/>
                  <w:tcBorders>
                    <w:tl2br w:val="nil"/>
                    <w:tr2bl w:val="nil"/>
                  </w:tcBorders>
                  <w:shd w:val="clear" w:color="auto" w:fill="auto"/>
                  <w:noWrap w:val="0"/>
                  <w:vAlign w:val="center"/>
                </w:tcPr>
                <w:p w14:paraId="3FE06EAA">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p>
              </w:tc>
              <w:tc>
                <w:tcPr>
                  <w:tcW w:w="502" w:type="pct"/>
                  <w:tcBorders>
                    <w:tl2br w:val="nil"/>
                    <w:tr2bl w:val="nil"/>
                  </w:tcBorders>
                  <w:shd w:val="clear" w:color="auto" w:fill="auto"/>
                  <w:noWrap w:val="0"/>
                  <w:vAlign w:val="center"/>
                </w:tcPr>
                <w:p w14:paraId="183C40D6">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sz w:val="21"/>
                      <w:szCs w:val="21"/>
                      <w:highlight w:val="none"/>
                      <w:lang w:val="en-US" w:eastAsia="zh-CN"/>
                    </w:rPr>
                    <w:t>126</w:t>
                  </w:r>
                </w:p>
              </w:tc>
              <w:tc>
                <w:tcPr>
                  <w:tcW w:w="497" w:type="pct"/>
                  <w:tcBorders>
                    <w:tl2br w:val="nil"/>
                    <w:tr2bl w:val="nil"/>
                  </w:tcBorders>
                  <w:shd w:val="clear" w:color="auto" w:fill="auto"/>
                  <w:noWrap w:val="0"/>
                  <w:vAlign w:val="center"/>
                </w:tcPr>
                <w:p w14:paraId="77CA75F0">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w:t>
                  </w:r>
                </w:p>
              </w:tc>
              <w:tc>
                <w:tcPr>
                  <w:tcW w:w="519" w:type="pct"/>
                  <w:tcBorders>
                    <w:tl2br w:val="nil"/>
                    <w:tr2bl w:val="nil"/>
                  </w:tcBorders>
                  <w:shd w:val="clear" w:color="auto" w:fill="auto"/>
                  <w:noWrap w:val="0"/>
                  <w:vAlign w:val="center"/>
                </w:tcPr>
                <w:p w14:paraId="71A4580B">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504</w:t>
                  </w:r>
                </w:p>
              </w:tc>
            </w:tr>
            <w:tr w14:paraId="79F7C0F0">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shd w:val="clear" w:color="auto" w:fill="auto"/>
                <w:tblCellMar>
                  <w:top w:w="0" w:type="dxa"/>
                  <w:left w:w="108" w:type="dxa"/>
                  <w:bottom w:w="0" w:type="dxa"/>
                  <w:right w:w="108" w:type="dxa"/>
                </w:tblCellMar>
              </w:tblPrEx>
              <w:trPr>
                <w:trHeight w:val="340" w:hRule="atLeast"/>
              </w:trPr>
              <w:tc>
                <w:tcPr>
                  <w:tcW w:w="345" w:type="pct"/>
                  <w:tcBorders>
                    <w:tl2br w:val="nil"/>
                    <w:tr2bl w:val="nil"/>
                  </w:tcBorders>
                  <w:shd w:val="clear" w:color="auto" w:fill="auto"/>
                  <w:noWrap w:val="0"/>
                  <w:vAlign w:val="center"/>
                </w:tcPr>
                <w:p w14:paraId="1CF1D106">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w:t>
                  </w:r>
                </w:p>
              </w:tc>
              <w:tc>
                <w:tcPr>
                  <w:tcW w:w="783" w:type="pct"/>
                  <w:tcBorders>
                    <w:tl2br w:val="nil"/>
                    <w:tr2bl w:val="nil"/>
                  </w:tcBorders>
                  <w:shd w:val="clear" w:color="auto" w:fill="auto"/>
                  <w:noWrap w:val="0"/>
                  <w:vAlign w:val="center"/>
                </w:tcPr>
                <w:p w14:paraId="7CDAA4ED">
                  <w:pPr>
                    <w:shd w:val="clear" w:color="auto" w:fill="auto"/>
                    <w:bidi w:val="0"/>
                    <w:jc w:val="center"/>
                    <w:rPr>
                      <w:rFonts w:hint="default"/>
                      <w:color w:val="000000"/>
                      <w:highlight w:val="none"/>
                      <w:lang w:val="en-US" w:eastAsia="zh-CN"/>
                    </w:rPr>
                  </w:pPr>
                  <w:r>
                    <w:rPr>
                      <w:rFonts w:hint="eastAsia"/>
                      <w:color w:val="000000"/>
                      <w:highlight w:val="none"/>
                      <w:lang w:val="en-US" w:eastAsia="zh-CN"/>
                    </w:rPr>
                    <w:t>润粮用水</w:t>
                  </w:r>
                </w:p>
              </w:tc>
              <w:tc>
                <w:tcPr>
                  <w:tcW w:w="547" w:type="pct"/>
                  <w:tcBorders>
                    <w:tl2br w:val="nil"/>
                    <w:tr2bl w:val="nil"/>
                  </w:tcBorders>
                  <w:shd w:val="clear" w:color="auto" w:fill="auto"/>
                  <w:noWrap w:val="0"/>
                  <w:vAlign w:val="center"/>
                </w:tcPr>
                <w:p w14:paraId="6981556D">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825</w:t>
                  </w:r>
                </w:p>
              </w:tc>
              <w:tc>
                <w:tcPr>
                  <w:tcW w:w="409" w:type="pct"/>
                  <w:tcBorders>
                    <w:tl2br w:val="nil"/>
                    <w:tr2bl w:val="nil"/>
                  </w:tcBorders>
                  <w:shd w:val="clear" w:color="auto" w:fill="auto"/>
                  <w:noWrap w:val="0"/>
                  <w:vAlign w:val="center"/>
                </w:tcPr>
                <w:p w14:paraId="5F305F4A">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p>
              </w:tc>
              <w:tc>
                <w:tcPr>
                  <w:tcW w:w="478" w:type="pct"/>
                  <w:tcBorders>
                    <w:tl2br w:val="nil"/>
                    <w:tr2bl w:val="nil"/>
                  </w:tcBorders>
                  <w:shd w:val="clear" w:color="auto" w:fill="auto"/>
                  <w:noWrap w:val="0"/>
                  <w:vAlign w:val="center"/>
                </w:tcPr>
                <w:p w14:paraId="3552F250">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p>
              </w:tc>
              <w:tc>
                <w:tcPr>
                  <w:tcW w:w="419" w:type="pct"/>
                  <w:tcBorders>
                    <w:tl2br w:val="nil"/>
                    <w:tr2bl w:val="nil"/>
                  </w:tcBorders>
                  <w:shd w:val="clear" w:color="auto" w:fill="auto"/>
                  <w:noWrap w:val="0"/>
                  <w:vAlign w:val="center"/>
                </w:tcPr>
                <w:p w14:paraId="0BE2B39F">
                  <w:pPr>
                    <w:shd w:val="clear" w:color="auto" w:fill="auto"/>
                    <w:adjustRightInd w:val="0"/>
                    <w:snapToGrid w:val="0"/>
                    <w:spacing w:line="240" w:lineRule="auto"/>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p>
              </w:tc>
              <w:tc>
                <w:tcPr>
                  <w:tcW w:w="496" w:type="pct"/>
                  <w:tcBorders>
                    <w:tl2br w:val="nil"/>
                    <w:tr2bl w:val="nil"/>
                  </w:tcBorders>
                  <w:shd w:val="clear" w:color="auto" w:fill="auto"/>
                  <w:noWrap w:val="0"/>
                  <w:vAlign w:val="center"/>
                </w:tcPr>
                <w:p w14:paraId="1A36D0BE">
                  <w:pPr>
                    <w:shd w:val="clear" w:color="auto" w:fill="auto"/>
                    <w:adjustRightInd w:val="0"/>
                    <w:snapToGrid w:val="0"/>
                    <w:spacing w:line="240" w:lineRule="auto"/>
                    <w:jc w:val="center"/>
                    <w:rPr>
                      <w:rFonts w:hint="eastAsia" w:cs="Times New Roman"/>
                      <w:color w:val="000000"/>
                      <w:sz w:val="21"/>
                      <w:szCs w:val="21"/>
                      <w:highlight w:val="none"/>
                      <w:lang w:val="en-US" w:eastAsia="zh-CN"/>
                    </w:rPr>
                  </w:pPr>
                  <w:r>
                    <w:rPr>
                      <w:rFonts w:hint="eastAsia" w:cs="Times New Roman"/>
                      <w:color w:val="000000"/>
                      <w:sz w:val="21"/>
                      <w:szCs w:val="21"/>
                      <w:highlight w:val="none"/>
                      <w:lang w:val="en-US" w:eastAsia="zh-CN"/>
                    </w:rPr>
                    <w:t>/</w:t>
                  </w:r>
                </w:p>
              </w:tc>
              <w:tc>
                <w:tcPr>
                  <w:tcW w:w="502" w:type="pct"/>
                  <w:tcBorders>
                    <w:tl2br w:val="nil"/>
                    <w:tr2bl w:val="nil"/>
                  </w:tcBorders>
                  <w:shd w:val="clear" w:color="auto" w:fill="auto"/>
                  <w:noWrap w:val="0"/>
                  <w:vAlign w:val="center"/>
                </w:tcPr>
                <w:p w14:paraId="15281062">
                  <w:pPr>
                    <w:shd w:val="clear" w:color="auto" w:fill="auto"/>
                    <w:adjustRightInd w:val="0"/>
                    <w:snapToGrid w:val="0"/>
                    <w:spacing w:line="240" w:lineRule="auto"/>
                    <w:jc w:val="center"/>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75</w:t>
                  </w:r>
                </w:p>
              </w:tc>
              <w:tc>
                <w:tcPr>
                  <w:tcW w:w="497" w:type="pct"/>
                  <w:tcBorders>
                    <w:tl2br w:val="nil"/>
                    <w:tr2bl w:val="nil"/>
                  </w:tcBorders>
                  <w:shd w:val="clear" w:color="auto" w:fill="auto"/>
                  <w:noWrap w:val="0"/>
                  <w:vAlign w:val="center"/>
                </w:tcPr>
                <w:p w14:paraId="0CBADED3">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210</w:t>
                  </w:r>
                </w:p>
              </w:tc>
              <w:tc>
                <w:tcPr>
                  <w:tcW w:w="519" w:type="pct"/>
                  <w:tcBorders>
                    <w:tl2br w:val="nil"/>
                    <w:tr2bl w:val="nil"/>
                  </w:tcBorders>
                  <w:shd w:val="clear" w:color="auto" w:fill="auto"/>
                  <w:noWrap w:val="0"/>
                  <w:vAlign w:val="center"/>
                </w:tcPr>
                <w:p w14:paraId="3678B67D">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840</w:t>
                  </w:r>
                </w:p>
              </w:tc>
            </w:tr>
            <w:tr w14:paraId="05D06BEB">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shd w:val="clear" w:color="auto" w:fill="auto"/>
                <w:tblCellMar>
                  <w:top w:w="0" w:type="dxa"/>
                  <w:left w:w="108" w:type="dxa"/>
                  <w:bottom w:w="0" w:type="dxa"/>
                  <w:right w:w="108" w:type="dxa"/>
                </w:tblCellMar>
              </w:tblPrEx>
              <w:trPr>
                <w:trHeight w:val="340" w:hRule="atLeast"/>
              </w:trPr>
              <w:tc>
                <w:tcPr>
                  <w:tcW w:w="345" w:type="pct"/>
                  <w:tcBorders>
                    <w:tl2br w:val="nil"/>
                    <w:tr2bl w:val="nil"/>
                  </w:tcBorders>
                  <w:shd w:val="clear" w:color="auto" w:fill="auto"/>
                  <w:noWrap w:val="0"/>
                  <w:vAlign w:val="center"/>
                </w:tcPr>
                <w:p w14:paraId="75B86EBA">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3</w:t>
                  </w:r>
                </w:p>
              </w:tc>
              <w:tc>
                <w:tcPr>
                  <w:tcW w:w="783" w:type="pct"/>
                  <w:tcBorders>
                    <w:tl2br w:val="nil"/>
                    <w:tr2bl w:val="nil"/>
                  </w:tcBorders>
                  <w:shd w:val="clear" w:color="auto" w:fill="auto"/>
                  <w:noWrap w:val="0"/>
                  <w:vAlign w:val="center"/>
                </w:tcPr>
                <w:p w14:paraId="612E6966">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highlight w:val="none"/>
                      <w:lang w:val="en-US" w:eastAsia="zh-CN"/>
                    </w:rPr>
                    <w:t>锅炉运行用水</w:t>
                  </w:r>
                </w:p>
              </w:tc>
              <w:tc>
                <w:tcPr>
                  <w:tcW w:w="547" w:type="pct"/>
                  <w:tcBorders>
                    <w:tl2br w:val="nil"/>
                    <w:tr2bl w:val="nil"/>
                  </w:tcBorders>
                  <w:shd w:val="clear" w:color="auto" w:fill="auto"/>
                  <w:noWrap w:val="0"/>
                  <w:vAlign w:val="center"/>
                </w:tcPr>
                <w:p w14:paraId="19587367">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bidi="ar-SA"/>
                    </w:rPr>
                    <w:t>/</w:t>
                  </w:r>
                </w:p>
              </w:tc>
              <w:tc>
                <w:tcPr>
                  <w:tcW w:w="409" w:type="pct"/>
                  <w:tcBorders>
                    <w:tl2br w:val="nil"/>
                    <w:tr2bl w:val="nil"/>
                  </w:tcBorders>
                  <w:shd w:val="clear" w:color="auto" w:fill="auto"/>
                  <w:noWrap w:val="0"/>
                  <w:vAlign w:val="center"/>
                </w:tcPr>
                <w:p w14:paraId="47FE2404">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p>
              </w:tc>
              <w:tc>
                <w:tcPr>
                  <w:tcW w:w="478" w:type="pct"/>
                  <w:tcBorders>
                    <w:tl2br w:val="nil"/>
                    <w:tr2bl w:val="nil"/>
                  </w:tcBorders>
                  <w:shd w:val="clear" w:color="auto" w:fill="auto"/>
                  <w:noWrap w:val="0"/>
                  <w:vAlign w:val="center"/>
                </w:tcPr>
                <w:p w14:paraId="0F861255">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p>
              </w:tc>
              <w:tc>
                <w:tcPr>
                  <w:tcW w:w="419" w:type="pct"/>
                  <w:tcBorders>
                    <w:tl2br w:val="nil"/>
                    <w:tr2bl w:val="nil"/>
                  </w:tcBorders>
                  <w:shd w:val="clear" w:color="auto" w:fill="auto"/>
                  <w:noWrap w:val="0"/>
                  <w:vAlign w:val="center"/>
                </w:tcPr>
                <w:p w14:paraId="4E48E4D0">
                  <w:pPr>
                    <w:shd w:val="clear" w:color="auto" w:fill="auto"/>
                    <w:adjustRightInd w:val="0"/>
                    <w:snapToGrid w:val="0"/>
                    <w:spacing w:line="240" w:lineRule="auto"/>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p>
              </w:tc>
              <w:tc>
                <w:tcPr>
                  <w:tcW w:w="496" w:type="pct"/>
                  <w:tcBorders>
                    <w:tl2br w:val="nil"/>
                    <w:tr2bl w:val="nil"/>
                  </w:tcBorders>
                  <w:shd w:val="clear" w:color="auto" w:fill="auto"/>
                  <w:noWrap w:val="0"/>
                  <w:vAlign w:val="center"/>
                </w:tcPr>
                <w:p w14:paraId="7C2C9DE1">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4667</w:t>
                  </w:r>
                </w:p>
              </w:tc>
              <w:tc>
                <w:tcPr>
                  <w:tcW w:w="502" w:type="pct"/>
                  <w:tcBorders>
                    <w:tl2br w:val="nil"/>
                    <w:tr2bl w:val="nil"/>
                  </w:tcBorders>
                  <w:shd w:val="clear" w:color="auto" w:fill="auto"/>
                  <w:noWrap w:val="0"/>
                  <w:vAlign w:val="center"/>
                </w:tcPr>
                <w:p w14:paraId="440A02DB">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4200</w:t>
                  </w:r>
                </w:p>
              </w:tc>
              <w:tc>
                <w:tcPr>
                  <w:tcW w:w="497" w:type="pct"/>
                  <w:tcBorders>
                    <w:tl2br w:val="nil"/>
                    <w:tr2bl w:val="nil"/>
                  </w:tcBorders>
                  <w:shd w:val="clear" w:color="auto" w:fill="auto"/>
                  <w:noWrap w:val="0"/>
                  <w:vAlign w:val="center"/>
                </w:tcPr>
                <w:p w14:paraId="0495C89C">
                  <w:pPr>
                    <w:shd w:val="clear" w:color="auto" w:fill="auto"/>
                    <w:adjustRightInd w:val="0"/>
                    <w:snapToGrid w:val="0"/>
                    <w:spacing w:line="240" w:lineRule="auto"/>
                    <w:jc w:val="center"/>
                    <w:rPr>
                      <w:rFonts w:hint="default" w:ascii="Times New Roman" w:hAnsi="Times New Roman" w:cs="Times New Roman"/>
                      <w:color w:val="000000"/>
                      <w:highlight w:val="none"/>
                      <w:lang w:val="en-US" w:eastAsia="zh-CN"/>
                    </w:rPr>
                  </w:pPr>
                  <w:r>
                    <w:rPr>
                      <w:rFonts w:hint="eastAsia" w:ascii="Times New Roman" w:hAnsi="Times New Roman" w:eastAsia="宋体" w:cs="Times New Roman"/>
                      <w:color w:val="000000"/>
                      <w:kern w:val="2"/>
                      <w:sz w:val="21"/>
                      <w:szCs w:val="21"/>
                      <w:highlight w:val="none"/>
                      <w:lang w:val="en-US" w:eastAsia="zh-CN" w:bidi="ar-SA"/>
                    </w:rPr>
                    <w:t>/</w:t>
                  </w:r>
                </w:p>
              </w:tc>
              <w:tc>
                <w:tcPr>
                  <w:tcW w:w="519" w:type="pct"/>
                  <w:tcBorders>
                    <w:tl2br w:val="nil"/>
                    <w:tr2bl w:val="nil"/>
                  </w:tcBorders>
                  <w:shd w:val="clear" w:color="auto" w:fill="auto"/>
                  <w:noWrap w:val="0"/>
                  <w:vAlign w:val="center"/>
                </w:tcPr>
                <w:p w14:paraId="3F128DB6">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467</w:t>
                  </w:r>
                </w:p>
              </w:tc>
            </w:tr>
            <w:tr w14:paraId="7CDB8FAB">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shd w:val="clear" w:color="auto" w:fill="auto"/>
                <w:tblCellMar>
                  <w:top w:w="0" w:type="dxa"/>
                  <w:left w:w="108" w:type="dxa"/>
                  <w:bottom w:w="0" w:type="dxa"/>
                  <w:right w:w="108" w:type="dxa"/>
                </w:tblCellMar>
              </w:tblPrEx>
              <w:trPr>
                <w:trHeight w:val="340" w:hRule="atLeast"/>
              </w:trPr>
              <w:tc>
                <w:tcPr>
                  <w:tcW w:w="345" w:type="pct"/>
                  <w:tcBorders>
                    <w:tl2br w:val="nil"/>
                    <w:tr2bl w:val="nil"/>
                  </w:tcBorders>
                  <w:shd w:val="clear" w:color="auto" w:fill="auto"/>
                  <w:noWrap w:val="0"/>
                  <w:vAlign w:val="center"/>
                </w:tcPr>
                <w:p w14:paraId="7C0BAFBA">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w:t>
                  </w:r>
                </w:p>
              </w:tc>
              <w:tc>
                <w:tcPr>
                  <w:tcW w:w="783" w:type="pct"/>
                  <w:tcBorders>
                    <w:tl2br w:val="nil"/>
                    <w:tr2bl w:val="nil"/>
                  </w:tcBorders>
                  <w:shd w:val="clear" w:color="auto" w:fill="auto"/>
                  <w:noWrap w:val="0"/>
                  <w:vAlign w:val="center"/>
                </w:tcPr>
                <w:p w14:paraId="62BDBAA7">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锅炉清洗用水</w:t>
                  </w:r>
                </w:p>
              </w:tc>
              <w:tc>
                <w:tcPr>
                  <w:tcW w:w="547" w:type="pct"/>
                  <w:tcBorders>
                    <w:tl2br w:val="nil"/>
                    <w:tr2bl w:val="nil"/>
                  </w:tcBorders>
                  <w:shd w:val="clear" w:color="auto" w:fill="auto"/>
                  <w:noWrap w:val="0"/>
                  <w:vAlign w:val="center"/>
                </w:tcPr>
                <w:p w14:paraId="0018BC8F">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10</w:t>
                  </w:r>
                </w:p>
              </w:tc>
              <w:tc>
                <w:tcPr>
                  <w:tcW w:w="409" w:type="pct"/>
                  <w:tcBorders>
                    <w:tl2br w:val="nil"/>
                    <w:tr2bl w:val="nil"/>
                  </w:tcBorders>
                  <w:shd w:val="clear" w:color="auto" w:fill="auto"/>
                  <w:noWrap w:val="0"/>
                  <w:vAlign w:val="center"/>
                </w:tcPr>
                <w:p w14:paraId="2A964C5C">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p>
              </w:tc>
              <w:tc>
                <w:tcPr>
                  <w:tcW w:w="478" w:type="pct"/>
                  <w:tcBorders>
                    <w:tl2br w:val="nil"/>
                    <w:tr2bl w:val="nil"/>
                  </w:tcBorders>
                  <w:shd w:val="clear" w:color="auto" w:fill="auto"/>
                  <w:noWrap w:val="0"/>
                  <w:vAlign w:val="center"/>
                </w:tcPr>
                <w:p w14:paraId="0305019F">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p>
              </w:tc>
              <w:tc>
                <w:tcPr>
                  <w:tcW w:w="419" w:type="pct"/>
                  <w:tcBorders>
                    <w:tl2br w:val="nil"/>
                    <w:tr2bl w:val="nil"/>
                  </w:tcBorders>
                  <w:shd w:val="clear" w:color="auto" w:fill="auto"/>
                  <w:noWrap w:val="0"/>
                  <w:vAlign w:val="center"/>
                </w:tcPr>
                <w:p w14:paraId="613359A9">
                  <w:pPr>
                    <w:shd w:val="clear" w:color="auto" w:fill="auto"/>
                    <w:adjustRightInd w:val="0"/>
                    <w:snapToGrid w:val="0"/>
                    <w:spacing w:line="240" w:lineRule="auto"/>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p>
              </w:tc>
              <w:tc>
                <w:tcPr>
                  <w:tcW w:w="496" w:type="pct"/>
                  <w:tcBorders>
                    <w:tl2br w:val="nil"/>
                    <w:tr2bl w:val="nil"/>
                  </w:tcBorders>
                  <w:shd w:val="clear" w:color="auto" w:fill="auto"/>
                  <w:noWrap w:val="0"/>
                  <w:vAlign w:val="center"/>
                </w:tcPr>
                <w:p w14:paraId="3B8069C2">
                  <w:pPr>
                    <w:shd w:val="clear" w:color="auto" w:fill="auto"/>
                    <w:adjustRightInd w:val="0"/>
                    <w:snapToGrid w:val="0"/>
                    <w:spacing w:line="240" w:lineRule="auto"/>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p>
              </w:tc>
              <w:tc>
                <w:tcPr>
                  <w:tcW w:w="502" w:type="pct"/>
                  <w:tcBorders>
                    <w:tl2br w:val="nil"/>
                    <w:tr2bl w:val="nil"/>
                  </w:tcBorders>
                  <w:shd w:val="clear" w:color="auto" w:fill="auto"/>
                  <w:noWrap w:val="0"/>
                  <w:vAlign w:val="center"/>
                </w:tcPr>
                <w:p w14:paraId="0261265E">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2</w:t>
                  </w:r>
                </w:p>
              </w:tc>
              <w:tc>
                <w:tcPr>
                  <w:tcW w:w="497" w:type="pct"/>
                  <w:tcBorders>
                    <w:tl2br w:val="nil"/>
                    <w:tr2bl w:val="nil"/>
                  </w:tcBorders>
                  <w:shd w:val="clear" w:color="auto" w:fill="auto"/>
                  <w:noWrap w:val="0"/>
                  <w:vAlign w:val="center"/>
                </w:tcPr>
                <w:p w14:paraId="05D867F9">
                  <w:pPr>
                    <w:shd w:val="clear" w:color="auto" w:fill="auto"/>
                    <w:adjustRightInd w:val="0"/>
                    <w:snapToGrid w:val="0"/>
                    <w:spacing w:line="240" w:lineRule="auto"/>
                    <w:jc w:val="center"/>
                    <w:rPr>
                      <w:rFonts w:hint="default" w:ascii="Times New Roman" w:hAnsi="Times New Roman" w:cs="Times New Roman"/>
                      <w:color w:val="000000"/>
                      <w:highlight w:val="none"/>
                      <w:lang w:val="en-US" w:eastAsia="zh-CN"/>
                    </w:rPr>
                  </w:pPr>
                  <w:r>
                    <w:rPr>
                      <w:rFonts w:hint="eastAsia" w:ascii="Times New Roman" w:hAnsi="Times New Roman" w:eastAsia="宋体" w:cs="Times New Roman"/>
                      <w:color w:val="000000"/>
                      <w:kern w:val="2"/>
                      <w:sz w:val="21"/>
                      <w:szCs w:val="21"/>
                      <w:highlight w:val="none"/>
                      <w:lang w:val="en-US" w:eastAsia="zh-CN" w:bidi="ar-SA"/>
                    </w:rPr>
                    <w:t>/</w:t>
                  </w:r>
                </w:p>
              </w:tc>
              <w:tc>
                <w:tcPr>
                  <w:tcW w:w="519" w:type="pct"/>
                  <w:tcBorders>
                    <w:tl2br w:val="nil"/>
                    <w:tr2bl w:val="nil"/>
                  </w:tcBorders>
                  <w:shd w:val="clear" w:color="auto" w:fill="auto"/>
                  <w:noWrap w:val="0"/>
                  <w:vAlign w:val="center"/>
                </w:tcPr>
                <w:p w14:paraId="2223CA65">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8</w:t>
                  </w:r>
                </w:p>
              </w:tc>
            </w:tr>
            <w:tr w14:paraId="54882FEE">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shd w:val="clear" w:color="auto" w:fill="auto"/>
                <w:tblCellMar>
                  <w:top w:w="0" w:type="dxa"/>
                  <w:left w:w="108" w:type="dxa"/>
                  <w:bottom w:w="0" w:type="dxa"/>
                  <w:right w:w="108" w:type="dxa"/>
                </w:tblCellMar>
              </w:tblPrEx>
              <w:trPr>
                <w:trHeight w:val="340" w:hRule="atLeast"/>
              </w:trPr>
              <w:tc>
                <w:tcPr>
                  <w:tcW w:w="345" w:type="pct"/>
                  <w:tcBorders>
                    <w:tl2br w:val="nil"/>
                    <w:tr2bl w:val="nil"/>
                  </w:tcBorders>
                  <w:shd w:val="clear" w:color="auto" w:fill="auto"/>
                  <w:noWrap w:val="0"/>
                  <w:vAlign w:val="center"/>
                </w:tcPr>
                <w:p w14:paraId="6D0516CC">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5</w:t>
                  </w:r>
                </w:p>
              </w:tc>
              <w:tc>
                <w:tcPr>
                  <w:tcW w:w="783" w:type="pct"/>
                  <w:tcBorders>
                    <w:tl2br w:val="nil"/>
                    <w:tr2bl w:val="nil"/>
                  </w:tcBorders>
                  <w:shd w:val="clear" w:color="auto" w:fill="auto"/>
                  <w:noWrap w:val="0"/>
                  <w:vAlign w:val="center"/>
                </w:tcPr>
                <w:p w14:paraId="754060B0">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软水制备用水</w:t>
                  </w:r>
                </w:p>
              </w:tc>
              <w:tc>
                <w:tcPr>
                  <w:tcW w:w="547" w:type="pct"/>
                  <w:tcBorders>
                    <w:tl2br w:val="nil"/>
                    <w:tr2bl w:val="nil"/>
                  </w:tcBorders>
                  <w:shd w:val="clear" w:color="auto" w:fill="auto"/>
                  <w:noWrap w:val="0"/>
                  <w:vAlign w:val="center"/>
                </w:tcPr>
                <w:p w14:paraId="6B9BD441">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5207.8</w:t>
                  </w:r>
                </w:p>
              </w:tc>
              <w:tc>
                <w:tcPr>
                  <w:tcW w:w="409" w:type="pct"/>
                  <w:tcBorders>
                    <w:tl2br w:val="nil"/>
                    <w:tr2bl w:val="nil"/>
                  </w:tcBorders>
                  <w:shd w:val="clear" w:color="auto" w:fill="auto"/>
                  <w:noWrap w:val="0"/>
                  <w:vAlign w:val="center"/>
                </w:tcPr>
                <w:p w14:paraId="13DA1590">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p>
              </w:tc>
              <w:tc>
                <w:tcPr>
                  <w:tcW w:w="478" w:type="pct"/>
                  <w:tcBorders>
                    <w:tl2br w:val="nil"/>
                    <w:tr2bl w:val="nil"/>
                  </w:tcBorders>
                  <w:shd w:val="clear" w:color="auto" w:fill="auto"/>
                  <w:noWrap w:val="0"/>
                  <w:vAlign w:val="center"/>
                </w:tcPr>
                <w:p w14:paraId="0239080F">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p>
              </w:tc>
              <w:tc>
                <w:tcPr>
                  <w:tcW w:w="419" w:type="pct"/>
                  <w:tcBorders>
                    <w:tl2br w:val="nil"/>
                    <w:tr2bl w:val="nil"/>
                  </w:tcBorders>
                  <w:shd w:val="clear" w:color="auto" w:fill="auto"/>
                  <w:noWrap w:val="0"/>
                  <w:vAlign w:val="center"/>
                </w:tcPr>
                <w:p w14:paraId="64CD4A6E">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4687</w:t>
                  </w:r>
                </w:p>
              </w:tc>
              <w:tc>
                <w:tcPr>
                  <w:tcW w:w="496" w:type="pct"/>
                  <w:tcBorders>
                    <w:tl2br w:val="nil"/>
                    <w:tr2bl w:val="nil"/>
                  </w:tcBorders>
                  <w:shd w:val="clear" w:color="auto" w:fill="auto"/>
                  <w:noWrap w:val="0"/>
                  <w:vAlign w:val="center"/>
                </w:tcPr>
                <w:p w14:paraId="30805166">
                  <w:pPr>
                    <w:shd w:val="clear" w:color="auto" w:fill="auto"/>
                    <w:adjustRightInd w:val="0"/>
                    <w:snapToGrid w:val="0"/>
                    <w:spacing w:line="240" w:lineRule="auto"/>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p>
              </w:tc>
              <w:tc>
                <w:tcPr>
                  <w:tcW w:w="502" w:type="pct"/>
                  <w:tcBorders>
                    <w:tl2br w:val="nil"/>
                    <w:tr2bl w:val="nil"/>
                  </w:tcBorders>
                  <w:shd w:val="clear" w:color="auto" w:fill="auto"/>
                  <w:noWrap w:val="0"/>
                  <w:vAlign w:val="center"/>
                </w:tcPr>
                <w:p w14:paraId="78093D79">
                  <w:pPr>
                    <w:shd w:val="clear" w:color="auto" w:fill="auto"/>
                    <w:adjustRightInd w:val="0"/>
                    <w:snapToGrid w:val="0"/>
                    <w:spacing w:line="240" w:lineRule="auto"/>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p>
              </w:tc>
              <w:tc>
                <w:tcPr>
                  <w:tcW w:w="497" w:type="pct"/>
                  <w:tcBorders>
                    <w:tl2br w:val="nil"/>
                    <w:tr2bl w:val="nil"/>
                  </w:tcBorders>
                  <w:shd w:val="clear" w:color="auto" w:fill="auto"/>
                  <w:noWrap w:val="0"/>
                  <w:vAlign w:val="center"/>
                </w:tcPr>
                <w:p w14:paraId="0ED4AC8E">
                  <w:pPr>
                    <w:shd w:val="clear" w:color="auto" w:fill="auto"/>
                    <w:adjustRightInd w:val="0"/>
                    <w:snapToGrid w:val="0"/>
                    <w:spacing w:line="240" w:lineRule="auto"/>
                    <w:jc w:val="center"/>
                    <w:rPr>
                      <w:rFonts w:hint="default" w:ascii="Times New Roman" w:hAnsi="Times New Roman" w:cs="Times New Roman"/>
                      <w:color w:val="000000"/>
                      <w:highlight w:val="none"/>
                      <w:lang w:val="en-US" w:eastAsia="zh-CN"/>
                    </w:rPr>
                  </w:pPr>
                  <w:r>
                    <w:rPr>
                      <w:rFonts w:hint="eastAsia" w:ascii="Times New Roman" w:hAnsi="Times New Roman" w:eastAsia="宋体" w:cs="Times New Roman"/>
                      <w:color w:val="000000"/>
                      <w:kern w:val="2"/>
                      <w:sz w:val="21"/>
                      <w:szCs w:val="21"/>
                      <w:highlight w:val="none"/>
                      <w:lang w:val="en-US" w:eastAsia="zh-CN" w:bidi="ar-SA"/>
                    </w:rPr>
                    <w:t>/</w:t>
                  </w:r>
                </w:p>
              </w:tc>
              <w:tc>
                <w:tcPr>
                  <w:tcW w:w="519" w:type="pct"/>
                  <w:tcBorders>
                    <w:tl2br w:val="nil"/>
                    <w:tr2bl w:val="nil"/>
                  </w:tcBorders>
                  <w:shd w:val="clear" w:color="auto" w:fill="auto"/>
                  <w:noWrap w:val="0"/>
                  <w:vAlign w:val="center"/>
                </w:tcPr>
                <w:p w14:paraId="0A5848B2">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520.8</w:t>
                  </w:r>
                </w:p>
              </w:tc>
            </w:tr>
            <w:tr w14:paraId="01AD1C6D">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shd w:val="clear" w:color="auto" w:fill="auto"/>
                <w:tblCellMar>
                  <w:top w:w="0" w:type="dxa"/>
                  <w:left w:w="108" w:type="dxa"/>
                  <w:bottom w:w="0" w:type="dxa"/>
                  <w:right w:w="108" w:type="dxa"/>
                </w:tblCellMar>
              </w:tblPrEx>
              <w:trPr>
                <w:trHeight w:val="340" w:hRule="atLeast"/>
              </w:trPr>
              <w:tc>
                <w:tcPr>
                  <w:tcW w:w="345" w:type="pct"/>
                  <w:tcBorders>
                    <w:tl2br w:val="nil"/>
                    <w:tr2bl w:val="nil"/>
                  </w:tcBorders>
                  <w:shd w:val="clear" w:color="auto" w:fill="auto"/>
                  <w:noWrap w:val="0"/>
                  <w:vAlign w:val="center"/>
                </w:tcPr>
                <w:p w14:paraId="016045EA">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6</w:t>
                  </w:r>
                </w:p>
              </w:tc>
              <w:tc>
                <w:tcPr>
                  <w:tcW w:w="783" w:type="pct"/>
                  <w:tcBorders>
                    <w:tl2br w:val="nil"/>
                    <w:tr2bl w:val="nil"/>
                  </w:tcBorders>
                  <w:shd w:val="clear" w:color="auto" w:fill="auto"/>
                  <w:noWrap w:val="0"/>
                  <w:vAlign w:val="center"/>
                </w:tcPr>
                <w:p w14:paraId="00C00A71">
                  <w:pPr>
                    <w:shd w:val="clear" w:color="auto" w:fill="auto"/>
                    <w:adjustRightInd w:val="0"/>
                    <w:snapToGrid w:val="0"/>
                    <w:spacing w:line="240" w:lineRule="auto"/>
                    <w:jc w:val="center"/>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软水制备反冲洗用水</w:t>
                  </w:r>
                </w:p>
              </w:tc>
              <w:tc>
                <w:tcPr>
                  <w:tcW w:w="547" w:type="pct"/>
                  <w:tcBorders>
                    <w:tl2br w:val="nil"/>
                    <w:tr2bl w:val="nil"/>
                  </w:tcBorders>
                  <w:shd w:val="clear" w:color="auto" w:fill="auto"/>
                  <w:noWrap w:val="0"/>
                  <w:vAlign w:val="center"/>
                </w:tcPr>
                <w:p w14:paraId="333B0059">
                  <w:pPr>
                    <w:shd w:val="clear" w:color="auto" w:fill="auto"/>
                    <w:adjustRightInd w:val="0"/>
                    <w:snapToGrid w:val="0"/>
                    <w:spacing w:line="240" w:lineRule="auto"/>
                    <w:jc w:val="center"/>
                    <w:rPr>
                      <w:rFonts w:hint="default" w:ascii="Times New Roman" w:hAnsi="Times New Roman" w:cs="Times New Roman"/>
                      <w:color w:val="000000"/>
                      <w:sz w:val="21"/>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bidi="ar-SA"/>
                    </w:rPr>
                    <w:t>/</w:t>
                  </w:r>
                </w:p>
              </w:tc>
              <w:tc>
                <w:tcPr>
                  <w:tcW w:w="409" w:type="pct"/>
                  <w:tcBorders>
                    <w:tl2br w:val="nil"/>
                    <w:tr2bl w:val="nil"/>
                  </w:tcBorders>
                  <w:shd w:val="clear" w:color="auto" w:fill="auto"/>
                  <w:noWrap w:val="0"/>
                  <w:vAlign w:val="center"/>
                </w:tcPr>
                <w:p w14:paraId="67154950">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p>
              </w:tc>
              <w:tc>
                <w:tcPr>
                  <w:tcW w:w="478" w:type="pct"/>
                  <w:tcBorders>
                    <w:tl2br w:val="nil"/>
                    <w:tr2bl w:val="nil"/>
                  </w:tcBorders>
                  <w:shd w:val="clear" w:color="auto" w:fill="auto"/>
                  <w:noWrap w:val="0"/>
                  <w:vAlign w:val="center"/>
                </w:tcPr>
                <w:p w14:paraId="3C40CD59">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p>
              </w:tc>
              <w:tc>
                <w:tcPr>
                  <w:tcW w:w="419" w:type="pct"/>
                  <w:tcBorders>
                    <w:tl2br w:val="nil"/>
                    <w:tr2bl w:val="nil"/>
                  </w:tcBorders>
                  <w:shd w:val="clear" w:color="auto" w:fill="auto"/>
                  <w:noWrap w:val="0"/>
                  <w:vAlign w:val="center"/>
                </w:tcPr>
                <w:p w14:paraId="4BC0D6F7">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p>
              </w:tc>
              <w:tc>
                <w:tcPr>
                  <w:tcW w:w="496" w:type="pct"/>
                  <w:tcBorders>
                    <w:tl2br w:val="nil"/>
                    <w:tr2bl w:val="nil"/>
                  </w:tcBorders>
                  <w:shd w:val="clear" w:color="auto" w:fill="auto"/>
                  <w:noWrap w:val="0"/>
                  <w:vAlign w:val="center"/>
                </w:tcPr>
                <w:p w14:paraId="6DE198A3">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20</w:t>
                  </w:r>
                </w:p>
              </w:tc>
              <w:tc>
                <w:tcPr>
                  <w:tcW w:w="502" w:type="pct"/>
                  <w:tcBorders>
                    <w:tl2br w:val="nil"/>
                    <w:tr2bl w:val="nil"/>
                  </w:tcBorders>
                  <w:shd w:val="clear" w:color="auto" w:fill="auto"/>
                  <w:noWrap w:val="0"/>
                  <w:vAlign w:val="center"/>
                </w:tcPr>
                <w:p w14:paraId="5788BCD1">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2</w:t>
                  </w:r>
                </w:p>
              </w:tc>
              <w:tc>
                <w:tcPr>
                  <w:tcW w:w="497" w:type="pct"/>
                  <w:tcBorders>
                    <w:tl2br w:val="nil"/>
                    <w:tr2bl w:val="nil"/>
                  </w:tcBorders>
                  <w:shd w:val="clear" w:color="auto" w:fill="auto"/>
                  <w:noWrap w:val="0"/>
                  <w:vAlign w:val="center"/>
                </w:tcPr>
                <w:p w14:paraId="029E0C62">
                  <w:pPr>
                    <w:shd w:val="clear" w:color="auto" w:fill="auto"/>
                    <w:adjustRightInd w:val="0"/>
                    <w:snapToGrid w:val="0"/>
                    <w:spacing w:line="240" w:lineRule="auto"/>
                    <w:jc w:val="center"/>
                    <w:rPr>
                      <w:rFonts w:hint="default" w:ascii="Times New Roman" w:hAnsi="Times New Roman" w:cs="Times New Roman"/>
                      <w:color w:val="000000"/>
                      <w:highlight w:val="none"/>
                      <w:lang w:val="en-US" w:eastAsia="zh-CN"/>
                    </w:rPr>
                  </w:pPr>
                  <w:r>
                    <w:rPr>
                      <w:rFonts w:hint="eastAsia" w:ascii="Times New Roman" w:hAnsi="Times New Roman" w:eastAsia="宋体" w:cs="Times New Roman"/>
                      <w:color w:val="000000"/>
                      <w:kern w:val="2"/>
                      <w:sz w:val="21"/>
                      <w:szCs w:val="21"/>
                      <w:highlight w:val="none"/>
                      <w:lang w:val="en-US" w:eastAsia="zh-CN" w:bidi="ar-SA"/>
                    </w:rPr>
                    <w:t>/</w:t>
                  </w:r>
                </w:p>
              </w:tc>
              <w:tc>
                <w:tcPr>
                  <w:tcW w:w="519" w:type="pct"/>
                  <w:tcBorders>
                    <w:tl2br w:val="nil"/>
                    <w:tr2bl w:val="nil"/>
                  </w:tcBorders>
                  <w:shd w:val="clear" w:color="auto" w:fill="auto"/>
                  <w:noWrap w:val="0"/>
                  <w:vAlign w:val="center"/>
                </w:tcPr>
                <w:p w14:paraId="71F0E914">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18</w:t>
                  </w:r>
                </w:p>
              </w:tc>
            </w:tr>
            <w:tr w14:paraId="26A607CF">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shd w:val="clear" w:color="auto" w:fill="auto"/>
                <w:tblCellMar>
                  <w:top w:w="0" w:type="dxa"/>
                  <w:left w:w="108" w:type="dxa"/>
                  <w:bottom w:w="0" w:type="dxa"/>
                  <w:right w:w="108" w:type="dxa"/>
                </w:tblCellMar>
              </w:tblPrEx>
              <w:trPr>
                <w:trHeight w:val="340" w:hRule="atLeast"/>
              </w:trPr>
              <w:tc>
                <w:tcPr>
                  <w:tcW w:w="345" w:type="pct"/>
                  <w:tcBorders>
                    <w:tl2br w:val="nil"/>
                    <w:tr2bl w:val="nil"/>
                  </w:tcBorders>
                  <w:shd w:val="clear" w:color="auto" w:fill="auto"/>
                  <w:noWrap w:val="0"/>
                  <w:vAlign w:val="center"/>
                </w:tcPr>
                <w:p w14:paraId="7E83A664">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7</w:t>
                  </w:r>
                </w:p>
              </w:tc>
              <w:tc>
                <w:tcPr>
                  <w:tcW w:w="783" w:type="pct"/>
                  <w:tcBorders>
                    <w:tl2br w:val="nil"/>
                    <w:tr2bl w:val="nil"/>
                  </w:tcBorders>
                  <w:shd w:val="clear" w:color="auto" w:fill="auto"/>
                  <w:noWrap w:val="0"/>
                  <w:vAlign w:val="center"/>
                </w:tcPr>
                <w:p w14:paraId="3A2AEBBC">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纯水制备用水</w:t>
                  </w:r>
                </w:p>
              </w:tc>
              <w:tc>
                <w:tcPr>
                  <w:tcW w:w="547" w:type="pct"/>
                  <w:tcBorders>
                    <w:tl2br w:val="nil"/>
                    <w:tr2bl w:val="nil"/>
                  </w:tcBorders>
                  <w:shd w:val="clear" w:color="auto" w:fill="auto"/>
                  <w:noWrap w:val="0"/>
                  <w:vAlign w:val="center"/>
                </w:tcPr>
                <w:p w14:paraId="79DFF1A7">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1187.51</w:t>
                  </w:r>
                </w:p>
              </w:tc>
              <w:tc>
                <w:tcPr>
                  <w:tcW w:w="409" w:type="pct"/>
                  <w:tcBorders>
                    <w:tl2br w:val="nil"/>
                    <w:tr2bl w:val="nil"/>
                  </w:tcBorders>
                  <w:shd w:val="clear" w:color="auto" w:fill="auto"/>
                  <w:noWrap w:val="0"/>
                  <w:vAlign w:val="center"/>
                </w:tcPr>
                <w:p w14:paraId="2B3CDE96">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831.26</w:t>
                  </w:r>
                </w:p>
              </w:tc>
              <w:tc>
                <w:tcPr>
                  <w:tcW w:w="478" w:type="pct"/>
                  <w:tcBorders>
                    <w:tl2br w:val="nil"/>
                    <w:tr2bl w:val="nil"/>
                  </w:tcBorders>
                  <w:shd w:val="clear" w:color="auto" w:fill="auto"/>
                  <w:noWrap w:val="0"/>
                  <w:vAlign w:val="center"/>
                </w:tcPr>
                <w:p w14:paraId="48110F27">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p>
              </w:tc>
              <w:tc>
                <w:tcPr>
                  <w:tcW w:w="419" w:type="pct"/>
                  <w:tcBorders>
                    <w:tl2br w:val="nil"/>
                    <w:tr2bl w:val="nil"/>
                  </w:tcBorders>
                  <w:shd w:val="clear" w:color="auto" w:fill="auto"/>
                  <w:noWrap w:val="0"/>
                  <w:vAlign w:val="center"/>
                </w:tcPr>
                <w:p w14:paraId="3C1DA58A">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p>
              </w:tc>
              <w:tc>
                <w:tcPr>
                  <w:tcW w:w="496" w:type="pct"/>
                  <w:tcBorders>
                    <w:tl2br w:val="nil"/>
                    <w:tr2bl w:val="nil"/>
                  </w:tcBorders>
                  <w:shd w:val="clear" w:color="auto" w:fill="auto"/>
                  <w:noWrap w:val="0"/>
                  <w:vAlign w:val="center"/>
                </w:tcPr>
                <w:p w14:paraId="460B72F4">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p>
              </w:tc>
              <w:tc>
                <w:tcPr>
                  <w:tcW w:w="502" w:type="pct"/>
                  <w:tcBorders>
                    <w:tl2br w:val="nil"/>
                    <w:tr2bl w:val="nil"/>
                  </w:tcBorders>
                  <w:shd w:val="clear" w:color="auto" w:fill="auto"/>
                  <w:noWrap w:val="0"/>
                  <w:vAlign w:val="center"/>
                </w:tcPr>
                <w:p w14:paraId="1FC4733F">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p>
              </w:tc>
              <w:tc>
                <w:tcPr>
                  <w:tcW w:w="497" w:type="pct"/>
                  <w:tcBorders>
                    <w:tl2br w:val="nil"/>
                    <w:tr2bl w:val="nil"/>
                  </w:tcBorders>
                  <w:shd w:val="clear" w:color="auto" w:fill="auto"/>
                  <w:noWrap w:val="0"/>
                  <w:vAlign w:val="center"/>
                </w:tcPr>
                <w:p w14:paraId="32B0604C">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p>
              </w:tc>
              <w:tc>
                <w:tcPr>
                  <w:tcW w:w="519" w:type="pct"/>
                  <w:tcBorders>
                    <w:tl2br w:val="nil"/>
                    <w:tr2bl w:val="nil"/>
                  </w:tcBorders>
                  <w:shd w:val="clear" w:color="auto" w:fill="auto"/>
                  <w:noWrap w:val="0"/>
                  <w:vAlign w:val="center"/>
                </w:tcPr>
                <w:p w14:paraId="1B58352B">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sz w:val="21"/>
                      <w:szCs w:val="21"/>
                      <w:highlight w:val="none"/>
                      <w:lang w:val="en-US" w:eastAsia="zh-CN"/>
                    </w:rPr>
                    <w:t>356.25</w:t>
                  </w:r>
                </w:p>
              </w:tc>
            </w:tr>
            <w:tr w14:paraId="05C59419">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shd w:val="clear" w:color="auto" w:fill="auto"/>
                <w:tblCellMar>
                  <w:top w:w="0" w:type="dxa"/>
                  <w:left w:w="108" w:type="dxa"/>
                  <w:bottom w:w="0" w:type="dxa"/>
                  <w:right w:w="108" w:type="dxa"/>
                </w:tblCellMar>
              </w:tblPrEx>
              <w:trPr>
                <w:trHeight w:val="340" w:hRule="atLeast"/>
              </w:trPr>
              <w:tc>
                <w:tcPr>
                  <w:tcW w:w="345" w:type="pct"/>
                  <w:tcBorders>
                    <w:tl2br w:val="nil"/>
                    <w:tr2bl w:val="nil"/>
                  </w:tcBorders>
                  <w:shd w:val="clear" w:color="auto" w:fill="auto"/>
                  <w:noWrap w:val="0"/>
                  <w:vAlign w:val="center"/>
                </w:tcPr>
                <w:p w14:paraId="4E53EC2E">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8</w:t>
                  </w:r>
                </w:p>
              </w:tc>
              <w:tc>
                <w:tcPr>
                  <w:tcW w:w="783" w:type="pct"/>
                  <w:tcBorders>
                    <w:tl2br w:val="nil"/>
                    <w:tr2bl w:val="nil"/>
                  </w:tcBorders>
                  <w:shd w:val="clear" w:color="auto" w:fill="auto"/>
                  <w:noWrap w:val="0"/>
                  <w:vAlign w:val="center"/>
                </w:tcPr>
                <w:p w14:paraId="3AEC5153">
                  <w:pPr>
                    <w:shd w:val="clear" w:color="auto" w:fill="auto"/>
                    <w:adjustRightInd w:val="0"/>
                    <w:snapToGrid w:val="0"/>
                    <w:spacing w:line="240" w:lineRule="auto"/>
                    <w:jc w:val="center"/>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纯水机反冲洗用水</w:t>
                  </w:r>
                </w:p>
              </w:tc>
              <w:tc>
                <w:tcPr>
                  <w:tcW w:w="547" w:type="pct"/>
                  <w:tcBorders>
                    <w:tl2br w:val="nil"/>
                    <w:tr2bl w:val="nil"/>
                  </w:tcBorders>
                  <w:shd w:val="clear" w:color="auto" w:fill="auto"/>
                  <w:noWrap w:val="0"/>
                  <w:vAlign w:val="center"/>
                </w:tcPr>
                <w:p w14:paraId="29D78C91">
                  <w:pPr>
                    <w:shd w:val="clear" w:color="auto" w:fill="auto"/>
                    <w:adjustRightInd w:val="0"/>
                    <w:snapToGrid w:val="0"/>
                    <w:spacing w:line="240" w:lineRule="auto"/>
                    <w:jc w:val="center"/>
                    <w:rPr>
                      <w:rFonts w:hint="default" w:ascii="Times New Roman" w:hAnsi="Times New Roman"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409" w:type="pct"/>
                  <w:tcBorders>
                    <w:tl2br w:val="nil"/>
                    <w:tr2bl w:val="nil"/>
                  </w:tcBorders>
                  <w:shd w:val="clear" w:color="auto" w:fill="auto"/>
                  <w:noWrap w:val="0"/>
                  <w:vAlign w:val="center"/>
                </w:tcPr>
                <w:p w14:paraId="23EE2760">
                  <w:pPr>
                    <w:shd w:val="clear" w:color="auto" w:fill="auto"/>
                    <w:adjustRightInd w:val="0"/>
                    <w:snapToGrid w:val="0"/>
                    <w:spacing w:line="240" w:lineRule="auto"/>
                    <w:jc w:val="center"/>
                    <w:rPr>
                      <w:rFonts w:hint="eastAsia" w:ascii="Times New Roman" w:hAnsi="Times New Roman"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478" w:type="pct"/>
                  <w:tcBorders>
                    <w:tl2br w:val="nil"/>
                    <w:tr2bl w:val="nil"/>
                  </w:tcBorders>
                  <w:shd w:val="clear" w:color="auto" w:fill="auto"/>
                  <w:noWrap w:val="0"/>
                  <w:vAlign w:val="center"/>
                </w:tcPr>
                <w:p w14:paraId="04FF792B">
                  <w:pPr>
                    <w:shd w:val="clear" w:color="auto" w:fill="auto"/>
                    <w:adjustRightInd w:val="0"/>
                    <w:snapToGrid w:val="0"/>
                    <w:spacing w:line="240" w:lineRule="auto"/>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15</w:t>
                  </w:r>
                </w:p>
              </w:tc>
              <w:tc>
                <w:tcPr>
                  <w:tcW w:w="419" w:type="pct"/>
                  <w:tcBorders>
                    <w:tl2br w:val="nil"/>
                    <w:tr2bl w:val="nil"/>
                  </w:tcBorders>
                  <w:shd w:val="clear" w:color="auto" w:fill="auto"/>
                  <w:noWrap w:val="0"/>
                  <w:vAlign w:val="center"/>
                </w:tcPr>
                <w:p w14:paraId="04EFBD53">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496" w:type="pct"/>
                  <w:tcBorders>
                    <w:tl2br w:val="nil"/>
                    <w:tr2bl w:val="nil"/>
                  </w:tcBorders>
                  <w:shd w:val="clear" w:color="auto" w:fill="auto"/>
                  <w:noWrap w:val="0"/>
                  <w:vAlign w:val="center"/>
                </w:tcPr>
                <w:p w14:paraId="35772D47">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502" w:type="pct"/>
                  <w:tcBorders>
                    <w:tl2br w:val="nil"/>
                    <w:tr2bl w:val="nil"/>
                  </w:tcBorders>
                  <w:shd w:val="clear" w:color="auto" w:fill="auto"/>
                  <w:noWrap w:val="0"/>
                  <w:vAlign w:val="center"/>
                </w:tcPr>
                <w:p w14:paraId="5B6107D9">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1.5</w:t>
                  </w:r>
                </w:p>
              </w:tc>
              <w:tc>
                <w:tcPr>
                  <w:tcW w:w="497" w:type="pct"/>
                  <w:tcBorders>
                    <w:tl2br w:val="nil"/>
                    <w:tr2bl w:val="nil"/>
                  </w:tcBorders>
                  <w:shd w:val="clear" w:color="auto" w:fill="auto"/>
                  <w:noWrap w:val="0"/>
                  <w:vAlign w:val="center"/>
                </w:tcPr>
                <w:p w14:paraId="2F310BDB">
                  <w:pPr>
                    <w:shd w:val="clear" w:color="auto" w:fill="auto"/>
                    <w:adjustRightInd w:val="0"/>
                    <w:snapToGrid w:val="0"/>
                    <w:spacing w:line="240" w:lineRule="auto"/>
                    <w:jc w:val="center"/>
                    <w:rPr>
                      <w:rFonts w:hint="default" w:ascii="Times New Roman" w:hAnsi="Times New Roman" w:cs="Times New Roman"/>
                      <w:color w:val="000000"/>
                      <w:sz w:val="21"/>
                      <w:szCs w:val="21"/>
                      <w:highlight w:val="none"/>
                      <w:lang w:val="en-US" w:eastAsia="zh-CN"/>
                    </w:rPr>
                  </w:pPr>
                  <w:r>
                    <w:rPr>
                      <w:rFonts w:hint="eastAsia" w:cs="Times New Roman"/>
                      <w:color w:val="000000"/>
                      <w:sz w:val="21"/>
                      <w:szCs w:val="21"/>
                      <w:highlight w:val="none"/>
                      <w:lang w:val="en-US" w:eastAsia="zh-CN"/>
                    </w:rPr>
                    <w:t>/</w:t>
                  </w:r>
                </w:p>
              </w:tc>
              <w:tc>
                <w:tcPr>
                  <w:tcW w:w="519" w:type="pct"/>
                  <w:tcBorders>
                    <w:tl2br w:val="nil"/>
                    <w:tr2bl w:val="nil"/>
                  </w:tcBorders>
                  <w:shd w:val="clear" w:color="auto" w:fill="auto"/>
                  <w:noWrap w:val="0"/>
                  <w:vAlign w:val="center"/>
                </w:tcPr>
                <w:p w14:paraId="7ADDC589">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13.5</w:t>
                  </w:r>
                </w:p>
              </w:tc>
            </w:tr>
            <w:tr w14:paraId="67DA2B42">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shd w:val="clear" w:color="auto" w:fill="auto"/>
                <w:tblCellMar>
                  <w:top w:w="0" w:type="dxa"/>
                  <w:left w:w="108" w:type="dxa"/>
                  <w:bottom w:w="0" w:type="dxa"/>
                  <w:right w:w="108" w:type="dxa"/>
                </w:tblCellMar>
              </w:tblPrEx>
              <w:trPr>
                <w:trHeight w:val="340" w:hRule="atLeast"/>
              </w:trPr>
              <w:tc>
                <w:tcPr>
                  <w:tcW w:w="345" w:type="pct"/>
                  <w:tcBorders>
                    <w:tl2br w:val="nil"/>
                    <w:tr2bl w:val="nil"/>
                  </w:tcBorders>
                  <w:shd w:val="clear" w:color="auto" w:fill="auto"/>
                  <w:noWrap w:val="0"/>
                  <w:vAlign w:val="center"/>
                </w:tcPr>
                <w:p w14:paraId="7670EDF4">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9</w:t>
                  </w:r>
                </w:p>
              </w:tc>
              <w:tc>
                <w:tcPr>
                  <w:tcW w:w="783" w:type="pct"/>
                  <w:tcBorders>
                    <w:tl2br w:val="nil"/>
                    <w:tr2bl w:val="nil"/>
                  </w:tcBorders>
                  <w:shd w:val="clear" w:color="auto" w:fill="auto"/>
                  <w:noWrap w:val="0"/>
                  <w:vAlign w:val="center"/>
                </w:tcPr>
                <w:p w14:paraId="1E327BA9">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白酒勾兑用水</w:t>
                  </w:r>
                </w:p>
              </w:tc>
              <w:tc>
                <w:tcPr>
                  <w:tcW w:w="547" w:type="pct"/>
                  <w:tcBorders>
                    <w:tl2br w:val="nil"/>
                    <w:tr2bl w:val="nil"/>
                  </w:tcBorders>
                  <w:shd w:val="clear" w:color="auto" w:fill="auto"/>
                  <w:noWrap w:val="0"/>
                  <w:vAlign w:val="center"/>
                </w:tcPr>
                <w:p w14:paraId="15B2FC79">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409" w:type="pct"/>
                  <w:tcBorders>
                    <w:tl2br w:val="nil"/>
                    <w:tr2bl w:val="nil"/>
                  </w:tcBorders>
                  <w:shd w:val="clear" w:color="auto" w:fill="auto"/>
                  <w:noWrap w:val="0"/>
                  <w:vAlign w:val="center"/>
                </w:tcPr>
                <w:p w14:paraId="71EDC0F9">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478" w:type="pct"/>
                  <w:tcBorders>
                    <w:tl2br w:val="nil"/>
                    <w:tr2bl w:val="nil"/>
                  </w:tcBorders>
                  <w:shd w:val="clear" w:color="auto" w:fill="auto"/>
                  <w:noWrap w:val="0"/>
                  <w:vAlign w:val="center"/>
                </w:tcPr>
                <w:p w14:paraId="5DE03653">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179.66</w:t>
                  </w:r>
                </w:p>
              </w:tc>
              <w:tc>
                <w:tcPr>
                  <w:tcW w:w="419" w:type="pct"/>
                  <w:tcBorders>
                    <w:tl2br w:val="nil"/>
                    <w:tr2bl w:val="nil"/>
                  </w:tcBorders>
                  <w:shd w:val="clear" w:color="auto" w:fill="auto"/>
                  <w:noWrap w:val="0"/>
                  <w:vAlign w:val="center"/>
                </w:tcPr>
                <w:p w14:paraId="0EC4CD9B">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496" w:type="pct"/>
                  <w:tcBorders>
                    <w:tl2br w:val="nil"/>
                    <w:tr2bl w:val="nil"/>
                  </w:tcBorders>
                  <w:shd w:val="clear" w:color="auto" w:fill="auto"/>
                  <w:noWrap w:val="0"/>
                  <w:vAlign w:val="center"/>
                </w:tcPr>
                <w:p w14:paraId="0A9CD665">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502" w:type="pct"/>
                  <w:tcBorders>
                    <w:tl2br w:val="nil"/>
                    <w:tr2bl w:val="nil"/>
                  </w:tcBorders>
                  <w:shd w:val="clear" w:color="auto" w:fill="auto"/>
                  <w:noWrap w:val="0"/>
                  <w:vAlign w:val="center"/>
                </w:tcPr>
                <w:p w14:paraId="7A6F2EBF">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497" w:type="pct"/>
                  <w:tcBorders>
                    <w:tl2br w:val="nil"/>
                    <w:tr2bl w:val="nil"/>
                  </w:tcBorders>
                  <w:shd w:val="clear" w:color="auto" w:fill="auto"/>
                  <w:noWrap w:val="0"/>
                  <w:vAlign w:val="center"/>
                </w:tcPr>
                <w:p w14:paraId="219DA73A">
                  <w:pPr>
                    <w:shd w:val="clear" w:color="auto" w:fill="auto"/>
                    <w:adjustRightInd w:val="0"/>
                    <w:snapToGrid w:val="0"/>
                    <w:spacing w:line="240" w:lineRule="auto"/>
                    <w:jc w:val="center"/>
                    <w:rPr>
                      <w:rFonts w:hint="default" w:ascii="Times New Roman" w:hAnsi="Times New Roman" w:cs="Times New Roman"/>
                      <w:color w:val="000000"/>
                      <w:highlight w:val="none"/>
                      <w:lang w:val="en-US" w:eastAsia="zh-CN"/>
                    </w:rPr>
                  </w:pPr>
                  <w:r>
                    <w:rPr>
                      <w:rFonts w:hint="eastAsia" w:cs="Times New Roman"/>
                      <w:color w:val="000000"/>
                      <w:highlight w:val="none"/>
                      <w:lang w:val="en-US" w:eastAsia="zh-CN"/>
                    </w:rPr>
                    <w:t>179.66</w:t>
                  </w:r>
                </w:p>
              </w:tc>
              <w:tc>
                <w:tcPr>
                  <w:tcW w:w="519" w:type="pct"/>
                  <w:tcBorders>
                    <w:tl2br w:val="nil"/>
                    <w:tr2bl w:val="nil"/>
                  </w:tcBorders>
                  <w:shd w:val="clear" w:color="auto" w:fill="auto"/>
                  <w:noWrap w:val="0"/>
                  <w:vAlign w:val="center"/>
                </w:tcPr>
                <w:p w14:paraId="651CE713">
                  <w:pPr>
                    <w:shd w:val="clear" w:color="auto" w:fill="auto"/>
                    <w:adjustRightInd w:val="0"/>
                    <w:snapToGrid w:val="0"/>
                    <w:spacing w:line="240" w:lineRule="auto"/>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w:t>
                  </w:r>
                </w:p>
              </w:tc>
            </w:tr>
            <w:tr w14:paraId="152C0F14">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shd w:val="clear" w:color="auto" w:fill="auto"/>
                <w:tblCellMar>
                  <w:top w:w="0" w:type="dxa"/>
                  <w:left w:w="108" w:type="dxa"/>
                  <w:bottom w:w="0" w:type="dxa"/>
                  <w:right w:w="108" w:type="dxa"/>
                </w:tblCellMar>
              </w:tblPrEx>
              <w:trPr>
                <w:trHeight w:val="340" w:hRule="atLeast"/>
              </w:trPr>
              <w:tc>
                <w:tcPr>
                  <w:tcW w:w="345" w:type="pct"/>
                  <w:tcBorders>
                    <w:tl2br w:val="nil"/>
                    <w:tr2bl w:val="nil"/>
                  </w:tcBorders>
                  <w:shd w:val="clear" w:color="auto" w:fill="auto"/>
                  <w:noWrap w:val="0"/>
                  <w:vAlign w:val="center"/>
                </w:tcPr>
                <w:p w14:paraId="0A021112">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10</w:t>
                  </w:r>
                </w:p>
              </w:tc>
              <w:tc>
                <w:tcPr>
                  <w:tcW w:w="783" w:type="pct"/>
                  <w:tcBorders>
                    <w:tl2br w:val="nil"/>
                    <w:tr2bl w:val="nil"/>
                  </w:tcBorders>
                  <w:shd w:val="clear" w:color="auto" w:fill="auto"/>
                  <w:noWrap w:val="0"/>
                  <w:vAlign w:val="center"/>
                </w:tcPr>
                <w:p w14:paraId="629C2CDE">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设备清洗用水</w:t>
                  </w:r>
                </w:p>
              </w:tc>
              <w:tc>
                <w:tcPr>
                  <w:tcW w:w="547" w:type="pct"/>
                  <w:tcBorders>
                    <w:tl2br w:val="nil"/>
                    <w:tr2bl w:val="nil"/>
                  </w:tcBorders>
                  <w:shd w:val="clear" w:color="auto" w:fill="auto"/>
                  <w:noWrap w:val="0"/>
                  <w:vAlign w:val="center"/>
                </w:tcPr>
                <w:p w14:paraId="5CD78A98">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3</w:t>
                  </w:r>
                </w:p>
              </w:tc>
              <w:tc>
                <w:tcPr>
                  <w:tcW w:w="409" w:type="pct"/>
                  <w:tcBorders>
                    <w:tl2br w:val="nil"/>
                    <w:tr2bl w:val="nil"/>
                  </w:tcBorders>
                  <w:shd w:val="clear" w:color="auto" w:fill="auto"/>
                  <w:noWrap w:val="0"/>
                  <w:vAlign w:val="center"/>
                </w:tcPr>
                <w:p w14:paraId="50AFA27F">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478" w:type="pct"/>
                  <w:tcBorders>
                    <w:tl2br w:val="nil"/>
                    <w:tr2bl w:val="nil"/>
                  </w:tcBorders>
                  <w:shd w:val="clear" w:color="auto" w:fill="auto"/>
                  <w:noWrap w:val="0"/>
                  <w:vAlign w:val="center"/>
                </w:tcPr>
                <w:p w14:paraId="4121FFFE">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419" w:type="pct"/>
                  <w:tcBorders>
                    <w:tl2br w:val="nil"/>
                    <w:tr2bl w:val="nil"/>
                  </w:tcBorders>
                  <w:shd w:val="clear" w:color="auto" w:fill="auto"/>
                  <w:noWrap w:val="0"/>
                  <w:vAlign w:val="center"/>
                </w:tcPr>
                <w:p w14:paraId="4105BF28">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496" w:type="pct"/>
                  <w:tcBorders>
                    <w:tl2br w:val="nil"/>
                    <w:tr2bl w:val="nil"/>
                  </w:tcBorders>
                  <w:shd w:val="clear" w:color="auto" w:fill="auto"/>
                  <w:noWrap w:val="0"/>
                  <w:vAlign w:val="center"/>
                </w:tcPr>
                <w:p w14:paraId="3D2FF10A">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502" w:type="pct"/>
                  <w:tcBorders>
                    <w:tl2br w:val="nil"/>
                    <w:tr2bl w:val="nil"/>
                  </w:tcBorders>
                  <w:shd w:val="clear" w:color="auto" w:fill="auto"/>
                  <w:noWrap w:val="0"/>
                  <w:vAlign w:val="center"/>
                </w:tcPr>
                <w:p w14:paraId="2DF31547">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0.6</w:t>
                  </w:r>
                </w:p>
              </w:tc>
              <w:tc>
                <w:tcPr>
                  <w:tcW w:w="497" w:type="pct"/>
                  <w:tcBorders>
                    <w:tl2br w:val="nil"/>
                    <w:tr2bl w:val="nil"/>
                  </w:tcBorders>
                  <w:shd w:val="clear" w:color="auto" w:fill="auto"/>
                  <w:noWrap w:val="0"/>
                  <w:vAlign w:val="center"/>
                </w:tcPr>
                <w:p w14:paraId="148AFB9A">
                  <w:pPr>
                    <w:shd w:val="clear" w:color="auto" w:fill="auto"/>
                    <w:adjustRightInd w:val="0"/>
                    <w:snapToGrid w:val="0"/>
                    <w:spacing w:line="240" w:lineRule="auto"/>
                    <w:jc w:val="center"/>
                    <w:rPr>
                      <w:rFonts w:hint="default" w:ascii="Times New Roman" w:hAnsi="Times New Roman" w:cs="Times New Roman"/>
                      <w:color w:val="000000"/>
                      <w:highlight w:val="none"/>
                      <w:lang w:val="en-US" w:eastAsia="zh-CN"/>
                    </w:rPr>
                  </w:pPr>
                  <w:r>
                    <w:rPr>
                      <w:rFonts w:hint="eastAsia" w:cs="Times New Roman"/>
                      <w:color w:val="000000"/>
                      <w:highlight w:val="none"/>
                      <w:lang w:val="en-US" w:eastAsia="zh-CN"/>
                    </w:rPr>
                    <w:t>/</w:t>
                  </w:r>
                </w:p>
              </w:tc>
              <w:tc>
                <w:tcPr>
                  <w:tcW w:w="519" w:type="pct"/>
                  <w:tcBorders>
                    <w:tl2br w:val="nil"/>
                    <w:tr2bl w:val="nil"/>
                  </w:tcBorders>
                  <w:shd w:val="clear" w:color="auto" w:fill="auto"/>
                  <w:noWrap w:val="0"/>
                  <w:vAlign w:val="center"/>
                </w:tcPr>
                <w:p w14:paraId="61528969">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2.4</w:t>
                  </w:r>
                </w:p>
              </w:tc>
            </w:tr>
            <w:tr w14:paraId="43F3D1A8">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shd w:val="clear" w:color="auto" w:fill="auto"/>
                <w:tblCellMar>
                  <w:top w:w="0" w:type="dxa"/>
                  <w:left w:w="108" w:type="dxa"/>
                  <w:bottom w:w="0" w:type="dxa"/>
                  <w:right w:w="108" w:type="dxa"/>
                </w:tblCellMar>
              </w:tblPrEx>
              <w:trPr>
                <w:trHeight w:val="340" w:hRule="atLeast"/>
              </w:trPr>
              <w:tc>
                <w:tcPr>
                  <w:tcW w:w="345" w:type="pct"/>
                  <w:tcBorders>
                    <w:tl2br w:val="nil"/>
                    <w:tr2bl w:val="nil"/>
                  </w:tcBorders>
                  <w:shd w:val="clear" w:color="auto" w:fill="auto"/>
                  <w:noWrap w:val="0"/>
                  <w:vAlign w:val="center"/>
                </w:tcPr>
                <w:p w14:paraId="56AC83CF">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11</w:t>
                  </w:r>
                </w:p>
              </w:tc>
              <w:tc>
                <w:tcPr>
                  <w:tcW w:w="783" w:type="pct"/>
                  <w:tcBorders>
                    <w:tl2br w:val="nil"/>
                    <w:tr2bl w:val="nil"/>
                  </w:tcBorders>
                  <w:shd w:val="clear" w:color="auto" w:fill="auto"/>
                  <w:noWrap w:val="0"/>
                  <w:vAlign w:val="center"/>
                </w:tcPr>
                <w:p w14:paraId="6A7121D8">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洗瓶用水</w:t>
                  </w:r>
                </w:p>
              </w:tc>
              <w:tc>
                <w:tcPr>
                  <w:tcW w:w="547" w:type="pct"/>
                  <w:tcBorders>
                    <w:tl2br w:val="nil"/>
                    <w:tr2bl w:val="nil"/>
                  </w:tcBorders>
                  <w:shd w:val="clear" w:color="auto" w:fill="auto"/>
                  <w:noWrap w:val="0"/>
                  <w:vAlign w:val="center"/>
                </w:tcPr>
                <w:p w14:paraId="6AA8B889">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409" w:type="pct"/>
                  <w:tcBorders>
                    <w:tl2br w:val="nil"/>
                    <w:tr2bl w:val="nil"/>
                  </w:tcBorders>
                  <w:shd w:val="clear" w:color="auto" w:fill="auto"/>
                  <w:noWrap w:val="0"/>
                  <w:vAlign w:val="center"/>
                </w:tcPr>
                <w:p w14:paraId="6E8C3E2D">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478" w:type="pct"/>
                  <w:tcBorders>
                    <w:tl2br w:val="nil"/>
                    <w:tr2bl w:val="nil"/>
                  </w:tcBorders>
                  <w:shd w:val="clear" w:color="auto" w:fill="auto"/>
                  <w:noWrap w:val="0"/>
                  <w:vAlign w:val="center"/>
                </w:tcPr>
                <w:p w14:paraId="15F01611">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636</w:t>
                  </w:r>
                </w:p>
              </w:tc>
              <w:tc>
                <w:tcPr>
                  <w:tcW w:w="419" w:type="pct"/>
                  <w:tcBorders>
                    <w:tl2br w:val="nil"/>
                    <w:tr2bl w:val="nil"/>
                  </w:tcBorders>
                  <w:shd w:val="clear" w:color="auto" w:fill="auto"/>
                  <w:noWrap w:val="0"/>
                  <w:vAlign w:val="center"/>
                </w:tcPr>
                <w:p w14:paraId="14E584F2">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p>
              </w:tc>
              <w:tc>
                <w:tcPr>
                  <w:tcW w:w="496" w:type="pct"/>
                  <w:tcBorders>
                    <w:tl2br w:val="nil"/>
                    <w:tr2bl w:val="nil"/>
                  </w:tcBorders>
                  <w:shd w:val="clear" w:color="auto" w:fill="auto"/>
                  <w:noWrap w:val="0"/>
                  <w:vAlign w:val="center"/>
                </w:tcPr>
                <w:p w14:paraId="319F4F18">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p>
              </w:tc>
              <w:tc>
                <w:tcPr>
                  <w:tcW w:w="502" w:type="pct"/>
                  <w:tcBorders>
                    <w:tl2br w:val="nil"/>
                    <w:tr2bl w:val="nil"/>
                  </w:tcBorders>
                  <w:shd w:val="clear" w:color="auto" w:fill="auto"/>
                  <w:noWrap w:val="0"/>
                  <w:vAlign w:val="center"/>
                </w:tcPr>
                <w:p w14:paraId="4418F31F">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127.2</w:t>
                  </w:r>
                </w:p>
              </w:tc>
              <w:tc>
                <w:tcPr>
                  <w:tcW w:w="497" w:type="pct"/>
                  <w:tcBorders>
                    <w:tl2br w:val="nil"/>
                    <w:tr2bl w:val="nil"/>
                  </w:tcBorders>
                  <w:shd w:val="clear" w:color="auto" w:fill="auto"/>
                  <w:noWrap w:val="0"/>
                  <w:vAlign w:val="center"/>
                </w:tcPr>
                <w:p w14:paraId="47FBA1D9">
                  <w:pPr>
                    <w:shd w:val="clear" w:color="auto" w:fill="auto"/>
                    <w:adjustRightInd w:val="0"/>
                    <w:snapToGrid w:val="0"/>
                    <w:spacing w:line="240" w:lineRule="auto"/>
                    <w:jc w:val="center"/>
                    <w:rPr>
                      <w:rFonts w:hint="default" w:ascii="Times New Roman" w:hAnsi="Times New Roman" w:cs="Times New Roman"/>
                      <w:color w:val="000000"/>
                      <w:highlight w:val="none"/>
                      <w:lang w:val="en-US" w:eastAsia="zh-CN"/>
                    </w:rPr>
                  </w:pPr>
                  <w:r>
                    <w:rPr>
                      <w:rFonts w:hint="eastAsia" w:cs="Times New Roman"/>
                      <w:color w:val="000000"/>
                      <w:highlight w:val="none"/>
                      <w:lang w:val="en-US" w:eastAsia="zh-CN"/>
                    </w:rPr>
                    <w:t>/</w:t>
                  </w:r>
                </w:p>
              </w:tc>
              <w:tc>
                <w:tcPr>
                  <w:tcW w:w="519" w:type="pct"/>
                  <w:tcBorders>
                    <w:tl2br w:val="nil"/>
                    <w:tr2bl w:val="nil"/>
                  </w:tcBorders>
                  <w:shd w:val="clear" w:color="auto" w:fill="auto"/>
                  <w:noWrap w:val="0"/>
                  <w:vAlign w:val="center"/>
                </w:tcPr>
                <w:p w14:paraId="44103174">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508.8</w:t>
                  </w:r>
                </w:p>
              </w:tc>
            </w:tr>
            <w:tr w14:paraId="7E3DA57E">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shd w:val="clear" w:color="auto" w:fill="auto"/>
                <w:tblCellMar>
                  <w:top w:w="0" w:type="dxa"/>
                  <w:left w:w="108" w:type="dxa"/>
                  <w:bottom w:w="0" w:type="dxa"/>
                  <w:right w:w="108" w:type="dxa"/>
                </w:tblCellMar>
              </w:tblPrEx>
              <w:trPr>
                <w:trHeight w:val="340" w:hRule="atLeast"/>
              </w:trPr>
              <w:tc>
                <w:tcPr>
                  <w:tcW w:w="345" w:type="pct"/>
                  <w:tcBorders>
                    <w:tl2br w:val="nil"/>
                    <w:tr2bl w:val="nil"/>
                  </w:tcBorders>
                  <w:shd w:val="clear" w:color="auto" w:fill="auto"/>
                  <w:noWrap w:val="0"/>
                  <w:vAlign w:val="center"/>
                </w:tcPr>
                <w:p w14:paraId="69757F59">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12</w:t>
                  </w:r>
                </w:p>
              </w:tc>
              <w:tc>
                <w:tcPr>
                  <w:tcW w:w="783" w:type="pct"/>
                  <w:tcBorders>
                    <w:tl2br w:val="nil"/>
                    <w:tr2bl w:val="nil"/>
                  </w:tcBorders>
                  <w:shd w:val="clear" w:color="auto" w:fill="auto"/>
                  <w:noWrap w:val="0"/>
                  <w:vAlign w:val="center"/>
                </w:tcPr>
                <w:p w14:paraId="67850365">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实验室用水</w:t>
                  </w:r>
                </w:p>
              </w:tc>
              <w:tc>
                <w:tcPr>
                  <w:tcW w:w="547" w:type="pct"/>
                  <w:tcBorders>
                    <w:tl2br w:val="nil"/>
                    <w:tr2bl w:val="nil"/>
                  </w:tcBorders>
                  <w:shd w:val="clear" w:color="auto" w:fill="auto"/>
                  <w:noWrap w:val="0"/>
                  <w:vAlign w:val="center"/>
                </w:tcPr>
                <w:p w14:paraId="4EAFE7E1">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409" w:type="pct"/>
                  <w:tcBorders>
                    <w:tl2br w:val="nil"/>
                    <w:tr2bl w:val="nil"/>
                  </w:tcBorders>
                  <w:shd w:val="clear" w:color="auto" w:fill="auto"/>
                  <w:noWrap w:val="0"/>
                  <w:vAlign w:val="center"/>
                </w:tcPr>
                <w:p w14:paraId="0A0D8BF9">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478" w:type="pct"/>
                  <w:tcBorders>
                    <w:tl2br w:val="nil"/>
                    <w:tr2bl w:val="nil"/>
                  </w:tcBorders>
                  <w:shd w:val="clear" w:color="auto" w:fill="auto"/>
                  <w:noWrap w:val="0"/>
                  <w:vAlign w:val="center"/>
                </w:tcPr>
                <w:p w14:paraId="1D5864A1">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0.6</w:t>
                  </w:r>
                </w:p>
              </w:tc>
              <w:tc>
                <w:tcPr>
                  <w:tcW w:w="419" w:type="pct"/>
                  <w:tcBorders>
                    <w:tl2br w:val="nil"/>
                    <w:tr2bl w:val="nil"/>
                  </w:tcBorders>
                  <w:shd w:val="clear" w:color="auto" w:fill="auto"/>
                  <w:noWrap w:val="0"/>
                  <w:vAlign w:val="center"/>
                </w:tcPr>
                <w:p w14:paraId="54E3680D">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496" w:type="pct"/>
                  <w:tcBorders>
                    <w:tl2br w:val="nil"/>
                    <w:tr2bl w:val="nil"/>
                  </w:tcBorders>
                  <w:shd w:val="clear" w:color="auto" w:fill="auto"/>
                  <w:noWrap w:val="0"/>
                  <w:vAlign w:val="center"/>
                </w:tcPr>
                <w:p w14:paraId="2A6FE7A2">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502" w:type="pct"/>
                  <w:tcBorders>
                    <w:tl2br w:val="nil"/>
                    <w:tr2bl w:val="nil"/>
                  </w:tcBorders>
                  <w:shd w:val="clear" w:color="auto" w:fill="auto"/>
                  <w:noWrap w:val="0"/>
                  <w:vAlign w:val="center"/>
                </w:tcPr>
                <w:p w14:paraId="3BB587A6">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0.12</w:t>
                  </w:r>
                </w:p>
              </w:tc>
              <w:tc>
                <w:tcPr>
                  <w:tcW w:w="497" w:type="pct"/>
                  <w:tcBorders>
                    <w:tl2br w:val="nil"/>
                    <w:tr2bl w:val="nil"/>
                  </w:tcBorders>
                  <w:shd w:val="clear" w:color="auto" w:fill="auto"/>
                  <w:noWrap w:val="0"/>
                  <w:vAlign w:val="center"/>
                </w:tcPr>
                <w:p w14:paraId="2D8B8244">
                  <w:pPr>
                    <w:shd w:val="clear" w:color="auto" w:fill="auto"/>
                    <w:adjustRightInd w:val="0"/>
                    <w:snapToGrid w:val="0"/>
                    <w:spacing w:line="240" w:lineRule="auto"/>
                    <w:jc w:val="center"/>
                    <w:rPr>
                      <w:rFonts w:hint="default" w:ascii="Times New Roman" w:hAnsi="Times New Roman" w:cs="Times New Roman"/>
                      <w:color w:val="000000"/>
                      <w:highlight w:val="none"/>
                      <w:lang w:val="en-US" w:eastAsia="zh-CN"/>
                    </w:rPr>
                  </w:pPr>
                  <w:r>
                    <w:rPr>
                      <w:rFonts w:hint="eastAsia" w:cs="Times New Roman"/>
                      <w:color w:val="000000"/>
                      <w:highlight w:val="none"/>
                      <w:lang w:val="en-US" w:eastAsia="zh-CN"/>
                    </w:rPr>
                    <w:t>/</w:t>
                  </w:r>
                </w:p>
              </w:tc>
              <w:tc>
                <w:tcPr>
                  <w:tcW w:w="519" w:type="pct"/>
                  <w:tcBorders>
                    <w:tl2br w:val="nil"/>
                    <w:tr2bl w:val="nil"/>
                  </w:tcBorders>
                  <w:shd w:val="clear" w:color="auto" w:fill="auto"/>
                  <w:noWrap w:val="0"/>
                  <w:vAlign w:val="center"/>
                </w:tcPr>
                <w:p w14:paraId="7C435AAD">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0.48</w:t>
                  </w:r>
                </w:p>
              </w:tc>
            </w:tr>
            <w:tr w14:paraId="333A26EF">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shd w:val="clear" w:color="auto" w:fill="auto"/>
                <w:tblCellMar>
                  <w:top w:w="0" w:type="dxa"/>
                  <w:left w:w="108" w:type="dxa"/>
                  <w:bottom w:w="0" w:type="dxa"/>
                  <w:right w:w="108" w:type="dxa"/>
                </w:tblCellMar>
              </w:tblPrEx>
              <w:trPr>
                <w:trHeight w:val="340" w:hRule="atLeast"/>
              </w:trPr>
              <w:tc>
                <w:tcPr>
                  <w:tcW w:w="345" w:type="pct"/>
                  <w:tcBorders>
                    <w:tl2br w:val="nil"/>
                    <w:tr2bl w:val="nil"/>
                  </w:tcBorders>
                  <w:shd w:val="clear" w:color="auto" w:fill="auto"/>
                  <w:noWrap w:val="0"/>
                  <w:vAlign w:val="center"/>
                </w:tcPr>
                <w:p w14:paraId="7DF2115E">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13</w:t>
                  </w:r>
                </w:p>
              </w:tc>
              <w:tc>
                <w:tcPr>
                  <w:tcW w:w="783" w:type="pct"/>
                  <w:tcBorders>
                    <w:tl2br w:val="nil"/>
                    <w:tr2bl w:val="nil"/>
                  </w:tcBorders>
                  <w:shd w:val="clear" w:color="auto" w:fill="auto"/>
                  <w:noWrap w:val="0"/>
                  <w:vAlign w:val="center"/>
                </w:tcPr>
                <w:p w14:paraId="14A3DE33">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地面冲洗用水</w:t>
                  </w:r>
                </w:p>
              </w:tc>
              <w:tc>
                <w:tcPr>
                  <w:tcW w:w="547" w:type="pct"/>
                  <w:tcBorders>
                    <w:tl2br w:val="nil"/>
                    <w:tr2bl w:val="nil"/>
                  </w:tcBorders>
                  <w:shd w:val="clear" w:color="auto" w:fill="auto"/>
                  <w:noWrap w:val="0"/>
                  <w:vAlign w:val="center"/>
                </w:tcPr>
                <w:p w14:paraId="7A97E092">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450</w:t>
                  </w:r>
                </w:p>
              </w:tc>
              <w:tc>
                <w:tcPr>
                  <w:tcW w:w="409" w:type="pct"/>
                  <w:tcBorders>
                    <w:tl2br w:val="nil"/>
                    <w:tr2bl w:val="nil"/>
                  </w:tcBorders>
                  <w:shd w:val="clear" w:color="auto" w:fill="auto"/>
                  <w:noWrap w:val="0"/>
                  <w:vAlign w:val="center"/>
                </w:tcPr>
                <w:p w14:paraId="5DE10D05">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478" w:type="pct"/>
                  <w:tcBorders>
                    <w:tl2br w:val="nil"/>
                    <w:tr2bl w:val="nil"/>
                  </w:tcBorders>
                  <w:shd w:val="clear" w:color="auto" w:fill="auto"/>
                  <w:noWrap w:val="0"/>
                  <w:vAlign w:val="center"/>
                </w:tcPr>
                <w:p w14:paraId="455332D6">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419" w:type="pct"/>
                  <w:tcBorders>
                    <w:tl2br w:val="nil"/>
                    <w:tr2bl w:val="nil"/>
                  </w:tcBorders>
                  <w:shd w:val="clear" w:color="auto" w:fill="auto"/>
                  <w:noWrap w:val="0"/>
                  <w:vAlign w:val="center"/>
                </w:tcPr>
                <w:p w14:paraId="6614A877">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496" w:type="pct"/>
                  <w:tcBorders>
                    <w:tl2br w:val="nil"/>
                    <w:tr2bl w:val="nil"/>
                  </w:tcBorders>
                  <w:shd w:val="clear" w:color="auto" w:fill="auto"/>
                  <w:noWrap w:val="0"/>
                  <w:vAlign w:val="center"/>
                </w:tcPr>
                <w:p w14:paraId="404D2D94">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502" w:type="pct"/>
                  <w:tcBorders>
                    <w:tl2br w:val="nil"/>
                    <w:tr2bl w:val="nil"/>
                  </w:tcBorders>
                  <w:shd w:val="clear" w:color="auto" w:fill="auto"/>
                  <w:noWrap w:val="0"/>
                  <w:vAlign w:val="center"/>
                </w:tcPr>
                <w:p w14:paraId="7E04730C">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cs="Times New Roman"/>
                      <w:color w:val="000000"/>
                      <w:sz w:val="21"/>
                      <w:szCs w:val="21"/>
                      <w:highlight w:val="none"/>
                      <w:lang w:val="en-US" w:eastAsia="zh-CN"/>
                    </w:rPr>
                    <w:t>90</w:t>
                  </w:r>
                </w:p>
              </w:tc>
              <w:tc>
                <w:tcPr>
                  <w:tcW w:w="497" w:type="pct"/>
                  <w:tcBorders>
                    <w:tl2br w:val="nil"/>
                    <w:tr2bl w:val="nil"/>
                  </w:tcBorders>
                  <w:shd w:val="clear" w:color="auto" w:fill="auto"/>
                  <w:noWrap w:val="0"/>
                  <w:vAlign w:val="center"/>
                </w:tcPr>
                <w:p w14:paraId="305C15DC">
                  <w:pPr>
                    <w:shd w:val="clear" w:color="auto" w:fill="auto"/>
                    <w:adjustRightInd w:val="0"/>
                    <w:snapToGrid w:val="0"/>
                    <w:spacing w:line="240" w:lineRule="auto"/>
                    <w:jc w:val="center"/>
                    <w:rPr>
                      <w:rFonts w:hint="default" w:ascii="Times New Roman" w:hAnsi="Times New Roman" w:cs="Times New Roman"/>
                      <w:color w:val="000000"/>
                      <w:highlight w:val="none"/>
                      <w:lang w:val="en-US" w:eastAsia="zh-CN"/>
                    </w:rPr>
                  </w:pPr>
                  <w:r>
                    <w:rPr>
                      <w:rFonts w:hint="eastAsia" w:cs="Times New Roman"/>
                      <w:color w:val="000000"/>
                      <w:highlight w:val="none"/>
                      <w:lang w:val="en-US" w:eastAsia="zh-CN"/>
                    </w:rPr>
                    <w:t>/</w:t>
                  </w:r>
                </w:p>
              </w:tc>
              <w:tc>
                <w:tcPr>
                  <w:tcW w:w="519" w:type="pct"/>
                  <w:tcBorders>
                    <w:tl2br w:val="nil"/>
                    <w:tr2bl w:val="nil"/>
                  </w:tcBorders>
                  <w:shd w:val="clear" w:color="auto" w:fill="auto"/>
                  <w:noWrap w:val="0"/>
                  <w:vAlign w:val="center"/>
                </w:tcPr>
                <w:p w14:paraId="69FA7817">
                  <w:pPr>
                    <w:shd w:val="clear" w:color="auto" w:fill="auto"/>
                    <w:adjustRightInd w:val="0"/>
                    <w:snapToGrid w:val="0"/>
                    <w:spacing w:line="240" w:lineRule="auto"/>
                    <w:jc w:val="center"/>
                    <w:rPr>
                      <w:rFonts w:hint="default"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360</w:t>
                  </w:r>
                </w:p>
              </w:tc>
            </w:tr>
            <w:tr w14:paraId="35335F40">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shd w:val="clear" w:color="auto" w:fill="auto"/>
                <w:tblCellMar>
                  <w:top w:w="0" w:type="dxa"/>
                  <w:left w:w="108" w:type="dxa"/>
                  <w:bottom w:w="0" w:type="dxa"/>
                  <w:right w:w="108" w:type="dxa"/>
                </w:tblCellMar>
              </w:tblPrEx>
              <w:trPr>
                <w:trHeight w:val="340" w:hRule="atLeast"/>
              </w:trPr>
              <w:tc>
                <w:tcPr>
                  <w:tcW w:w="1128" w:type="pct"/>
                  <w:gridSpan w:val="2"/>
                  <w:tcBorders>
                    <w:tl2br w:val="nil"/>
                    <w:tr2bl w:val="nil"/>
                  </w:tcBorders>
                  <w:shd w:val="clear" w:color="auto" w:fill="auto"/>
                  <w:noWrap w:val="0"/>
                  <w:vAlign w:val="center"/>
                </w:tcPr>
                <w:p w14:paraId="7A698D80">
                  <w:pPr>
                    <w:shd w:val="clear" w:color="auto" w:fill="auto"/>
                    <w:adjustRightInd w:val="0"/>
                    <w:snapToGrid w:val="0"/>
                    <w:spacing w:line="240" w:lineRule="auto"/>
                    <w:jc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合计</w:t>
                  </w:r>
                </w:p>
              </w:tc>
              <w:tc>
                <w:tcPr>
                  <w:tcW w:w="547" w:type="pct"/>
                  <w:tcBorders>
                    <w:tl2br w:val="nil"/>
                    <w:tr2bl w:val="nil"/>
                  </w:tcBorders>
                  <w:shd w:val="clear" w:color="auto" w:fill="auto"/>
                  <w:noWrap w:val="0"/>
                  <w:vAlign w:val="center"/>
                </w:tcPr>
                <w:p w14:paraId="21497D59">
                  <w:pPr>
                    <w:shd w:val="clear" w:color="auto" w:fill="auto"/>
                    <w:adjustRightInd w:val="0"/>
                    <w:snapToGrid w:val="0"/>
                    <w:spacing w:line="240" w:lineRule="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83</w:t>
                  </w:r>
                  <w:r>
                    <w:rPr>
                      <w:rFonts w:hint="eastAsia" w:cs="Times New Roman"/>
                      <w:color w:val="000000"/>
                      <w:sz w:val="21"/>
                      <w:szCs w:val="21"/>
                      <w:highlight w:val="none"/>
                      <w:lang w:val="en-US" w:eastAsia="zh-CN"/>
                    </w:rPr>
                    <w:t>13</w:t>
                  </w:r>
                  <w:r>
                    <w:rPr>
                      <w:rFonts w:hint="eastAsia" w:ascii="Times New Roman" w:hAnsi="Times New Roman" w:eastAsia="宋体" w:cs="Times New Roman"/>
                      <w:color w:val="000000"/>
                      <w:sz w:val="21"/>
                      <w:szCs w:val="21"/>
                      <w:highlight w:val="none"/>
                      <w:lang w:val="en-US" w:eastAsia="zh-CN"/>
                    </w:rPr>
                    <w:t>.31</w:t>
                  </w:r>
                </w:p>
              </w:tc>
              <w:tc>
                <w:tcPr>
                  <w:tcW w:w="409" w:type="pct"/>
                  <w:tcBorders>
                    <w:tl2br w:val="nil"/>
                    <w:tr2bl w:val="nil"/>
                  </w:tcBorders>
                  <w:shd w:val="clear" w:color="auto" w:fill="auto"/>
                  <w:noWrap w:val="0"/>
                  <w:vAlign w:val="center"/>
                </w:tcPr>
                <w:p w14:paraId="7526B36D">
                  <w:pPr>
                    <w:shd w:val="clear" w:color="auto" w:fill="auto"/>
                    <w:adjustRightInd w:val="0"/>
                    <w:snapToGrid w:val="0"/>
                    <w:spacing w:line="240" w:lineRule="auto"/>
                    <w:jc w:val="center"/>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831.26</w:t>
                  </w:r>
                </w:p>
              </w:tc>
              <w:tc>
                <w:tcPr>
                  <w:tcW w:w="478" w:type="pct"/>
                  <w:tcBorders>
                    <w:tl2br w:val="nil"/>
                    <w:tr2bl w:val="nil"/>
                  </w:tcBorders>
                  <w:shd w:val="clear" w:color="auto" w:fill="auto"/>
                  <w:noWrap w:val="0"/>
                  <w:vAlign w:val="center"/>
                </w:tcPr>
                <w:p w14:paraId="5A3430A5">
                  <w:pPr>
                    <w:shd w:val="clear" w:color="auto" w:fill="auto"/>
                    <w:adjustRightInd w:val="0"/>
                    <w:snapToGrid w:val="0"/>
                    <w:spacing w:line="240" w:lineRule="auto"/>
                    <w:jc w:val="center"/>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831.26</w:t>
                  </w:r>
                </w:p>
              </w:tc>
              <w:tc>
                <w:tcPr>
                  <w:tcW w:w="419" w:type="pct"/>
                  <w:tcBorders>
                    <w:tl2br w:val="nil"/>
                    <w:tr2bl w:val="nil"/>
                  </w:tcBorders>
                  <w:shd w:val="clear" w:color="auto" w:fill="auto"/>
                  <w:noWrap w:val="0"/>
                  <w:vAlign w:val="center"/>
                </w:tcPr>
                <w:p w14:paraId="2251E577">
                  <w:pPr>
                    <w:shd w:val="clear" w:color="auto" w:fill="auto"/>
                    <w:adjustRightInd w:val="0"/>
                    <w:snapToGrid w:val="0"/>
                    <w:spacing w:line="240" w:lineRule="auto"/>
                    <w:jc w:val="center"/>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4687</w:t>
                  </w:r>
                </w:p>
              </w:tc>
              <w:tc>
                <w:tcPr>
                  <w:tcW w:w="496" w:type="pct"/>
                  <w:tcBorders>
                    <w:tl2br w:val="nil"/>
                    <w:tr2bl w:val="nil"/>
                  </w:tcBorders>
                  <w:shd w:val="clear" w:color="auto" w:fill="auto"/>
                  <w:noWrap w:val="0"/>
                  <w:vAlign w:val="center"/>
                </w:tcPr>
                <w:p w14:paraId="7D258869">
                  <w:pPr>
                    <w:shd w:val="clear" w:color="auto" w:fill="auto"/>
                    <w:adjustRightInd w:val="0"/>
                    <w:snapToGrid w:val="0"/>
                    <w:spacing w:line="240" w:lineRule="auto"/>
                    <w:jc w:val="center"/>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4687</w:t>
                  </w:r>
                </w:p>
              </w:tc>
              <w:tc>
                <w:tcPr>
                  <w:tcW w:w="502" w:type="pct"/>
                  <w:tcBorders>
                    <w:tl2br w:val="nil"/>
                    <w:tr2bl w:val="nil"/>
                  </w:tcBorders>
                  <w:shd w:val="clear" w:color="auto" w:fill="auto"/>
                  <w:noWrap w:val="0"/>
                  <w:vAlign w:val="center"/>
                </w:tcPr>
                <w:p w14:paraId="42B89041">
                  <w:pPr>
                    <w:shd w:val="clear" w:color="auto" w:fill="auto"/>
                    <w:adjustRightInd w:val="0"/>
                    <w:snapToGrid w:val="0"/>
                    <w:spacing w:line="240" w:lineRule="auto"/>
                    <w:jc w:val="center"/>
                    <w:rPr>
                      <w:rFonts w:hint="default" w:cs="Times New Roman"/>
                      <w:color w:val="000000"/>
                      <w:sz w:val="21"/>
                      <w:szCs w:val="21"/>
                      <w:highlight w:val="none"/>
                      <w:lang w:val="en-US" w:eastAsia="zh-CN"/>
                    </w:rPr>
                  </w:pPr>
                  <w:r>
                    <w:rPr>
                      <w:rFonts w:hint="eastAsia" w:cs="Times New Roman"/>
                      <w:color w:val="000000"/>
                      <w:sz w:val="21"/>
                      <w:szCs w:val="21"/>
                      <w:highlight w:val="none"/>
                      <w:lang w:val="en-US" w:eastAsia="zh-CN"/>
                    </w:rPr>
                    <w:t>4624.42</w:t>
                  </w:r>
                </w:p>
              </w:tc>
              <w:tc>
                <w:tcPr>
                  <w:tcW w:w="497" w:type="pct"/>
                  <w:tcBorders>
                    <w:tl2br w:val="nil"/>
                    <w:tr2bl w:val="nil"/>
                  </w:tcBorders>
                  <w:shd w:val="clear" w:color="auto" w:fill="auto"/>
                  <w:noWrap w:val="0"/>
                  <w:vAlign w:val="center"/>
                </w:tcPr>
                <w:p w14:paraId="36501117">
                  <w:pPr>
                    <w:shd w:val="clear" w:color="auto" w:fill="auto"/>
                    <w:adjustRightInd w:val="0"/>
                    <w:snapToGrid w:val="0"/>
                    <w:spacing w:line="240" w:lineRule="auto"/>
                    <w:jc w:val="center"/>
                    <w:rPr>
                      <w:rFonts w:hint="eastAsia" w:cs="Times New Roman"/>
                      <w:color w:val="000000"/>
                      <w:sz w:val="21"/>
                      <w:szCs w:val="21"/>
                      <w:highlight w:val="none"/>
                      <w:lang w:val="en-US" w:eastAsia="zh-CN"/>
                    </w:rPr>
                  </w:pPr>
                  <w:r>
                    <w:rPr>
                      <w:rFonts w:hint="eastAsia" w:cs="Times New Roman"/>
                      <w:color w:val="000000"/>
                      <w:sz w:val="21"/>
                      <w:szCs w:val="21"/>
                      <w:highlight w:val="none"/>
                      <w:lang w:val="en-US" w:eastAsia="zh-CN"/>
                    </w:rPr>
                    <w:t>389.66</w:t>
                  </w:r>
                </w:p>
              </w:tc>
              <w:tc>
                <w:tcPr>
                  <w:tcW w:w="519" w:type="pct"/>
                  <w:tcBorders>
                    <w:tl2br w:val="nil"/>
                    <w:tr2bl w:val="nil"/>
                  </w:tcBorders>
                  <w:shd w:val="clear" w:color="auto" w:fill="auto"/>
                  <w:noWrap w:val="0"/>
                  <w:vAlign w:val="center"/>
                </w:tcPr>
                <w:p w14:paraId="2BD3A612">
                  <w:pPr>
                    <w:shd w:val="clear" w:color="auto" w:fill="auto"/>
                    <w:adjustRightInd w:val="0"/>
                    <w:snapToGrid w:val="0"/>
                    <w:spacing w:line="240" w:lineRule="auto"/>
                    <w:jc w:val="center"/>
                    <w:rPr>
                      <w:rFonts w:hint="eastAsia" w:cs="Times New Roman"/>
                      <w:color w:val="000000"/>
                      <w:sz w:val="21"/>
                      <w:szCs w:val="21"/>
                      <w:highlight w:val="none"/>
                      <w:lang w:val="en-US" w:eastAsia="zh-CN"/>
                    </w:rPr>
                  </w:pPr>
                  <w:r>
                    <w:rPr>
                      <w:rFonts w:hint="eastAsia" w:cs="Times New Roman"/>
                      <w:color w:val="000000"/>
                      <w:sz w:val="21"/>
                      <w:szCs w:val="21"/>
                      <w:highlight w:val="none"/>
                      <w:lang w:val="en-US" w:eastAsia="zh-CN"/>
                    </w:rPr>
                    <w:t>3599.23</w:t>
                  </w:r>
                </w:p>
              </w:tc>
            </w:tr>
          </w:tbl>
          <w:p w14:paraId="5D75F54A">
            <w:pPr>
              <w:pStyle w:val="74"/>
              <w:shd w:val="clear" w:color="auto" w:fill="auto"/>
              <w:ind w:left="0" w:leftChars="0" w:firstLine="0" w:firstLineChars="0"/>
              <w:rPr>
                <w:rFonts w:hint="eastAsia" w:ascii="Times New Roman" w:hAnsi="Times New Roman" w:cs="Times New Roman"/>
                <w:b/>
                <w:bCs/>
                <w:color w:val="000000"/>
                <w:sz w:val="21"/>
                <w:szCs w:val="21"/>
                <w:highlight w:val="none"/>
                <w:lang w:val="en-US" w:eastAsia="zh-CN"/>
              </w:rPr>
            </w:pPr>
            <w:r>
              <w:rPr>
                <w:sz w:val="21"/>
              </w:rPr>
              <mc:AlternateContent>
                <mc:Choice Requires="wpg">
                  <w:drawing>
                    <wp:anchor distT="0" distB="0" distL="114300" distR="114300" simplePos="0" relativeHeight="251662336" behindDoc="0" locked="0" layoutInCell="1" allowOverlap="1">
                      <wp:simplePos x="0" y="0"/>
                      <wp:positionH relativeFrom="column">
                        <wp:posOffset>337820</wp:posOffset>
                      </wp:positionH>
                      <wp:positionV relativeFrom="paragraph">
                        <wp:posOffset>648335</wp:posOffset>
                      </wp:positionV>
                      <wp:extent cx="1837690" cy="2236470"/>
                      <wp:effectExtent l="0" t="0" r="10160" b="11430"/>
                      <wp:wrapNone/>
                      <wp:docPr id="5653" name="组合 113"/>
                      <wp:cNvGraphicFramePr/>
                      <a:graphic xmlns:a="http://schemas.openxmlformats.org/drawingml/2006/main">
                        <a:graphicData uri="http://schemas.microsoft.com/office/word/2010/wordprocessingGroup">
                          <wpg:wgp>
                            <wpg:cNvGrpSpPr/>
                            <wpg:grpSpPr>
                              <a:xfrm>
                                <a:off x="0" y="0"/>
                                <a:ext cx="1837690" cy="2236470"/>
                                <a:chOff x="4350" y="330866"/>
                                <a:chExt cx="2894" cy="3522"/>
                              </a:xfrm>
                            </wpg:grpSpPr>
                            <wps:wsp>
                              <wps:cNvPr id="1" name="矩形 1"/>
                              <wps:cNvSpPr/>
                              <wps:spPr>
                                <a:xfrm>
                                  <a:off x="5040" y="330866"/>
                                  <a:ext cx="2205" cy="810"/>
                                </a:xfrm>
                                <a:prstGeom prst="rect">
                                  <a:avLst/>
                                </a:prstGeom>
                                <a:ln>
                                  <a:noFill/>
                                </a:ln>
                              </wps:spPr>
                              <wps:style>
                                <a:lnRef idx="2">
                                  <a:srgbClr val="FFFFFF"/>
                                </a:lnRef>
                                <a:fillRef idx="1">
                                  <a:schemeClr val="bg1"/>
                                </a:fillRef>
                                <a:effectRef idx="0">
                                  <a:srgbClr val="FFFFFF"/>
                                </a:effectRef>
                                <a:fontRef idx="minor">
                                  <a:schemeClr val="lt1"/>
                                </a:fontRef>
                              </wps:style>
                              <wps:bodyPr rot="0" spcFirstLastPara="0" vertOverflow="overflow" horzOverflow="overflow" vert="horz" wrap="square" lIns="91440" tIns="45720" rIns="91440" bIns="45720" numCol="1" rtlCol="0" anchor="ctr" upright="1">
                                <a:noAutofit/>
                              </wps:bodyPr>
                            </wps:wsp>
                            <wps:wsp>
                              <wps:cNvPr id="2" name="矩形 2"/>
                              <wps:cNvSpPr/>
                              <wps:spPr>
                                <a:xfrm>
                                  <a:off x="4350" y="333864"/>
                                  <a:ext cx="555" cy="525"/>
                                </a:xfrm>
                                <a:prstGeom prst="rect">
                                  <a:avLst/>
                                </a:prstGeom>
                                <a:ln>
                                  <a:noFill/>
                                </a:ln>
                              </wps:spPr>
                              <wps:style>
                                <a:lnRef idx="2">
                                  <a:srgbClr val="FFFFFF"/>
                                </a:lnRef>
                                <a:fillRef idx="1">
                                  <a:schemeClr val="bg1"/>
                                </a:fillRef>
                                <a:effectRef idx="0">
                                  <a:srgbClr val="FFFFFF"/>
                                </a:effectRef>
                                <a:fontRef idx="minor">
                                  <a:schemeClr val="lt1"/>
                                </a:fontRef>
                              </wps:style>
                              <wps:txbx>
                                <w:txbxContent>
                                  <w:p w14:paraId="545B48FA">
                                    <w:pPr>
                                      <w:jc w:val="center"/>
                                      <w:rPr>
                                        <w:rFonts w:hint="default" w:eastAsia="宋体"/>
                                        <w:color w:val="000000" w:themeColor="text1"/>
                                        <w:sz w:val="13"/>
                                        <w:szCs w:val="13"/>
                                        <w:lang w:val="en-US" w:eastAsia="zh-CN"/>
                                        <w14:textFill>
                                          <w14:solidFill>
                                            <w14:schemeClr w14:val="tx1"/>
                                          </w14:solidFill>
                                        </w14:textFill>
                                      </w:rPr>
                                    </w:pPr>
                                    <w:r>
                                      <w:rPr>
                                        <w:rFonts w:hint="eastAsia"/>
                                        <w:color w:val="000000" w:themeColor="text1"/>
                                        <w:sz w:val="13"/>
                                        <w:szCs w:val="13"/>
                                        <w:lang w:val="en-US" w:eastAsia="zh-CN"/>
                                        <w14:textFill>
                                          <w14:solidFill>
                                            <w14:schemeClr w14:val="tx1"/>
                                          </w14:solidFill>
                                        </w14:textFill>
                                      </w:rPr>
                                      <w:t>8313.31</w:t>
                                    </w:r>
                                  </w:p>
                                </w:txbxContent>
                              </wps:txbx>
                              <wps:bodyPr rot="0" spcFirstLastPara="0" vertOverflow="overflow" horzOverflow="overflow" vert="horz" wrap="square" lIns="91440" tIns="45720" rIns="91440" bIns="45720" numCol="1" rtlCol="0" anchor="ctr" upright="0">
                                <a:noAutofit/>
                              </wps:bodyPr>
                            </wps:wsp>
                          </wpg:wgp>
                        </a:graphicData>
                      </a:graphic>
                    </wp:anchor>
                  </w:drawing>
                </mc:Choice>
                <mc:Fallback>
                  <w:pict>
                    <v:group id="组合 113" o:spid="_x0000_s1026" o:spt="203" style="position:absolute;left:0pt;margin-left:26.6pt;margin-top:51.05pt;height:176.1pt;width:144.7pt;z-index:251662336;mso-width-relative:page;mso-height-relative:page;" coordorigin="4350,330866" coordsize="2894,3522" o:gfxdata="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jMng&#10;HdoAAAAKAQAADwAAAAAAAAABACAAAAAiAAAAZHJzL2Rvd25yZXYueG1sUEsBAhQAFAAAAAgAh07i&#10;QEZUfkAEAwAAjAgAAA4AAAAAAAAAAQAgAAAAKQEAAGRycy9lMm9Eb2MueG1sUEsFBgAAAAAGAAYA&#10;WQEAAJ8GAAAAAA==&#10;">
                      <o:lock v:ext="edit" aspectratio="f"/>
                      <v:rect id="_x0000_s1026" o:spid="_x0000_s1026" o:spt="1" style="position:absolute;left:5040;top:330866;height:810;width:2205;v-text-anchor:middle;" fillcolor="#FFFFFF [3212]" filled="t" stroked="f" coordsize="21600,21600" o:gfxdata="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Yt/lugAAANo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rect id="_x0000_s1026" o:spid="_x0000_s1026" o:spt="1" style="position:absolute;left:4350;top:333864;height:525;width:555;v-text-anchor:middle;" fillcolor="#FFFFFF [3212]" filled="t" stroked="f" coordsize="21600,21600" o:gfxdata="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sEGSvQAA&#10;ANo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14:paraId="545B48FA">
                              <w:pPr>
                                <w:jc w:val="center"/>
                                <w:rPr>
                                  <w:rFonts w:hint="default" w:eastAsia="宋体"/>
                                  <w:color w:val="000000" w:themeColor="text1"/>
                                  <w:sz w:val="13"/>
                                  <w:szCs w:val="13"/>
                                  <w:lang w:val="en-US" w:eastAsia="zh-CN"/>
                                  <w14:textFill>
                                    <w14:solidFill>
                                      <w14:schemeClr w14:val="tx1"/>
                                    </w14:solidFill>
                                  </w14:textFill>
                                </w:rPr>
                              </w:pPr>
                              <w:r>
                                <w:rPr>
                                  <w:rFonts w:hint="eastAsia"/>
                                  <w:color w:val="000000" w:themeColor="text1"/>
                                  <w:sz w:val="13"/>
                                  <w:szCs w:val="13"/>
                                  <w:lang w:val="en-US" w:eastAsia="zh-CN"/>
                                  <w14:textFill>
                                    <w14:solidFill>
                                      <w14:schemeClr w14:val="tx1"/>
                                    </w14:solidFill>
                                  </w14:textFill>
                                </w:rPr>
                                <w:t>8313.31</w:t>
                              </w:r>
                            </w:p>
                          </w:txbxContent>
                        </v:textbox>
                      </v:rect>
                    </v:group>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4047490</wp:posOffset>
                      </wp:positionH>
                      <wp:positionV relativeFrom="paragraph">
                        <wp:posOffset>4114165</wp:posOffset>
                      </wp:positionV>
                      <wp:extent cx="436245" cy="209550"/>
                      <wp:effectExtent l="0" t="0" r="1905" b="0"/>
                      <wp:wrapNone/>
                      <wp:docPr id="5654" name="文本框 100"/>
                      <wp:cNvGraphicFramePr/>
                      <a:graphic xmlns:a="http://schemas.openxmlformats.org/drawingml/2006/main">
                        <a:graphicData uri="http://schemas.microsoft.com/office/word/2010/wordprocessingShape">
                          <wps:wsp>
                            <wps:cNvSpPr/>
                            <wps:spPr>
                              <a:xfrm>
                                <a:off x="0" y="0"/>
                                <a:ext cx="436245" cy="209550"/>
                              </a:xfrm>
                              <a:prstGeom prst="rect">
                                <a:avLst/>
                              </a:prstGeom>
                              <a:solidFill>
                                <a:srgbClr val="FFFFFF"/>
                              </a:solidFill>
                              <a:ln>
                                <a:noFill/>
                              </a:ln>
                            </wps:spPr>
                            <wps:txbx>
                              <w:txbxContent>
                                <w:p w14:paraId="736A3A14">
                                  <w:pPr>
                                    <w:rPr>
                                      <w:rFonts w:hint="default" w:eastAsia="宋体"/>
                                      <w:sz w:val="15"/>
                                      <w:szCs w:val="15"/>
                                      <w:lang w:val="en-US" w:eastAsia="zh-CN"/>
                                    </w:rPr>
                                  </w:pPr>
                                  <w:r>
                                    <w:rPr>
                                      <w:rFonts w:hint="eastAsia"/>
                                      <w:sz w:val="15"/>
                                      <w:szCs w:val="15"/>
                                      <w:lang w:val="en-US" w:eastAsia="zh-CN"/>
                                    </w:rPr>
                                    <w:t>540.8</w:t>
                                  </w:r>
                                </w:p>
                              </w:txbxContent>
                            </wps:txbx>
                            <wps:bodyPr rot="0" spcFirstLastPara="0" vertOverflow="overflow" horzOverflow="overflow" vert="horz" wrap="square" lIns="91440" tIns="45720" rIns="91440" bIns="45720" numCol="1" anchor="t" upright="1">
                              <a:noAutofit/>
                            </wps:bodyPr>
                          </wps:wsp>
                        </a:graphicData>
                      </a:graphic>
                    </wp:anchor>
                  </w:drawing>
                </mc:Choice>
                <mc:Fallback>
                  <w:pict>
                    <v:rect id="文本框 100" o:spid="_x0000_s1026" o:spt="1" style="position:absolute;left:0pt;margin-left:318.7pt;margin-top:323.95pt;height:16.5pt;width:34.35pt;z-index:251661312;mso-width-relative:page;mso-height-relative:page;" fillcolor="#FFFFFF" filled="t" stroked="f" coordsize="21600,21600" o:gfxdata="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uRy5NgAAAALAQAADwAAAAAAAAABACAAAAAiAAAAZHJzL2Rvd25yZXYueG1sUEsBAhQAFAAAAAgA&#10;h07iQK+dWdQlAgAAPAQAAA4AAAAAAAAAAQAgAAAAJwEAAGRycy9lMm9Eb2MueG1sUEsFBgAAAAAG&#10;AAYAWQEAAL4FAAAAAA==&#10;">
                      <v:fill on="t" focussize="0,0"/>
                      <v:stroke on="f"/>
                      <v:imagedata o:title=""/>
                      <o:lock v:ext="edit" aspectratio="f"/>
                      <v:textbox>
                        <w:txbxContent>
                          <w:p w14:paraId="736A3A14">
                            <w:pPr>
                              <w:rPr>
                                <w:rFonts w:hint="default" w:eastAsia="宋体"/>
                                <w:sz w:val="15"/>
                                <w:szCs w:val="15"/>
                                <w:lang w:val="en-US" w:eastAsia="zh-CN"/>
                              </w:rPr>
                            </w:pPr>
                            <w:r>
                              <w:rPr>
                                <w:rFonts w:hint="eastAsia"/>
                                <w:sz w:val="15"/>
                                <w:szCs w:val="15"/>
                                <w:lang w:val="en-US" w:eastAsia="zh-CN"/>
                              </w:rPr>
                              <w:t>540.8</w:t>
                            </w:r>
                          </w:p>
                        </w:txbxContent>
                      </v:textbox>
                    </v:rect>
                  </w:pict>
                </mc:Fallback>
              </mc:AlternateContent>
            </w:r>
            <w:r>
              <w:rPr>
                <w:rFonts w:hint="eastAsia" w:ascii="Times New Roman" w:hAnsi="Times New Roman" w:cs="Times New Roman"/>
                <w:b/>
                <w:bCs/>
                <w:color w:val="000000"/>
                <w:sz w:val="21"/>
                <w:szCs w:val="21"/>
                <w:highlight w:val="none"/>
                <w:lang w:val="en-US" w:eastAsia="zh-CN"/>
              </w:rPr>
              <w:object>
                <v:shape id="_x0000_i1025" o:spt="75" type="#_x0000_t75" style="height:506.25pt;width:393.15pt;" o:ole="t" filled="f" o:preferrelative="t" stroked="f" coordsize="21600,21600">
                  <v:path/>
                  <v:fill on="f" focussize="0,0"/>
                  <v:stroke on="f"/>
                  <v:imagedata r:id="rId12" o:title=""/>
                  <o:lock v:ext="edit" aspectratio="t"/>
                  <w10:wrap type="none"/>
                  <w10:anchorlock/>
                </v:shape>
                <o:OLEObject Type="Embed" ProgID="Visio.Drawing.15" ShapeID="_x0000_i1025" DrawAspect="Content" ObjectID="_1468075725" r:id="rId11">
                  <o:LockedField>false</o:LockedField>
                </o:OLEObject>
              </w:object>
            </w:r>
          </w:p>
          <w:p w14:paraId="555A4D81">
            <w:pPr>
              <w:pStyle w:val="61"/>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240" w:lineRule="auto"/>
              <w:ind w:left="422" w:leftChars="0" w:hanging="420"/>
              <w:jc w:val="center"/>
              <w:textAlignment w:val="auto"/>
              <w:rPr>
                <w:rFonts w:hint="default" w:ascii="Times New Roman" w:hAnsi="Times New Roman" w:cs="Times New Roman"/>
                <w:b/>
                <w:bCs/>
                <w:color w:val="000000"/>
                <w:sz w:val="21"/>
                <w:szCs w:val="21"/>
                <w:highlight w:val="none"/>
                <w:lang w:val="en-US" w:eastAsia="zh-CN"/>
              </w:rPr>
            </w:pPr>
            <w:r>
              <w:rPr>
                <w:rFonts w:hint="eastAsia" w:ascii="Times New Roman" w:hAnsi="Times New Roman" w:cs="Times New Roman"/>
                <w:b/>
                <w:bCs/>
                <w:color w:val="000000"/>
                <w:sz w:val="21"/>
                <w:szCs w:val="21"/>
                <w:highlight w:val="none"/>
                <w:lang w:val="en-US" w:eastAsia="zh-CN"/>
              </w:rPr>
              <w:t>图2-1为水平衡图</w:t>
            </w:r>
          </w:p>
          <w:p w14:paraId="3FE08906">
            <w:pPr>
              <w:widowControl/>
              <w:shd w:val="clear" w:color="auto" w:fill="auto"/>
              <w:adjustRightInd w:val="0"/>
              <w:snapToGrid w:val="0"/>
              <w:spacing w:line="360" w:lineRule="auto"/>
              <w:ind w:firstLine="422" w:firstLineChars="200"/>
              <w:rPr>
                <w:rFonts w:hint="default" w:ascii="Times New Roman" w:hAnsi="Times New Roman" w:cs="Times New Roman"/>
                <w:b/>
                <w:bCs/>
                <w:color w:val="000000"/>
                <w:sz w:val="21"/>
                <w:szCs w:val="21"/>
                <w:highlight w:val="none"/>
              </w:rPr>
            </w:pPr>
            <w:r>
              <w:rPr>
                <w:rFonts w:hint="eastAsia" w:cs="Times New Roman"/>
                <w:b/>
                <w:bCs/>
                <w:color w:val="000000"/>
                <w:sz w:val="21"/>
                <w:szCs w:val="21"/>
                <w:highlight w:val="none"/>
                <w:lang w:val="en-US" w:eastAsia="zh-CN"/>
              </w:rPr>
              <w:t>8.</w:t>
            </w:r>
            <w:r>
              <w:rPr>
                <w:rFonts w:hint="default" w:ascii="Times New Roman" w:hAnsi="Times New Roman" w:cs="Times New Roman"/>
                <w:b/>
                <w:bCs/>
                <w:color w:val="000000"/>
                <w:sz w:val="21"/>
                <w:szCs w:val="21"/>
                <w:highlight w:val="none"/>
              </w:rPr>
              <w:t>供电</w:t>
            </w:r>
          </w:p>
          <w:p w14:paraId="733E157C">
            <w:pPr>
              <w:widowControl/>
              <w:shd w:val="clear" w:color="auto" w:fill="auto"/>
              <w:spacing w:line="360" w:lineRule="auto"/>
              <w:ind w:firstLine="420" w:firstLineChars="200"/>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项目用电由</w:t>
            </w:r>
            <w:r>
              <w:rPr>
                <w:rFonts w:hint="default" w:ascii="Times New Roman" w:hAnsi="Times New Roman" w:cs="Times New Roman"/>
                <w:color w:val="000000"/>
                <w:sz w:val="21"/>
                <w:szCs w:val="21"/>
                <w:highlight w:val="none"/>
                <w:lang w:val="en-US" w:eastAsia="zh-CN"/>
              </w:rPr>
              <w:t>市政电网接入</w:t>
            </w:r>
            <w:r>
              <w:rPr>
                <w:rFonts w:hint="default" w:ascii="Times New Roman" w:hAnsi="Times New Roman" w:cs="Times New Roman"/>
                <w:color w:val="000000"/>
                <w:sz w:val="21"/>
                <w:szCs w:val="21"/>
                <w:highlight w:val="none"/>
              </w:rPr>
              <w:t>，能满足项目生产、生活的要求。</w:t>
            </w:r>
          </w:p>
          <w:p w14:paraId="0BFC633C">
            <w:pPr>
              <w:widowControl/>
              <w:shd w:val="clear" w:color="auto" w:fill="auto"/>
              <w:adjustRightInd w:val="0"/>
              <w:snapToGrid w:val="0"/>
              <w:spacing w:line="360" w:lineRule="auto"/>
              <w:ind w:firstLine="422" w:firstLineChars="200"/>
              <w:rPr>
                <w:rFonts w:hint="default" w:ascii="Times New Roman" w:hAnsi="Times New Roman" w:cs="Times New Roman"/>
                <w:b/>
                <w:bCs/>
                <w:color w:val="000000"/>
                <w:sz w:val="21"/>
                <w:szCs w:val="21"/>
                <w:highlight w:val="none"/>
              </w:rPr>
            </w:pPr>
            <w:r>
              <w:rPr>
                <w:rFonts w:hint="eastAsia" w:cs="Times New Roman"/>
                <w:b/>
                <w:bCs/>
                <w:color w:val="000000"/>
                <w:sz w:val="21"/>
                <w:szCs w:val="21"/>
                <w:highlight w:val="none"/>
                <w:lang w:val="en-US" w:eastAsia="zh-CN"/>
              </w:rPr>
              <w:t>9.</w:t>
            </w:r>
            <w:r>
              <w:rPr>
                <w:rFonts w:hint="default" w:ascii="Times New Roman" w:hAnsi="Times New Roman" w:cs="Times New Roman"/>
                <w:b/>
                <w:bCs/>
                <w:color w:val="000000"/>
                <w:sz w:val="21"/>
                <w:szCs w:val="21"/>
                <w:highlight w:val="none"/>
              </w:rPr>
              <w:t>劳动定员及工作制度</w:t>
            </w:r>
          </w:p>
          <w:p w14:paraId="17E7FDEC">
            <w:pPr>
              <w:shd w:val="clear" w:color="auto" w:fill="auto"/>
              <w:spacing w:line="360" w:lineRule="auto"/>
              <w:ind w:firstLine="420" w:firstLineChars="200"/>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劳动定员：本项目</w:t>
            </w:r>
            <w:r>
              <w:rPr>
                <w:rFonts w:hint="default" w:ascii="Times New Roman" w:hAnsi="Times New Roman" w:cs="Times New Roman"/>
                <w:color w:val="000000"/>
                <w:sz w:val="21"/>
                <w:szCs w:val="21"/>
                <w:highlight w:val="none"/>
                <w:lang w:val="en-US" w:eastAsia="zh-CN"/>
              </w:rPr>
              <w:t>设置工作人员</w:t>
            </w:r>
            <w:r>
              <w:rPr>
                <w:rFonts w:hint="eastAsia" w:ascii="Times New Roman" w:hAnsi="Times New Roman" w:cs="Times New Roman"/>
                <w:color w:val="000000"/>
                <w:sz w:val="21"/>
                <w:szCs w:val="21"/>
                <w:highlight w:val="none"/>
                <w:lang w:val="en-US" w:eastAsia="zh-CN"/>
              </w:rPr>
              <w:t>50</w:t>
            </w:r>
            <w:r>
              <w:rPr>
                <w:rFonts w:hint="default" w:ascii="Times New Roman" w:hAnsi="Times New Roman" w:cs="Times New Roman"/>
                <w:color w:val="000000"/>
                <w:sz w:val="21"/>
                <w:szCs w:val="21"/>
                <w:highlight w:val="none"/>
                <w:lang w:val="en-US" w:eastAsia="zh-CN"/>
              </w:rPr>
              <w:t>人</w:t>
            </w:r>
            <w:r>
              <w:rPr>
                <w:rFonts w:hint="default" w:ascii="Times New Roman" w:hAnsi="Times New Roman" w:cs="Times New Roman"/>
                <w:color w:val="000000"/>
                <w:sz w:val="21"/>
                <w:szCs w:val="21"/>
                <w:highlight w:val="none"/>
              </w:rPr>
              <w:t>。</w:t>
            </w:r>
          </w:p>
          <w:p w14:paraId="30EC7586">
            <w:pPr>
              <w:shd w:val="clear" w:color="auto" w:fill="auto"/>
              <w:adjustRightInd w:val="0"/>
              <w:snapToGrid w:val="0"/>
              <w:spacing w:line="360" w:lineRule="auto"/>
              <w:ind w:firstLine="420" w:firstLineChars="200"/>
              <w:rPr>
                <w:rFonts w:hint="default" w:eastAsia="宋体"/>
                <w:lang w:val="en-US" w:eastAsia="zh-CN"/>
              </w:rPr>
            </w:pPr>
            <w:r>
              <w:rPr>
                <w:rFonts w:hint="default" w:ascii="Times New Roman" w:hAnsi="Times New Roman" w:cs="Times New Roman"/>
                <w:color w:val="000000"/>
                <w:sz w:val="21"/>
                <w:szCs w:val="21"/>
                <w:highlight w:val="none"/>
              </w:rPr>
              <w:t>工作制度：本项目</w:t>
            </w:r>
            <w:r>
              <w:rPr>
                <w:rFonts w:hint="eastAsia" w:cs="Times New Roman"/>
                <w:color w:val="000000"/>
                <w:sz w:val="21"/>
                <w:szCs w:val="21"/>
                <w:highlight w:val="none"/>
                <w:lang w:val="en-US" w:eastAsia="zh-CN"/>
              </w:rPr>
              <w:t>每</w:t>
            </w:r>
            <w:r>
              <w:rPr>
                <w:rFonts w:hint="default" w:ascii="Times New Roman" w:hAnsi="Times New Roman" w:cs="Times New Roman"/>
                <w:color w:val="000000"/>
                <w:sz w:val="21"/>
                <w:szCs w:val="21"/>
                <w:highlight w:val="none"/>
              </w:rPr>
              <w:t>年工作300天，工作制度采用</w:t>
            </w:r>
            <w:r>
              <w:rPr>
                <w:rFonts w:hint="default" w:ascii="Times New Roman" w:hAnsi="Times New Roman" w:cs="Times New Roman"/>
                <w:color w:val="000000"/>
                <w:sz w:val="21"/>
                <w:szCs w:val="21"/>
                <w:highlight w:val="none"/>
                <w:lang w:val="en-US" w:eastAsia="zh-CN"/>
              </w:rPr>
              <w:t>一</w:t>
            </w:r>
            <w:r>
              <w:rPr>
                <w:rFonts w:hint="default" w:ascii="Times New Roman" w:hAnsi="Times New Roman" w:cs="Times New Roman"/>
                <w:color w:val="000000"/>
                <w:sz w:val="21"/>
                <w:szCs w:val="21"/>
                <w:highlight w:val="none"/>
              </w:rPr>
              <w:t>班制，每班工作8小时</w:t>
            </w:r>
            <w:r>
              <w:rPr>
                <w:rFonts w:hint="default"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lang w:val="en-US" w:eastAsia="zh-CN"/>
              </w:rPr>
              <w:t>厂区提供食宿</w:t>
            </w:r>
            <w:r>
              <w:rPr>
                <w:rFonts w:hint="default" w:ascii="Times New Roman" w:hAnsi="Times New Roman" w:cs="Times New Roman"/>
                <w:color w:val="000000"/>
                <w:sz w:val="21"/>
                <w:szCs w:val="21"/>
                <w:highlight w:val="none"/>
              </w:rPr>
              <w:t>。</w:t>
            </w:r>
          </w:p>
        </w:tc>
      </w:tr>
      <w:tr w14:paraId="711756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98" w:hRule="atLeast"/>
          <w:jc w:val="center"/>
        </w:trPr>
        <w:tc>
          <w:tcPr>
            <w:tcW w:w="537" w:type="pct"/>
            <w:shd w:val="clear" w:color="auto" w:fill="auto"/>
            <w:noWrap w:val="0"/>
            <w:vAlign w:val="center"/>
          </w:tcPr>
          <w:p w14:paraId="5A3F81B8">
            <w:pPr>
              <w:pStyle w:val="66"/>
              <w:shd w:val="clear" w:color="auto" w:fill="auto"/>
              <w:adjustRightInd w:val="0"/>
              <w:snapToGrid w:val="0"/>
              <w:spacing w:before="0" w:beforeAutospacing="0" w:after="0" w:afterAutospacing="0"/>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val="en-US" w:eastAsia="zh-CN"/>
              </w:rPr>
              <w:t xml:space="preserve">工艺 </w:t>
            </w:r>
          </w:p>
          <w:p w14:paraId="4F691427">
            <w:pPr>
              <w:pStyle w:val="66"/>
              <w:shd w:val="clear" w:color="auto" w:fill="auto"/>
              <w:adjustRightInd w:val="0"/>
              <w:snapToGrid w:val="0"/>
              <w:spacing w:before="0" w:beforeAutospacing="0" w:after="0" w:afterAutospacing="0"/>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val="en-US" w:eastAsia="zh-CN"/>
              </w:rPr>
              <w:t xml:space="preserve">流程 </w:t>
            </w:r>
          </w:p>
          <w:p w14:paraId="23527515">
            <w:pPr>
              <w:pStyle w:val="66"/>
              <w:shd w:val="clear" w:color="auto" w:fill="auto"/>
              <w:adjustRightInd w:val="0"/>
              <w:snapToGrid w:val="0"/>
              <w:spacing w:before="0" w:beforeAutospacing="0" w:after="0" w:afterAutospacing="0"/>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val="en-US" w:eastAsia="zh-CN"/>
              </w:rPr>
              <w:t xml:space="preserve">和产 </w:t>
            </w:r>
          </w:p>
          <w:p w14:paraId="03550E3D">
            <w:pPr>
              <w:pStyle w:val="66"/>
              <w:shd w:val="clear" w:color="auto" w:fill="auto"/>
              <w:adjustRightInd w:val="0"/>
              <w:snapToGrid w:val="0"/>
              <w:spacing w:before="0" w:beforeAutospacing="0" w:after="0" w:afterAutospacing="0"/>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val="en-US" w:eastAsia="zh-CN"/>
              </w:rPr>
              <w:t xml:space="preserve">排污 </w:t>
            </w:r>
          </w:p>
          <w:p w14:paraId="5AD0668F">
            <w:pPr>
              <w:pStyle w:val="66"/>
              <w:shd w:val="clear" w:color="auto" w:fill="auto"/>
              <w:adjustRightInd w:val="0"/>
              <w:snapToGrid w:val="0"/>
              <w:spacing w:before="0" w:beforeAutospacing="0" w:after="0" w:afterAutospacing="0"/>
              <w:jc w:val="center"/>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val="en-US" w:eastAsia="zh-CN"/>
              </w:rPr>
              <w:t>环节</w:t>
            </w:r>
          </w:p>
        </w:tc>
        <w:tc>
          <w:tcPr>
            <w:tcW w:w="4462" w:type="pct"/>
            <w:shd w:val="clear" w:color="auto" w:fill="auto"/>
            <w:noWrap w:val="0"/>
            <w:vAlign w:val="top"/>
          </w:tcPr>
          <w:p w14:paraId="5ECF7FA3">
            <w:pPr>
              <w:widowControl/>
              <w:shd w:val="clear" w:color="auto" w:fill="auto"/>
              <w:adjustRightInd w:val="0"/>
              <w:snapToGrid w:val="0"/>
              <w:spacing w:line="360" w:lineRule="auto"/>
              <w:ind w:firstLine="420" w:firstLineChars="200"/>
              <w:rPr>
                <w:rFonts w:hint="default" w:ascii="Times New Roman" w:hAnsi="Times New Roman" w:eastAsia="宋体" w:cs="Times New Roman"/>
                <w:b/>
                <w:bCs/>
                <w:color w:val="000000"/>
                <w:sz w:val="21"/>
                <w:szCs w:val="21"/>
                <w:highlight w:val="none"/>
                <w:lang w:val="en-US" w:eastAsia="zh-CN"/>
              </w:rPr>
            </w:pPr>
            <w:r>
              <mc:AlternateContent>
                <mc:Choice Requires="wps">
                  <w:drawing>
                    <wp:anchor distT="0" distB="0" distL="114300" distR="114300" simplePos="0" relativeHeight="251661312" behindDoc="0" locked="0" layoutInCell="1" allowOverlap="1">
                      <wp:simplePos x="0" y="0"/>
                      <wp:positionH relativeFrom="column">
                        <wp:posOffset>1983740</wp:posOffset>
                      </wp:positionH>
                      <wp:positionV relativeFrom="paragraph">
                        <wp:posOffset>250825</wp:posOffset>
                      </wp:positionV>
                      <wp:extent cx="1270000" cy="295910"/>
                      <wp:effectExtent l="0" t="0" r="6350" b="8890"/>
                      <wp:wrapNone/>
                      <wp:docPr id="5655" name="文本框 28"/>
                      <wp:cNvGraphicFramePr/>
                      <a:graphic xmlns:a="http://schemas.openxmlformats.org/drawingml/2006/main">
                        <a:graphicData uri="http://schemas.microsoft.com/office/word/2010/wordprocessingShape">
                          <wps:wsp>
                            <wps:cNvSpPr/>
                            <wps:spPr>
                              <a:xfrm>
                                <a:off x="0" y="0"/>
                                <a:ext cx="1270000" cy="295910"/>
                              </a:xfrm>
                              <a:prstGeom prst="rect">
                                <a:avLst/>
                              </a:prstGeom>
                              <a:solidFill>
                                <a:srgbClr val="FFFFFF"/>
                              </a:solidFill>
                              <a:ln>
                                <a:noFill/>
                              </a:ln>
                            </wps:spPr>
                            <wps:txbx>
                              <w:txbxContent>
                                <w:p w14:paraId="2DDD61D8"/>
                              </w:txbxContent>
                            </wps:txbx>
                            <wps:bodyPr rot="0" spcFirstLastPara="0" vertOverflow="overflow" horzOverflow="overflow" vert="horz" wrap="square" lIns="91440" tIns="45720" rIns="91440" bIns="45720" numCol="1" anchor="t" upright="1">
                              <a:noAutofit/>
                            </wps:bodyPr>
                          </wps:wsp>
                        </a:graphicData>
                      </a:graphic>
                    </wp:anchor>
                  </w:drawing>
                </mc:Choice>
                <mc:Fallback>
                  <w:pict>
                    <v:rect id="文本框 28" o:spid="_x0000_s1026" o:spt="1" style="position:absolute;left:0pt;margin-left:156.2pt;margin-top:19.75pt;height:23.3pt;width:100pt;z-index:251661312;mso-width-relative:page;mso-height-relative:page;" fillcolor="#FFFFFF" filled="t" stroked="f" coordsize="21600,21600" o:gfxdata="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pS&#10;4Z3WAAAACQEAAA8AAAAAAAAAAQAgAAAAIgAAAGRycy9kb3ducmV2LnhtbFBLAQIUABQAAAAIAIdO&#10;4kDwB0ReJQIAADwEAAAOAAAAAAAAAAEAIAAAACUBAABkcnMvZTJvRG9jLnhtbFBLBQYAAAAABgAG&#10;AFkBAAC8BQAAAAA=&#10;">
                      <v:fill on="t" focussize="0,0"/>
                      <v:stroke on="f"/>
                      <v:imagedata o:title=""/>
                      <o:lock v:ext="edit" aspectratio="f"/>
                      <v:textbox>
                        <w:txbxContent>
                          <w:p w14:paraId="2DDD61D8"/>
                        </w:txbxContent>
                      </v:textbox>
                    </v:rect>
                  </w:pict>
                </mc:Fallback>
              </mc:AlternateContent>
            </w:r>
            <w:r>
              <w:rPr>
                <w:rFonts w:hint="eastAsia"/>
                <w:lang w:eastAsia="zh-CN"/>
              </w:rPr>
              <w:t>1.</w:t>
            </w:r>
            <w:r>
              <w:rPr>
                <w:rFonts w:hint="eastAsia" w:ascii="Times New Roman" w:hAnsi="Times New Roman" w:eastAsia="宋体" w:cs="Times New Roman"/>
                <w:b/>
                <w:bCs/>
                <w:color w:val="000000"/>
                <w:sz w:val="21"/>
                <w:szCs w:val="21"/>
                <w:highlight w:val="none"/>
                <w:lang w:val="en-US" w:eastAsia="zh-CN"/>
              </w:rPr>
              <w:t>施工工艺流程及产污环节</w:t>
            </w:r>
          </w:p>
          <w:p w14:paraId="13CC0F4D">
            <w:pPr>
              <w:shd w:val="clear" w:color="auto" w:fill="auto"/>
              <w:autoSpaceDE w:val="0"/>
              <w:spacing w:line="360" w:lineRule="auto"/>
              <w:ind w:firstLine="420" w:firstLineChars="200"/>
              <w:rPr>
                <w:rFonts w:hint="default" w:ascii="Times New Roman" w:hAnsi="Times New Roman" w:eastAsia="宋体" w:cs="Times New Roman"/>
                <w:color w:val="000000"/>
                <w:highlight w:val="none"/>
              </w:rPr>
            </w:pPr>
            <w:r>
              <mc:AlternateContent>
                <mc:Choice Requires="wps">
                  <w:drawing>
                    <wp:anchor distT="0" distB="0" distL="114300" distR="114300" simplePos="0" relativeHeight="251661312" behindDoc="0" locked="0" layoutInCell="1" allowOverlap="1">
                      <wp:simplePos x="0" y="0"/>
                      <wp:positionH relativeFrom="column">
                        <wp:posOffset>3245485</wp:posOffset>
                      </wp:positionH>
                      <wp:positionV relativeFrom="paragraph">
                        <wp:posOffset>594995</wp:posOffset>
                      </wp:positionV>
                      <wp:extent cx="579120" cy="248285"/>
                      <wp:effectExtent l="0" t="0" r="11430" b="18415"/>
                      <wp:wrapNone/>
                      <wp:docPr id="5656" name="文本框 30"/>
                      <wp:cNvGraphicFramePr/>
                      <a:graphic xmlns:a="http://schemas.openxmlformats.org/drawingml/2006/main">
                        <a:graphicData uri="http://schemas.microsoft.com/office/word/2010/wordprocessingShape">
                          <wps:wsp>
                            <wps:cNvSpPr/>
                            <wps:spPr>
                              <a:xfrm>
                                <a:off x="0" y="0"/>
                                <a:ext cx="579120" cy="248285"/>
                              </a:xfrm>
                              <a:prstGeom prst="rect">
                                <a:avLst/>
                              </a:prstGeom>
                              <a:solidFill>
                                <a:srgbClr val="FFFFFF"/>
                              </a:solidFill>
                              <a:ln>
                                <a:noFill/>
                              </a:ln>
                            </wps:spPr>
                            <wps:txbx>
                              <w:txbxContent>
                                <w:p w14:paraId="559089B6">
                                  <w:pPr>
                                    <w:jc w:val="center"/>
                                    <w:rPr>
                                      <w:rFonts w:hint="eastAsia" w:eastAsia="宋体"/>
                                      <w:lang w:val="en-US" w:eastAsia="zh-CN"/>
                                    </w:rPr>
                                  </w:pPr>
                                  <w:r>
                                    <w:rPr>
                                      <w:rFonts w:hint="eastAsia"/>
                                      <w:lang w:val="en-US" w:eastAsia="zh-CN"/>
                                    </w:rPr>
                                    <w:t>旱厕</w:t>
                                  </w:r>
                                </w:p>
                              </w:txbxContent>
                            </wps:txbx>
                            <wps:bodyPr rot="0" spcFirstLastPara="0" vertOverflow="overflow" horzOverflow="overflow" vert="horz" wrap="square" lIns="91440" tIns="45720" rIns="91440" bIns="45720" numCol="1" anchor="t" upright="1">
                              <a:noAutofit/>
                            </wps:bodyPr>
                          </wps:wsp>
                        </a:graphicData>
                      </a:graphic>
                    </wp:anchor>
                  </w:drawing>
                </mc:Choice>
                <mc:Fallback>
                  <w:pict>
                    <v:rect id="文本框 30" o:spid="_x0000_s1026" o:spt="1" style="position:absolute;left:0pt;margin-left:255.55pt;margin-top:46.85pt;height:19.55pt;width:45.6pt;z-index:251661312;mso-width-relative:page;mso-height-relative:page;" fillcolor="#FFFFFF" filled="t" stroked="f" coordsize="21600,21600" o:gfxdata="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47m&#10;ktgAAAAKAQAADwAAAAAAAAABACAAAAAiAAAAZHJzL2Rvd25yZXYueG1sUEsBAhQAFAAAAAgAh07i&#10;QCV7xsEiAgAAOwQAAA4AAAAAAAAAAQAgAAAAJwEAAGRycy9lMm9Eb2MueG1sUEsFBgAAAAAGAAYA&#10;WQEAALsFAAAAAA==&#10;">
                      <v:fill on="t" focussize="0,0"/>
                      <v:stroke on="f"/>
                      <v:imagedata o:title=""/>
                      <o:lock v:ext="edit" aspectratio="f"/>
                      <v:textbox>
                        <w:txbxContent>
                          <w:p w14:paraId="559089B6">
                            <w:pPr>
                              <w:jc w:val="center"/>
                              <w:rPr>
                                <w:rFonts w:hint="eastAsia" w:eastAsia="宋体"/>
                                <w:lang w:val="en-US" w:eastAsia="zh-CN"/>
                              </w:rPr>
                            </w:pPr>
                            <w:r>
                              <w:rPr>
                                <w:rFonts w:hint="eastAsia"/>
                                <w:lang w:val="en-US" w:eastAsia="zh-CN"/>
                              </w:rPr>
                              <w:t>旱厕</w:t>
                            </w: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2967990</wp:posOffset>
                      </wp:positionH>
                      <wp:positionV relativeFrom="paragraph">
                        <wp:posOffset>30480</wp:posOffset>
                      </wp:positionV>
                      <wp:extent cx="1110615" cy="278765"/>
                      <wp:effectExtent l="0" t="0" r="13335" b="6985"/>
                      <wp:wrapNone/>
                      <wp:docPr id="5657" name="文本框 29"/>
                      <wp:cNvGraphicFramePr/>
                      <a:graphic xmlns:a="http://schemas.openxmlformats.org/drawingml/2006/main">
                        <a:graphicData uri="http://schemas.microsoft.com/office/word/2010/wordprocessingShape">
                          <wps:wsp>
                            <wps:cNvSpPr/>
                            <wps:spPr>
                              <a:xfrm>
                                <a:off x="0" y="0"/>
                                <a:ext cx="1110615" cy="278765"/>
                              </a:xfrm>
                              <a:prstGeom prst="rect">
                                <a:avLst/>
                              </a:prstGeom>
                              <a:solidFill>
                                <a:srgbClr val="FFFFFF"/>
                              </a:solidFill>
                              <a:ln>
                                <a:noFill/>
                              </a:ln>
                            </wps:spPr>
                            <wps:txbx>
                              <w:txbxContent>
                                <w:p w14:paraId="70263A6A">
                                  <w:pPr>
                                    <w:rPr>
                                      <w:rFonts w:hint="default" w:eastAsia="宋体"/>
                                      <w:sz w:val="18"/>
                                      <w:szCs w:val="18"/>
                                      <w:lang w:val="en-US" w:eastAsia="zh-CN"/>
                                    </w:rPr>
                                  </w:pPr>
                                  <w:r>
                                    <w:rPr>
                                      <w:rFonts w:hint="eastAsia"/>
                                      <w:sz w:val="18"/>
                                      <w:szCs w:val="18"/>
                                      <w:lang w:val="en-US" w:eastAsia="zh-CN"/>
                                    </w:rPr>
                                    <w:t>附近村民拉运肥田</w:t>
                                  </w:r>
                                </w:p>
                              </w:txbxContent>
                            </wps:txbx>
                            <wps:bodyPr rot="0" spcFirstLastPara="0" vertOverflow="overflow" horzOverflow="overflow" vert="horz" wrap="square" lIns="91440" tIns="45720" rIns="91440" bIns="45720" numCol="1" anchor="t" upright="1">
                              <a:noAutofit/>
                            </wps:bodyPr>
                          </wps:wsp>
                        </a:graphicData>
                      </a:graphic>
                    </wp:anchor>
                  </w:drawing>
                </mc:Choice>
                <mc:Fallback>
                  <w:pict>
                    <v:rect id="文本框 29" o:spid="_x0000_s1026" o:spt="1" style="position:absolute;left:0pt;margin-left:233.7pt;margin-top:2.4pt;height:21.95pt;width:87.45pt;z-index:251661312;mso-width-relative:page;mso-height-relative:page;" fillcolor="#FFFFFF" filled="t" stroked="f" coordsize="21600,21600" o:gfxdata="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HaZ&#10;idUAAAAIAQAADwAAAAAAAAABACAAAAAiAAAAZHJzL2Rvd25yZXYueG1sUEsBAhQAFAAAAAgAh07i&#10;QOrmjSUlAgAAPAQAAA4AAAAAAAAAAQAgAAAAJAEAAGRycy9lMm9Eb2MueG1sUEsFBgAAAAAGAAYA&#10;WQEAALsFAAAAAA==&#10;">
                      <v:fill on="t" focussize="0,0"/>
                      <v:stroke on="f"/>
                      <v:imagedata o:title=""/>
                      <o:lock v:ext="edit" aspectratio="f"/>
                      <v:textbox>
                        <w:txbxContent>
                          <w:p w14:paraId="70263A6A">
                            <w:pPr>
                              <w:rPr>
                                <w:rFonts w:hint="default" w:eastAsia="宋体"/>
                                <w:sz w:val="18"/>
                                <w:szCs w:val="18"/>
                                <w:lang w:val="en-US" w:eastAsia="zh-CN"/>
                              </w:rPr>
                            </w:pPr>
                            <w:r>
                              <w:rPr>
                                <w:rFonts w:hint="eastAsia"/>
                                <w:sz w:val="18"/>
                                <w:szCs w:val="18"/>
                                <w:lang w:val="en-US" w:eastAsia="zh-CN"/>
                              </w:rPr>
                              <w:t>附近村民拉运肥田</w:t>
                            </w:r>
                          </w:p>
                        </w:txbxContent>
                      </v:textbox>
                    </v:rect>
                  </w:pict>
                </mc:Fallback>
              </mc:AlternateContent>
            </w:r>
            <w:r>
              <w:rPr>
                <w:rFonts w:hint="default" w:ascii="Times New Roman" w:hAnsi="Times New Roman" w:eastAsia="宋体" w:cs="Times New Roman"/>
                <w:color w:val="000000"/>
                <w:highlight w:val="none"/>
              </w:rPr>
              <w:object>
                <v:shape id="_x0000_i1026" o:spt="75" type="#_x0000_t75" style="height:263.15pt;width:360.8pt;" o:ole="t" filled="f" o:preferrelative="t" stroked="f" coordsize="21600,21600">
                  <v:path/>
                  <v:fill on="f" focussize="0,0"/>
                  <v:stroke on="f"/>
                  <v:imagedata r:id="rId14" o:title=""/>
                  <o:lock v:ext="edit" aspectratio="t"/>
                  <w10:wrap type="none"/>
                  <w10:anchorlock/>
                </v:shape>
                <o:OLEObject Type="Embed" ProgID="Visio.Drawing.11" ShapeID="_x0000_i1026" DrawAspect="Content" ObjectID="_1468075726" r:id="rId13">
                  <o:LockedField>false</o:LockedField>
                </o:OLEObject>
              </w:object>
            </w:r>
          </w:p>
          <w:p w14:paraId="1A42B6FF">
            <w:pPr>
              <w:keepNext/>
              <w:keepLines/>
              <w:widowControl/>
              <w:shd w:val="clear" w:color="auto" w:fill="auto"/>
              <w:adjustRightInd w:val="0"/>
              <w:snapToGrid w:val="0"/>
              <w:spacing w:line="360" w:lineRule="auto"/>
              <w:jc w:val="center"/>
              <w:outlineLvl w:val="0"/>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图2-2 施工工艺流程及产污环节图</w:t>
            </w:r>
          </w:p>
          <w:p w14:paraId="50C97ECE">
            <w:pPr>
              <w:shd w:val="clear" w:color="auto" w:fill="auto"/>
              <w:autoSpaceDE w:val="0"/>
              <w:spacing w:line="360" w:lineRule="auto"/>
              <w:ind w:firstLine="420" w:firstLineChars="200"/>
              <w:rPr>
                <w:rFonts w:hint="default" w:ascii="Times New Roman" w:hAnsi="Times New Roman" w:eastAsia="宋体" w:cs="Times New Roman"/>
                <w:color w:val="000000"/>
                <w:highlight w:val="none"/>
              </w:rPr>
            </w:pPr>
            <w:r>
              <w:rPr>
                <w:rFonts w:hint="default" w:ascii="Times New Roman" w:hAnsi="Times New Roman" w:eastAsia="宋体" w:cs="Times New Roman"/>
                <w:color w:val="000000"/>
                <w:highlight w:val="none"/>
              </w:rPr>
              <w:t>工艺流程简述</w:t>
            </w:r>
            <w:r>
              <w:rPr>
                <w:rFonts w:hint="eastAsia" w:cs="Times New Roman"/>
                <w:color w:val="000000"/>
                <w:highlight w:val="none"/>
                <w:lang w:val="en-US" w:eastAsia="zh-CN"/>
              </w:rPr>
              <w:t>如下</w:t>
            </w:r>
            <w:r>
              <w:rPr>
                <w:rFonts w:hint="default" w:ascii="Times New Roman" w:hAnsi="Times New Roman" w:eastAsia="宋体" w:cs="Times New Roman"/>
                <w:color w:val="000000"/>
                <w:highlight w:val="none"/>
              </w:rPr>
              <w:t>：</w:t>
            </w:r>
          </w:p>
          <w:p w14:paraId="30641D72">
            <w:pPr>
              <w:widowControl/>
              <w:shd w:val="clear" w:color="auto" w:fill="auto"/>
              <w:adjustRightInd w:val="0"/>
              <w:snapToGrid w:val="0"/>
              <w:spacing w:line="360" w:lineRule="auto"/>
              <w:ind w:firstLine="420" w:firstLineChars="200"/>
              <w:rPr>
                <w:rFonts w:hint="default" w:ascii="Times New Roman" w:hAnsi="Times New Roman" w:eastAsia="宋体" w:cs="Times New Roman"/>
                <w:b w:val="0"/>
                <w:bCs w:val="0"/>
                <w:color w:val="000000"/>
                <w:sz w:val="21"/>
                <w:szCs w:val="21"/>
                <w:highlight w:val="none"/>
                <w:lang w:eastAsia="zh-CN"/>
              </w:rPr>
            </w:pPr>
            <w:r>
              <w:rPr>
                <w:rFonts w:hint="eastAsia" w:ascii="Times New Roman" w:hAnsi="Times New Roman" w:eastAsia="宋体" w:cs="Times New Roman"/>
                <w:b w:val="0"/>
                <w:bCs w:val="0"/>
                <w:color w:val="000000"/>
                <w:sz w:val="21"/>
                <w:szCs w:val="21"/>
                <w:highlight w:val="none"/>
                <w:lang w:eastAsia="zh-CN"/>
              </w:rPr>
              <w:t>施工工艺流程</w:t>
            </w:r>
            <w:r>
              <w:rPr>
                <w:rFonts w:hint="default" w:ascii="Times New Roman" w:hAnsi="Times New Roman" w:eastAsia="宋体" w:cs="Times New Roman"/>
                <w:b w:val="0"/>
                <w:bCs w:val="0"/>
                <w:color w:val="000000"/>
                <w:sz w:val="21"/>
                <w:szCs w:val="21"/>
                <w:highlight w:val="none"/>
                <w:lang w:eastAsia="zh-CN"/>
              </w:rPr>
              <w:t>包括基础工程、主体工程、装饰工程、设备安装及工程竣工验收。</w:t>
            </w:r>
          </w:p>
          <w:p w14:paraId="7DFDAF80">
            <w:pPr>
              <w:widowControl/>
              <w:shd w:val="clear" w:color="auto" w:fill="auto"/>
              <w:adjustRightInd w:val="0"/>
              <w:snapToGrid w:val="0"/>
              <w:spacing w:line="360" w:lineRule="auto"/>
              <w:ind w:firstLine="420" w:firstLineChars="200"/>
              <w:rPr>
                <w:rFonts w:hint="default" w:ascii="Times New Roman" w:hAnsi="Times New Roman" w:eastAsia="宋体" w:cs="Times New Roman"/>
                <w:color w:val="000000"/>
                <w:highlight w:val="none"/>
              </w:rPr>
            </w:pPr>
            <w:r>
              <w:rPr>
                <w:rFonts w:hint="default" w:ascii="Times New Roman" w:hAnsi="Times New Roman" w:eastAsia="宋体" w:cs="Times New Roman"/>
                <w:b w:val="0"/>
                <w:bCs w:val="0"/>
                <w:color w:val="000000"/>
                <w:sz w:val="21"/>
                <w:szCs w:val="21"/>
                <w:highlight w:val="none"/>
                <w:lang w:eastAsia="zh-CN"/>
              </w:rPr>
              <w:t>本项目施工期土方开挖、场地平整、物料运输等过程将产生扬尘、施工机械废气；施工人员将产生生活污水，运输车辆冲洗将产生施工废水；各类施工机械设备将产生噪声；施工过程将产生施工人员生活垃圾及建筑垃圾等固废。</w:t>
            </w:r>
          </w:p>
          <w:p w14:paraId="54F0F50E">
            <w:pPr>
              <w:widowControl/>
              <w:shd w:val="clear" w:color="auto" w:fill="auto"/>
              <w:adjustRightInd w:val="0"/>
              <w:snapToGrid w:val="0"/>
              <w:spacing w:line="360" w:lineRule="auto"/>
              <w:ind w:firstLine="422" w:firstLineChars="200"/>
              <w:rPr>
                <w:rFonts w:hint="default" w:ascii="Times New Roman" w:hAnsi="Times New Roman" w:eastAsia="宋体" w:cs="Times New Roman"/>
                <w:b/>
                <w:bCs/>
                <w:color w:val="000000"/>
                <w:sz w:val="21"/>
                <w:szCs w:val="21"/>
                <w:highlight w:val="none"/>
                <w:lang w:val="en-US" w:eastAsia="zh-CN"/>
              </w:rPr>
            </w:pPr>
            <w:r>
              <w:rPr>
                <w:rFonts w:hint="eastAsia" w:cs="Times New Roman"/>
                <w:b/>
                <w:bCs/>
                <w:color w:val="000000"/>
                <w:sz w:val="21"/>
                <w:szCs w:val="21"/>
                <w:highlight w:val="none"/>
                <w:lang w:val="en-US" w:eastAsia="zh-CN"/>
              </w:rPr>
              <w:t>2.</w:t>
            </w:r>
            <w:r>
              <w:rPr>
                <w:rFonts w:hint="eastAsia" w:ascii="Times New Roman" w:hAnsi="Times New Roman" w:eastAsia="宋体" w:cs="Times New Roman"/>
                <w:b/>
                <w:bCs/>
                <w:color w:val="000000"/>
                <w:sz w:val="21"/>
                <w:szCs w:val="21"/>
                <w:highlight w:val="none"/>
                <w:lang w:val="en-US" w:eastAsia="zh-CN"/>
              </w:rPr>
              <w:t>酿酒工艺流程及产污环节</w:t>
            </w:r>
          </w:p>
          <w:p w14:paraId="0C34C76B">
            <w:pPr>
              <w:widowControl/>
              <w:shd w:val="clear" w:color="auto" w:fill="auto"/>
              <w:adjustRightInd w:val="0"/>
              <w:snapToGrid w:val="0"/>
              <w:spacing w:line="360" w:lineRule="auto"/>
              <w:ind w:firstLine="420" w:firstLineChars="200"/>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eastAsia="宋体" w:cs="Times New Roman"/>
                <w:b w:val="0"/>
                <w:bCs w:val="0"/>
                <w:color w:val="000000"/>
                <w:sz w:val="21"/>
                <w:szCs w:val="21"/>
                <w:highlight w:val="none"/>
                <w:lang w:eastAsia="zh-CN"/>
              </w:rPr>
              <w:t>本公司为凤香型白酒的酿造，采用传统固态酒法（指采用固态糖化、固态发酵及固态蒸馏的传统工艺酿制而成的白酒），由高粱和大曲发酵酿制。</w:t>
            </w:r>
          </w:p>
          <w:p w14:paraId="2CF2640B">
            <w:pPr>
              <w:widowControl/>
              <w:shd w:val="clear" w:color="auto" w:fill="auto"/>
              <w:adjustRightInd w:val="0"/>
              <w:snapToGrid w:val="0"/>
              <w:spacing w:line="360" w:lineRule="auto"/>
              <w:ind w:firstLine="420" w:firstLineChars="200"/>
              <w:rPr>
                <w:rFonts w:hint="eastAsia" w:ascii="Times New Roman" w:hAnsi="Times New Roman" w:eastAsia="宋体" w:cs="Times New Roman"/>
                <w:b w:val="0"/>
                <w:bCs w:val="0"/>
                <w:color w:val="000000"/>
                <w:sz w:val="21"/>
                <w:szCs w:val="21"/>
                <w:highlight w:val="none"/>
                <w:lang w:eastAsia="zh-CN"/>
              </w:rPr>
            </w:pPr>
            <w:r>
              <w:rPr>
                <w:rFonts w:hint="eastAsia" w:ascii="Times New Roman" w:hAnsi="Times New Roman" w:eastAsia="宋体" w:cs="Times New Roman"/>
                <w:b w:val="0"/>
                <w:bCs w:val="0"/>
                <w:color w:val="000000"/>
                <w:sz w:val="21"/>
                <w:szCs w:val="21"/>
                <w:highlight w:val="none"/>
                <w:lang w:eastAsia="zh-CN"/>
              </w:rPr>
              <w:t>（1）破壳粉碎：将产品原料高粱通过粉碎机进行破壳粉碎，细度要求</w:t>
            </w:r>
            <w:r>
              <w:rPr>
                <w:rFonts w:hint="eastAsia"/>
                <w:lang w:val="en-US" w:eastAsia="zh-CN"/>
              </w:rPr>
              <w:t>为</w:t>
            </w:r>
            <w:r>
              <w:rPr>
                <w:rFonts w:hint="eastAsia" w:ascii="Times New Roman" w:hAnsi="Times New Roman" w:eastAsia="宋体" w:cs="Times New Roman"/>
                <w:b w:val="0"/>
                <w:bCs w:val="0"/>
                <w:color w:val="000000"/>
                <w:sz w:val="21"/>
                <w:szCs w:val="21"/>
                <w:highlight w:val="none"/>
                <w:lang w:eastAsia="zh-CN"/>
              </w:rPr>
              <w:t>4-6瓣。此工序产生原粮粉碎粉尘和设备噪声。</w:t>
            </w:r>
          </w:p>
          <w:p w14:paraId="19DBDC65">
            <w:pPr>
              <w:widowControl/>
              <w:shd w:val="clear" w:color="auto" w:fill="auto"/>
              <w:adjustRightInd w:val="0"/>
              <w:snapToGrid w:val="0"/>
              <w:spacing w:line="360" w:lineRule="auto"/>
              <w:ind w:firstLine="420" w:firstLineChars="200"/>
              <w:rPr>
                <w:rFonts w:hint="eastAsia" w:ascii="Times New Roman" w:hAnsi="Times New Roman" w:eastAsia="宋体" w:cs="Times New Roman"/>
                <w:b w:val="0"/>
                <w:bCs w:val="0"/>
                <w:color w:val="000000"/>
                <w:sz w:val="21"/>
                <w:szCs w:val="21"/>
                <w:highlight w:val="none"/>
                <w:lang w:eastAsia="zh-CN"/>
              </w:rPr>
            </w:pPr>
            <w:r>
              <w:rPr>
                <w:rFonts w:hint="eastAsia" w:ascii="Times New Roman" w:hAnsi="Times New Roman" w:eastAsia="宋体" w:cs="Times New Roman"/>
                <w:b w:val="0"/>
                <w:bCs w:val="0"/>
                <w:color w:val="000000"/>
                <w:sz w:val="21"/>
                <w:szCs w:val="21"/>
                <w:highlight w:val="none"/>
                <w:lang w:eastAsia="zh-CN"/>
              </w:rPr>
              <w:t>（2）</w:t>
            </w:r>
            <w:r>
              <w:rPr>
                <w:rFonts w:hint="eastAsia" w:ascii="Times New Roman" w:hAnsi="Times New Roman" w:eastAsia="宋体" w:cs="Times New Roman"/>
                <w:b w:val="0"/>
                <w:bCs w:val="0"/>
                <w:color w:val="000000"/>
                <w:sz w:val="21"/>
                <w:szCs w:val="21"/>
                <w:highlight w:val="none"/>
                <w:lang w:val="en-US" w:eastAsia="zh-CN"/>
              </w:rPr>
              <w:t>润粮</w:t>
            </w:r>
            <w:r>
              <w:rPr>
                <w:rFonts w:hint="eastAsia" w:ascii="Times New Roman" w:hAnsi="Times New Roman" w:eastAsia="宋体" w:cs="Times New Roman"/>
                <w:b w:val="0"/>
                <w:bCs w:val="0"/>
                <w:color w:val="000000"/>
                <w:sz w:val="21"/>
                <w:szCs w:val="21"/>
                <w:highlight w:val="none"/>
                <w:lang w:eastAsia="zh-CN"/>
              </w:rPr>
              <w:t>：将粉碎后的高粱配入一定比例的稻壳，加入适量的热开水进行搅拌，使其混合均匀。</w:t>
            </w:r>
          </w:p>
          <w:p w14:paraId="13552F73">
            <w:pPr>
              <w:widowControl/>
              <w:shd w:val="clear" w:color="auto" w:fill="auto"/>
              <w:adjustRightInd w:val="0"/>
              <w:snapToGrid w:val="0"/>
              <w:spacing w:line="360" w:lineRule="auto"/>
              <w:ind w:firstLine="420" w:firstLineChars="200"/>
              <w:rPr>
                <w:rFonts w:hint="eastAsia" w:ascii="Times New Roman" w:hAnsi="Times New Roman" w:eastAsia="宋体" w:cs="Times New Roman"/>
                <w:b w:val="0"/>
                <w:bCs w:val="0"/>
                <w:color w:val="000000"/>
                <w:sz w:val="21"/>
                <w:szCs w:val="21"/>
                <w:highlight w:val="none"/>
                <w:lang w:eastAsia="zh-CN"/>
              </w:rPr>
            </w:pPr>
            <w:r>
              <w:rPr>
                <w:rFonts w:hint="eastAsia" w:ascii="Times New Roman" w:hAnsi="Times New Roman" w:eastAsia="宋体" w:cs="Times New Roman"/>
                <w:b w:val="0"/>
                <w:bCs w:val="0"/>
                <w:color w:val="000000"/>
                <w:sz w:val="21"/>
                <w:szCs w:val="21"/>
                <w:highlight w:val="none"/>
                <w:lang w:eastAsia="zh-CN"/>
              </w:rPr>
              <w:t>（3）熟化：将搅拌均匀的粉料加入不锈钢甑桶，通过蒸汽加热40min进行糊化。</w:t>
            </w:r>
          </w:p>
          <w:p w14:paraId="498A8877">
            <w:pPr>
              <w:widowControl/>
              <w:shd w:val="clear" w:color="auto" w:fill="auto"/>
              <w:adjustRightInd w:val="0"/>
              <w:snapToGrid w:val="0"/>
              <w:spacing w:line="360" w:lineRule="auto"/>
              <w:ind w:firstLine="420" w:firstLineChars="200"/>
              <w:rPr>
                <w:rFonts w:hint="eastAsia" w:ascii="Times New Roman" w:hAnsi="Times New Roman" w:eastAsia="宋体" w:cs="Times New Roman"/>
                <w:b w:val="0"/>
                <w:bCs w:val="0"/>
                <w:color w:val="000000"/>
                <w:sz w:val="21"/>
                <w:szCs w:val="21"/>
                <w:highlight w:val="none"/>
                <w:lang w:eastAsia="zh-CN"/>
              </w:rPr>
            </w:pPr>
            <w:r>
              <w:rPr>
                <w:rFonts w:hint="eastAsia" w:ascii="Times New Roman" w:hAnsi="Times New Roman" w:eastAsia="宋体" w:cs="Times New Roman"/>
                <w:b w:val="0"/>
                <w:bCs w:val="0"/>
                <w:color w:val="000000"/>
                <w:sz w:val="21"/>
                <w:szCs w:val="21"/>
                <w:highlight w:val="none"/>
                <w:lang w:eastAsia="zh-CN"/>
              </w:rPr>
              <w:t>（4）自然冷却：将糊化后的熟料采用风冷进行自然冷却至30℃。</w:t>
            </w:r>
          </w:p>
          <w:p w14:paraId="6113C1DD">
            <w:pPr>
              <w:widowControl/>
              <w:shd w:val="clear" w:color="auto" w:fill="auto"/>
              <w:adjustRightInd w:val="0"/>
              <w:snapToGrid w:val="0"/>
              <w:spacing w:line="360" w:lineRule="auto"/>
              <w:ind w:firstLine="420" w:firstLineChars="200"/>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eastAsia="zh-CN"/>
              </w:rPr>
              <w:t>（5）熟料配曲：外购的成品大曲（曲块）粉碎（随用随粉碎，细度要求颗粒直径为4-6mm）后，按配比加入熟料后入窑。</w:t>
            </w:r>
            <w:r>
              <w:rPr>
                <w:rFonts w:hint="eastAsia" w:ascii="Times New Roman" w:hAnsi="Times New Roman" w:eastAsia="宋体" w:cs="Times New Roman"/>
                <w:b w:val="0"/>
                <w:bCs w:val="0"/>
                <w:color w:val="000000"/>
                <w:sz w:val="21"/>
                <w:szCs w:val="21"/>
                <w:highlight w:val="none"/>
                <w:lang w:val="en-US" w:eastAsia="zh-CN"/>
              </w:rPr>
              <w:t>此过程会产生粉尘、噪声。</w:t>
            </w:r>
          </w:p>
          <w:p w14:paraId="0AE2E286">
            <w:pPr>
              <w:widowControl/>
              <w:shd w:val="clear" w:color="auto" w:fill="auto"/>
              <w:adjustRightInd w:val="0"/>
              <w:snapToGrid w:val="0"/>
              <w:spacing w:line="360" w:lineRule="auto"/>
              <w:ind w:firstLine="420" w:firstLineChars="200"/>
              <w:rPr>
                <w:rFonts w:hint="eastAsia" w:ascii="Times New Roman" w:hAnsi="Times New Roman" w:eastAsia="宋体" w:cs="Times New Roman"/>
                <w:b w:val="0"/>
                <w:bCs w:val="0"/>
                <w:color w:val="000000"/>
                <w:sz w:val="21"/>
                <w:szCs w:val="21"/>
                <w:highlight w:val="none"/>
                <w:lang w:eastAsia="zh-CN"/>
              </w:rPr>
            </w:pPr>
            <w:r>
              <w:rPr>
                <w:rFonts w:hint="eastAsia" w:ascii="Times New Roman" w:hAnsi="Times New Roman" w:eastAsia="宋体" w:cs="Times New Roman"/>
                <w:b w:val="0"/>
                <w:bCs w:val="0"/>
                <w:color w:val="000000"/>
                <w:sz w:val="21"/>
                <w:szCs w:val="21"/>
                <w:highlight w:val="none"/>
                <w:lang w:eastAsia="zh-CN"/>
              </w:rPr>
              <w:t>（6）恒温发酵：采用发酵窑封闭发酵，分立窑、破窑、顶窑、</w:t>
            </w:r>
            <w:r>
              <w:t>圆窑等</w:t>
            </w:r>
            <w:r>
              <w:rPr>
                <w:rFonts w:hint="eastAsia"/>
                <w:lang w:eastAsia="zh-CN"/>
              </w:rPr>
              <w:t>。</w:t>
            </w:r>
          </w:p>
          <w:p w14:paraId="628B7BBB">
            <w:pPr>
              <w:widowControl/>
              <w:shd w:val="clear" w:color="auto" w:fill="auto"/>
              <w:adjustRightInd w:val="0"/>
              <w:snapToGrid w:val="0"/>
              <w:spacing w:line="360" w:lineRule="auto"/>
              <w:ind w:firstLine="420" w:firstLineChars="200"/>
              <w:rPr>
                <w:rFonts w:hint="eastAsia" w:ascii="Times New Roman" w:hAnsi="Times New Roman" w:eastAsia="宋体" w:cs="Times New Roman"/>
                <w:b w:val="0"/>
                <w:bCs w:val="0"/>
                <w:color w:val="000000"/>
                <w:sz w:val="21"/>
                <w:szCs w:val="21"/>
                <w:highlight w:val="none"/>
                <w:lang w:eastAsia="zh-CN"/>
              </w:rPr>
            </w:pPr>
            <w:r>
              <w:rPr>
                <w:rFonts w:hint="eastAsia" w:ascii="Times New Roman" w:hAnsi="Times New Roman" w:eastAsia="宋体" w:cs="Times New Roman"/>
                <w:b w:val="0"/>
                <w:bCs w:val="0"/>
                <w:color w:val="000000"/>
                <w:sz w:val="21"/>
                <w:szCs w:val="21"/>
                <w:highlight w:val="none"/>
                <w:lang w:eastAsia="zh-CN"/>
              </w:rPr>
              <w:t>①立窖（第一排）：第一次入窖发酵称为立窖。第一次投产时，原粮分三甑粮，经过蒸煮糊化，加曲，粮醅入窖后，用泥封窖。</w:t>
            </w:r>
          </w:p>
          <w:p w14:paraId="238D6BA0">
            <w:pPr>
              <w:widowControl/>
              <w:shd w:val="clear" w:color="auto" w:fill="auto"/>
              <w:adjustRightInd w:val="0"/>
              <w:snapToGrid w:val="0"/>
              <w:spacing w:line="360" w:lineRule="auto"/>
              <w:ind w:firstLine="420" w:firstLineChars="200"/>
              <w:rPr>
                <w:rFonts w:hint="eastAsia" w:ascii="Times New Roman" w:hAnsi="Times New Roman" w:eastAsia="宋体" w:cs="Times New Roman"/>
                <w:b w:val="0"/>
                <w:bCs w:val="0"/>
                <w:color w:val="000000"/>
                <w:sz w:val="21"/>
                <w:szCs w:val="21"/>
                <w:highlight w:val="none"/>
                <w:lang w:eastAsia="zh-CN"/>
              </w:rPr>
            </w:pPr>
            <w:r>
              <w:rPr>
                <w:rFonts w:hint="eastAsia" w:ascii="Times New Roman" w:hAnsi="Times New Roman" w:eastAsia="宋体" w:cs="Times New Roman"/>
                <w:b w:val="0"/>
                <w:bCs w:val="0"/>
                <w:color w:val="000000"/>
                <w:sz w:val="21"/>
                <w:szCs w:val="21"/>
                <w:highlight w:val="none"/>
                <w:lang w:eastAsia="zh-CN"/>
              </w:rPr>
              <w:t>②破窖（第二排）：入窖后发酵27天，剥去封窖泥，挖出酒醅，在3个大渣中加入粮粉和辅料分成4个大渣分两甑蒸酒，蒸酒后加入曲粮分为4个粮渣，入窖发酵。</w:t>
            </w:r>
          </w:p>
          <w:p w14:paraId="79C9B534">
            <w:pPr>
              <w:widowControl/>
              <w:shd w:val="clear" w:color="auto" w:fill="auto"/>
              <w:adjustRightInd w:val="0"/>
              <w:snapToGrid w:val="0"/>
              <w:spacing w:line="360" w:lineRule="auto"/>
              <w:ind w:firstLine="420" w:firstLineChars="200"/>
              <w:rPr>
                <w:rFonts w:hint="eastAsia" w:ascii="Times New Roman" w:hAnsi="Times New Roman" w:eastAsia="宋体" w:cs="Times New Roman"/>
                <w:b w:val="0"/>
                <w:bCs w:val="0"/>
                <w:color w:val="000000"/>
                <w:sz w:val="21"/>
                <w:szCs w:val="21"/>
                <w:highlight w:val="none"/>
                <w:lang w:eastAsia="zh-CN"/>
              </w:rPr>
            </w:pPr>
            <w:r>
              <w:rPr>
                <w:rFonts w:hint="eastAsia" w:ascii="Times New Roman" w:hAnsi="Times New Roman" w:eastAsia="宋体" w:cs="Times New Roman"/>
                <w:b w:val="0"/>
                <w:bCs w:val="0"/>
                <w:color w:val="000000"/>
                <w:sz w:val="21"/>
                <w:szCs w:val="21"/>
                <w:highlight w:val="none"/>
                <w:lang w:eastAsia="zh-CN"/>
              </w:rPr>
              <w:t>③顶窖（第三排）：将第二排发酵好的酒醅出窖后，先提一个酒醅不加粮作为回渣，其余加入粮粉和辅料作为4个大渣中，共做5个甑活。蒸酒后加曲粮入窖，回渣入窖</w:t>
            </w:r>
            <w:r>
              <w:t>时要</w:t>
            </w:r>
            <w:r>
              <w:rPr>
                <w:rFonts w:hint="eastAsia" w:ascii="Times New Roman" w:hAnsi="Times New Roman" w:eastAsia="宋体" w:cs="Times New Roman"/>
                <w:b w:val="0"/>
                <w:bCs w:val="0"/>
                <w:color w:val="000000"/>
                <w:sz w:val="21"/>
                <w:szCs w:val="21"/>
                <w:highlight w:val="none"/>
                <w:lang w:eastAsia="zh-CN"/>
              </w:rPr>
              <w:t>用木板隔开。</w:t>
            </w:r>
          </w:p>
          <w:p w14:paraId="59E19D56">
            <w:pPr>
              <w:widowControl/>
              <w:shd w:val="clear" w:color="auto" w:fill="auto"/>
              <w:adjustRightInd w:val="0"/>
              <w:snapToGrid w:val="0"/>
              <w:spacing w:line="360" w:lineRule="auto"/>
              <w:ind w:firstLine="420" w:firstLineChars="200"/>
              <w:rPr>
                <w:rFonts w:hint="eastAsia" w:ascii="Times New Roman" w:hAnsi="Times New Roman" w:eastAsia="宋体" w:cs="Times New Roman"/>
                <w:b w:val="0"/>
                <w:bCs w:val="0"/>
                <w:color w:val="000000"/>
                <w:sz w:val="21"/>
                <w:szCs w:val="21"/>
                <w:highlight w:val="none"/>
                <w:lang w:eastAsia="zh-CN"/>
              </w:rPr>
            </w:pPr>
            <w:r>
              <w:rPr>
                <w:rFonts w:hint="eastAsia" w:ascii="Times New Roman" w:hAnsi="Times New Roman" w:eastAsia="宋体" w:cs="Times New Roman"/>
                <w:b w:val="0"/>
                <w:bCs w:val="0"/>
                <w:color w:val="000000"/>
                <w:sz w:val="21"/>
                <w:szCs w:val="21"/>
                <w:highlight w:val="none"/>
                <w:lang w:eastAsia="zh-CN"/>
              </w:rPr>
              <w:t>④圆窖（第四排）：发酵好后第三排的回渣蒸完酒后作为扔糟，其余4个酒醅同第三排操作，加粮做成4个大渣，1个回渣。</w:t>
            </w:r>
          </w:p>
          <w:p w14:paraId="56CBBB21">
            <w:pPr>
              <w:widowControl/>
              <w:shd w:val="clear" w:color="auto" w:fill="auto"/>
              <w:adjustRightInd w:val="0"/>
              <w:snapToGrid w:val="0"/>
              <w:spacing w:line="360" w:lineRule="auto"/>
              <w:ind w:firstLine="420" w:firstLineChars="200"/>
              <w:rPr>
                <w:rFonts w:hint="eastAsia" w:ascii="Times New Roman" w:hAnsi="Times New Roman" w:eastAsia="宋体" w:cs="Times New Roman"/>
                <w:b w:val="0"/>
                <w:bCs w:val="0"/>
                <w:color w:val="000000"/>
                <w:sz w:val="21"/>
                <w:szCs w:val="21"/>
                <w:highlight w:val="none"/>
                <w:lang w:eastAsia="zh-CN"/>
              </w:rPr>
            </w:pPr>
            <w:r>
              <w:rPr>
                <w:rFonts w:hint="eastAsia" w:ascii="Times New Roman" w:hAnsi="Times New Roman" w:eastAsia="宋体" w:cs="Times New Roman"/>
                <w:b w:val="0"/>
                <w:bCs w:val="0"/>
                <w:color w:val="000000"/>
                <w:sz w:val="21"/>
                <w:szCs w:val="21"/>
                <w:highlight w:val="none"/>
                <w:lang w:eastAsia="zh-CN"/>
              </w:rPr>
              <w:t>发酵工序产生发酵黄酒水、</w:t>
            </w:r>
            <w:r>
              <w:rPr>
                <w:rFonts w:hint="eastAsia" w:ascii="Times New Roman" w:hAnsi="Times New Roman" w:eastAsia="宋体" w:cs="Times New Roman"/>
                <w:b w:val="0"/>
                <w:bCs w:val="0"/>
                <w:color w:val="000000"/>
                <w:sz w:val="21"/>
                <w:szCs w:val="21"/>
                <w:highlight w:val="none"/>
                <w:lang w:val="en-US" w:eastAsia="zh-CN"/>
              </w:rPr>
              <w:t>废封窖泥</w:t>
            </w:r>
            <w:r>
              <w:rPr>
                <w:rFonts w:hint="eastAsia"/>
                <w:lang w:val="en-US" w:eastAsia="zh-CN"/>
              </w:rPr>
              <w:t>等</w:t>
            </w:r>
            <w:r>
              <w:rPr>
                <w:rFonts w:hint="eastAsia" w:ascii="Times New Roman" w:hAnsi="Times New Roman" w:eastAsia="宋体" w:cs="Times New Roman"/>
                <w:b w:val="0"/>
                <w:bCs w:val="0"/>
                <w:color w:val="000000"/>
                <w:sz w:val="21"/>
                <w:szCs w:val="21"/>
                <w:highlight w:val="none"/>
                <w:lang w:eastAsia="zh-CN"/>
              </w:rPr>
              <w:t>。</w:t>
            </w:r>
          </w:p>
          <w:p w14:paraId="47EDC902">
            <w:pPr>
              <w:widowControl/>
              <w:shd w:val="clear" w:color="auto" w:fill="auto"/>
              <w:adjustRightInd w:val="0"/>
              <w:snapToGrid w:val="0"/>
              <w:spacing w:line="360" w:lineRule="auto"/>
              <w:ind w:firstLine="420" w:firstLineChars="200"/>
              <w:rPr>
                <w:rFonts w:hint="eastAsia" w:ascii="Times New Roman" w:hAnsi="Times New Roman" w:eastAsia="宋体" w:cs="Times New Roman"/>
                <w:b w:val="0"/>
                <w:bCs w:val="0"/>
                <w:color w:val="000000"/>
                <w:sz w:val="21"/>
                <w:szCs w:val="21"/>
                <w:highlight w:val="none"/>
                <w:lang w:eastAsia="zh-CN"/>
              </w:rPr>
            </w:pPr>
            <w:r>
              <w:rPr>
                <w:rFonts w:hint="eastAsia" w:ascii="Times New Roman" w:hAnsi="Times New Roman" w:eastAsia="宋体" w:cs="Times New Roman"/>
                <w:b w:val="0"/>
                <w:bCs w:val="0"/>
                <w:color w:val="000000"/>
                <w:sz w:val="21"/>
                <w:szCs w:val="21"/>
                <w:highlight w:val="none"/>
                <w:lang w:eastAsia="zh-CN"/>
              </w:rPr>
              <w:t>（7）蒸馏出酒：发酵结束后进行蒸馏出酒，蒸馏热源采用</w:t>
            </w:r>
            <w:r>
              <w:rPr>
                <w:rFonts w:hint="eastAsia" w:cs="Times New Roman"/>
                <w:b w:val="0"/>
                <w:bCs w:val="0"/>
                <w:color w:val="000000"/>
                <w:sz w:val="21"/>
                <w:szCs w:val="21"/>
                <w:highlight w:val="none"/>
                <w:lang w:val="en-US" w:eastAsia="zh-CN"/>
              </w:rPr>
              <w:t>天然气锅炉</w:t>
            </w:r>
            <w:r>
              <w:rPr>
                <w:rFonts w:hint="eastAsia" w:ascii="Times New Roman" w:hAnsi="Times New Roman" w:eastAsia="宋体" w:cs="Times New Roman"/>
                <w:b w:val="0"/>
                <w:bCs w:val="0"/>
                <w:color w:val="000000"/>
                <w:sz w:val="21"/>
                <w:szCs w:val="21"/>
                <w:highlight w:val="none"/>
                <w:lang w:eastAsia="zh-CN"/>
              </w:rPr>
              <w:t>蒸汽，蒸馏出的含水酒精经冷凝后进入贮酒容器，头酒进入酒罐储存，尾酒返回蒸馏设备进行再次蒸馏。此工序产生锅底水、</w:t>
            </w:r>
            <w:r>
              <w:t>酒糟等</w:t>
            </w:r>
            <w:r>
              <w:rPr>
                <w:rFonts w:hint="eastAsia" w:ascii="Times New Roman" w:hAnsi="Times New Roman" w:eastAsia="宋体" w:cs="Times New Roman"/>
                <w:b w:val="0"/>
                <w:bCs w:val="0"/>
                <w:color w:val="000000"/>
                <w:sz w:val="21"/>
                <w:szCs w:val="21"/>
                <w:highlight w:val="none"/>
                <w:lang w:eastAsia="zh-CN"/>
              </w:rPr>
              <w:t>。</w:t>
            </w:r>
            <w:r>
              <w:rPr>
                <w:rFonts w:hint="eastAsia" w:ascii="Times New Roman" w:hAnsi="Times New Roman" w:eastAsia="宋体" w:cs="Times New Roman"/>
                <w:b w:val="0"/>
                <w:bCs w:val="0"/>
                <w:color w:val="000000"/>
                <w:sz w:val="21"/>
                <w:szCs w:val="21"/>
                <w:highlight w:val="none"/>
                <w:lang w:val="en-US" w:eastAsia="zh-CN"/>
              </w:rPr>
              <w:t>风冷器</w:t>
            </w:r>
            <w:r>
              <w:rPr>
                <w:rFonts w:hint="eastAsia" w:ascii="Times New Roman" w:hAnsi="Times New Roman" w:eastAsia="宋体" w:cs="Times New Roman"/>
                <w:b w:val="0"/>
                <w:bCs w:val="0"/>
                <w:color w:val="000000"/>
                <w:sz w:val="21"/>
                <w:szCs w:val="21"/>
                <w:highlight w:val="none"/>
                <w:lang w:eastAsia="zh-CN"/>
              </w:rPr>
              <w:t>在运行过程中产生噪声。</w:t>
            </w:r>
          </w:p>
          <w:p w14:paraId="5E0AE8DF">
            <w:pPr>
              <w:widowControl/>
              <w:shd w:val="clear" w:color="auto" w:fill="auto"/>
              <w:adjustRightInd w:val="0"/>
              <w:snapToGrid w:val="0"/>
              <w:spacing w:line="360" w:lineRule="auto"/>
              <w:ind w:firstLine="420" w:firstLineChars="200"/>
              <w:rPr>
                <w:rFonts w:hint="eastAsia" w:ascii="Times New Roman" w:hAnsi="Times New Roman" w:eastAsia="宋体" w:cs="Times New Roman"/>
                <w:b w:val="0"/>
                <w:bCs w:val="0"/>
                <w:color w:val="000000"/>
                <w:sz w:val="21"/>
                <w:szCs w:val="21"/>
                <w:highlight w:val="none"/>
                <w:lang w:eastAsia="zh-CN"/>
              </w:rPr>
            </w:pPr>
            <w:r>
              <w:rPr>
                <w:rFonts w:hint="eastAsia" w:ascii="Times New Roman" w:hAnsi="Times New Roman" w:eastAsia="宋体" w:cs="Times New Roman"/>
                <w:b w:val="0"/>
                <w:bCs w:val="0"/>
                <w:color w:val="000000"/>
                <w:sz w:val="21"/>
                <w:szCs w:val="21"/>
                <w:highlight w:val="none"/>
                <w:lang w:eastAsia="zh-CN"/>
              </w:rPr>
              <w:t>（8）原酒储存：原酒采用不锈钢储罐进行储存。</w:t>
            </w:r>
          </w:p>
          <w:p w14:paraId="4CD976AE">
            <w:pPr>
              <w:widowControl/>
              <w:shd w:val="clear" w:color="auto" w:fill="auto"/>
              <w:adjustRightInd w:val="0"/>
              <w:snapToGrid w:val="0"/>
              <w:spacing w:line="360" w:lineRule="auto"/>
              <w:ind w:firstLine="420" w:firstLineChars="200"/>
              <w:rPr>
                <w:rFonts w:hint="eastAsia" w:ascii="Times New Roman" w:hAnsi="Times New Roman" w:eastAsia="宋体" w:cs="Times New Roman"/>
                <w:b w:val="0"/>
                <w:bCs w:val="0"/>
                <w:color w:val="000000"/>
                <w:sz w:val="21"/>
                <w:szCs w:val="21"/>
                <w:highlight w:val="none"/>
                <w:lang w:eastAsia="zh-CN"/>
              </w:rPr>
            </w:pPr>
            <w:r>
              <w:rPr>
                <w:rFonts w:hint="eastAsia" w:ascii="Times New Roman" w:hAnsi="Times New Roman" w:eastAsia="宋体" w:cs="Times New Roman"/>
                <w:b w:val="0"/>
                <w:bCs w:val="0"/>
                <w:color w:val="000000"/>
                <w:sz w:val="21"/>
                <w:szCs w:val="21"/>
                <w:highlight w:val="none"/>
                <w:lang w:eastAsia="zh-CN"/>
              </w:rPr>
              <w:t>（9）勾兑：根据产品配方要求，将原酒与一定量的纯水</w:t>
            </w:r>
            <w:r>
              <w:rPr>
                <w:rFonts w:hint="eastAsia" w:cs="Times New Roman"/>
                <w:b w:val="0"/>
                <w:bCs w:val="0"/>
                <w:color w:val="000000"/>
                <w:sz w:val="21"/>
                <w:szCs w:val="21"/>
                <w:highlight w:val="none"/>
                <w:lang w:val="en-US" w:eastAsia="zh-CN"/>
              </w:rPr>
              <w:t>进行</w:t>
            </w:r>
            <w:r>
              <w:rPr>
                <w:rFonts w:hint="eastAsia" w:ascii="Times New Roman" w:hAnsi="Times New Roman" w:eastAsia="宋体" w:cs="Times New Roman"/>
                <w:b w:val="0"/>
                <w:bCs w:val="0"/>
                <w:color w:val="000000"/>
                <w:sz w:val="21"/>
                <w:szCs w:val="21"/>
                <w:highlight w:val="none"/>
                <w:lang w:eastAsia="zh-CN"/>
              </w:rPr>
              <w:t>勾兑。勾兑用的纯水采用纯水制备系统制得。纯水制备过程产生纯水制备废水（</w:t>
            </w:r>
            <w:r>
              <w:rPr>
                <w:rFonts w:hint="eastAsia" w:ascii="Times New Roman" w:hAnsi="Times New Roman" w:eastAsia="宋体" w:cs="Times New Roman"/>
                <w:b w:val="0"/>
                <w:bCs w:val="0"/>
                <w:color w:val="000000"/>
                <w:sz w:val="21"/>
                <w:szCs w:val="21"/>
                <w:highlight w:val="none"/>
                <w:lang w:val="en-US" w:eastAsia="zh-CN"/>
              </w:rPr>
              <w:t>浓水</w:t>
            </w:r>
            <w:r>
              <w:rPr>
                <w:rFonts w:hint="eastAsia" w:ascii="Times New Roman" w:hAnsi="Times New Roman" w:eastAsia="宋体" w:cs="Times New Roman"/>
                <w:b w:val="0"/>
                <w:bCs w:val="0"/>
                <w:color w:val="000000"/>
                <w:sz w:val="21"/>
                <w:szCs w:val="21"/>
                <w:highlight w:val="none"/>
                <w:lang w:eastAsia="zh-CN"/>
              </w:rPr>
              <w:t>）、废过滤材料</w:t>
            </w:r>
            <w:r>
              <w:rPr>
                <w:rFonts w:hint="eastAsia" w:cs="Times New Roman"/>
                <w:b w:val="0"/>
                <w:bCs w:val="0"/>
                <w:color w:val="000000"/>
                <w:sz w:val="21"/>
                <w:szCs w:val="21"/>
                <w:highlight w:val="none"/>
                <w:lang w:val="en-US" w:eastAsia="zh-CN"/>
              </w:rPr>
              <w:t>等</w:t>
            </w:r>
            <w:r>
              <w:rPr>
                <w:rFonts w:hint="eastAsia" w:ascii="Times New Roman" w:hAnsi="Times New Roman" w:eastAsia="宋体" w:cs="Times New Roman"/>
                <w:b w:val="0"/>
                <w:bCs w:val="0"/>
                <w:color w:val="000000"/>
                <w:sz w:val="21"/>
                <w:szCs w:val="21"/>
                <w:highlight w:val="none"/>
                <w:lang w:eastAsia="zh-CN"/>
              </w:rPr>
              <w:t>。</w:t>
            </w:r>
          </w:p>
          <w:p w14:paraId="67751543">
            <w:pPr>
              <w:widowControl/>
              <w:shd w:val="clear" w:color="auto" w:fill="auto"/>
              <w:adjustRightInd w:val="0"/>
              <w:snapToGrid w:val="0"/>
              <w:spacing w:line="360" w:lineRule="auto"/>
              <w:ind w:firstLine="420" w:firstLineChars="200"/>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（10）检验：勾兑好的成品酒取样送入实验室进行检验，检验合格后送入灌装车间。实验过程中会产生实验废试剂、实验器皿冲洗废水及少量的实验药剂挥发废气。</w:t>
            </w:r>
          </w:p>
          <w:p w14:paraId="140E3879">
            <w:pPr>
              <w:widowControl/>
              <w:shd w:val="clear" w:color="auto" w:fill="auto"/>
              <w:adjustRightInd w:val="0"/>
              <w:snapToGrid w:val="0"/>
              <w:spacing w:line="360" w:lineRule="auto"/>
              <w:ind w:firstLine="420" w:firstLineChars="200"/>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eastAsia="zh-CN"/>
              </w:rPr>
              <w:t>（</w:t>
            </w:r>
            <w:r>
              <w:rPr>
                <w:rFonts w:hint="eastAsia" w:ascii="Times New Roman" w:hAnsi="Times New Roman" w:eastAsia="宋体" w:cs="Times New Roman"/>
                <w:b w:val="0"/>
                <w:bCs w:val="0"/>
                <w:color w:val="000000"/>
                <w:sz w:val="21"/>
                <w:szCs w:val="21"/>
                <w:highlight w:val="none"/>
                <w:lang w:val="en-US" w:eastAsia="zh-CN"/>
              </w:rPr>
              <w:t>11</w:t>
            </w:r>
            <w:r>
              <w:rPr>
                <w:rFonts w:hint="eastAsia" w:ascii="Times New Roman" w:hAnsi="Times New Roman" w:eastAsia="宋体" w:cs="Times New Roman"/>
                <w:b w:val="0"/>
                <w:bCs w:val="0"/>
                <w:color w:val="000000"/>
                <w:sz w:val="21"/>
                <w:szCs w:val="21"/>
                <w:highlight w:val="none"/>
                <w:lang w:eastAsia="zh-CN"/>
              </w:rPr>
              <w:t>）</w:t>
            </w:r>
            <w:r>
              <w:rPr>
                <w:rFonts w:hint="eastAsia" w:ascii="Times New Roman" w:hAnsi="Times New Roman" w:eastAsia="宋体" w:cs="Times New Roman"/>
                <w:b w:val="0"/>
                <w:bCs w:val="0"/>
                <w:color w:val="000000"/>
                <w:sz w:val="21"/>
                <w:szCs w:val="21"/>
                <w:highlight w:val="none"/>
                <w:lang w:val="en-US" w:eastAsia="zh-CN"/>
              </w:rPr>
              <w:t>洗瓶：</w:t>
            </w:r>
            <w:r>
              <w:rPr>
                <w:rFonts w:hint="eastAsia" w:ascii="Times New Roman" w:hAnsi="Times New Roman" w:eastAsia="宋体" w:cs="Times New Roman"/>
                <w:b w:val="0"/>
                <w:bCs w:val="0"/>
                <w:color w:val="000000"/>
                <w:sz w:val="21"/>
                <w:szCs w:val="21"/>
                <w:highlight w:val="none"/>
                <w:lang w:eastAsia="zh-CN"/>
              </w:rPr>
              <w:t>本项目采用的是纯水高压水流自动冲洗工艺，冲洗干净的酒瓶经晾干后进行灌装。</w:t>
            </w:r>
            <w:r>
              <w:rPr>
                <w:rFonts w:hint="eastAsia" w:ascii="Times New Roman" w:hAnsi="Times New Roman" w:eastAsia="宋体" w:cs="Times New Roman"/>
                <w:b w:val="0"/>
                <w:bCs w:val="0"/>
                <w:color w:val="000000"/>
                <w:sz w:val="21"/>
                <w:szCs w:val="21"/>
                <w:highlight w:val="none"/>
                <w:lang w:val="en-US" w:eastAsia="zh-CN"/>
              </w:rPr>
              <w:t>洗瓶过程中会产生洗瓶废水及设备噪声。</w:t>
            </w:r>
          </w:p>
          <w:p w14:paraId="4F75C827">
            <w:pPr>
              <w:widowControl/>
              <w:shd w:val="clear" w:color="auto" w:fill="auto"/>
              <w:adjustRightInd w:val="0"/>
              <w:snapToGrid w:val="0"/>
              <w:spacing w:line="360" w:lineRule="auto"/>
              <w:ind w:firstLine="420" w:firstLineChars="200"/>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（12）灌装：采用自动灌装机将检验合格的成品酒灌装进清洗后的酒瓶内，此过程会产生设备运行噪声。</w:t>
            </w:r>
          </w:p>
          <w:p w14:paraId="7C4B0C97">
            <w:pPr>
              <w:widowControl/>
              <w:shd w:val="clear" w:color="auto" w:fill="auto"/>
              <w:adjustRightInd w:val="0"/>
              <w:snapToGrid w:val="0"/>
              <w:spacing w:line="360" w:lineRule="auto"/>
              <w:ind w:firstLine="420" w:firstLineChars="200"/>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（13）贴标：灌装完成后的酒采用人工方式进行贴标。</w:t>
            </w:r>
          </w:p>
          <w:p w14:paraId="1596031C">
            <w:pPr>
              <w:widowControl/>
              <w:shd w:val="clear" w:color="auto" w:fill="auto"/>
              <w:adjustRightInd w:val="0"/>
              <w:snapToGrid w:val="0"/>
              <w:spacing w:line="360" w:lineRule="auto"/>
              <w:ind w:firstLine="420" w:firstLineChars="200"/>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（14）喷码：采用激光喷码机将生产日期等信息印在瓶身及包装上，激光喷码无废气产生。</w:t>
            </w:r>
          </w:p>
          <w:p w14:paraId="09EA90EE">
            <w:pPr>
              <w:widowControl/>
              <w:shd w:val="clear" w:color="auto" w:fill="auto"/>
              <w:adjustRightInd w:val="0"/>
              <w:snapToGrid w:val="0"/>
              <w:spacing w:line="360" w:lineRule="auto"/>
              <w:ind w:firstLine="420" w:firstLineChars="200"/>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（15）包装入库：将贴标、喷码后的成品酒进行包装，此过程会产生废包装材料。</w:t>
            </w:r>
          </w:p>
          <w:p w14:paraId="3638C8CA">
            <w:pPr>
              <w:widowControl/>
              <w:shd w:val="clear" w:color="auto" w:fill="auto"/>
              <w:adjustRightInd w:val="0"/>
              <w:snapToGrid w:val="0"/>
              <w:spacing w:line="360" w:lineRule="auto"/>
              <w:ind w:firstLine="420" w:firstLineChars="200"/>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制酒生产工艺流程及产污环节图详见图2-3。</w:t>
            </w:r>
          </w:p>
          <w:p w14:paraId="1C061A6B">
            <w:pPr>
              <w:widowControl/>
              <w:shd w:val="clear" w:color="auto" w:fill="auto"/>
              <w:adjustRightInd w:val="0"/>
              <w:snapToGrid w:val="0"/>
              <w:spacing w:line="360" w:lineRule="auto"/>
              <w:jc w:val="center"/>
              <w:rPr>
                <w:rFonts w:hint="default" w:ascii="Times New Roman" w:hAnsi="Times New Roman" w:eastAsia="宋体" w:cs="Times New Roman"/>
                <w:b w:val="0"/>
                <w:bCs w:val="0"/>
                <w:color w:val="000000"/>
                <w:sz w:val="21"/>
                <w:szCs w:val="21"/>
                <w:highlight w:val="none"/>
                <w:lang w:val="en-US" w:eastAsia="zh-CN"/>
              </w:rPr>
            </w:pPr>
            <w:r>
              <w:rPr>
                <w:color w:val="000000"/>
                <w:sz w:val="21"/>
                <w:highlight w:val="none"/>
              </w:rPr>
              <mc:AlternateContent>
                <mc:Choice Requires="wpg">
                  <w:drawing>
                    <wp:inline distT="0" distB="0" distL="114300" distR="114300">
                      <wp:extent cx="4877435" cy="7432040"/>
                      <wp:effectExtent l="4445" t="4445" r="13970" b="12065"/>
                      <wp:docPr id="5658" name="画布 1"/>
                      <wp:cNvGraphicFramePr/>
                      <a:graphic xmlns:a="http://schemas.openxmlformats.org/drawingml/2006/main">
                        <a:graphicData uri="http://schemas.microsoft.com/office/word/2010/wordprocessingGroup">
                          <wpg:wgp>
                            <wpg:cNvGrpSpPr/>
                            <wpg:grpSpPr>
                              <a:xfrm>
                                <a:off x="0" y="0"/>
                                <a:ext cx="4877435" cy="7432040"/>
                                <a:chOff x="0" y="0"/>
                                <a:chExt cx="4877434" cy="7432040"/>
                              </a:xfrm>
                            </wpg:grpSpPr>
                            <wps:wsp>
                              <wps:cNvPr id="3" name="矩形 3"/>
                              <wps:cNvSpPr/>
                              <wps:spPr>
                                <a:xfrm>
                                  <a:off x="0" y="0"/>
                                  <a:ext cx="4877434" cy="7432040"/>
                                </a:xfrm>
                                <a:prstGeom prst="rect">
                                  <a:avLst/>
                                </a:prstGeom>
                                <a:noFill/>
                                <a:ln w="9525" cap="flat" cmpd="sng">
                                  <a:solidFill>
                                    <a:srgbClr val="000000"/>
                                  </a:solidFill>
                                  <a:prstDash val="solid"/>
                                  <a:round/>
                                  <a:headEnd type="none" w="med" len="med"/>
                                  <a:tailEnd type="none" w="med" len="med"/>
                                </a:ln>
                              </wps:spPr>
                              <wps:bodyPr rot="0" spcFirstLastPara="0" vertOverflow="overflow" horzOverflow="overflow" vert="horz" wrap="square" lIns="91440" tIns="45720" rIns="91440" bIns="45720" numCol="1" anchor="t" upright="1">
                                <a:noAutofit/>
                              </wps:bodyPr>
                            </wps:wsp>
                            <wps:wsp>
                              <wps:cNvPr id="4" name="矩形 4"/>
                              <wps:cNvSpPr/>
                              <wps:spPr>
                                <a:xfrm>
                                  <a:off x="1953895" y="107950"/>
                                  <a:ext cx="817880" cy="3016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6E746B9">
                                    <w:pPr>
                                      <w:rPr>
                                        <w:rFonts w:hint="default" w:eastAsia="宋体"/>
                                        <w:lang w:val="en-US" w:eastAsia="zh-CN"/>
                                      </w:rPr>
                                    </w:pPr>
                                    <w:r>
                                      <w:rPr>
                                        <w:rFonts w:hint="eastAsia"/>
                                        <w:lang w:val="en-US" w:eastAsia="zh-CN"/>
                                      </w:rPr>
                                      <w:t>粮食粉碎</w:t>
                                    </w:r>
                                  </w:p>
                                </w:txbxContent>
                              </wps:txbx>
                              <wps:bodyPr rot="0" spcFirstLastPara="0" vertOverflow="overflow" horzOverflow="overflow" vert="horz" wrap="square" lIns="91440" tIns="45720" rIns="91440" bIns="45720" numCol="1" anchor="t" upright="1">
                                <a:noAutofit/>
                              </wps:bodyPr>
                            </wps:wsp>
                            <wps:wsp>
                              <wps:cNvPr id="5" name="直接箭头连接符 5"/>
                              <wps:cNvCnPr/>
                              <wps:spPr>
                                <a:xfrm flipH="1">
                                  <a:off x="2359025" y="409575"/>
                                  <a:ext cx="3810" cy="277495"/>
                                </a:xfrm>
                                <a:prstGeom prst="straightConnector1">
                                  <a:avLst/>
                                </a:prstGeom>
                                <a:noFill/>
                                <a:ln w="25400" cap="flat" cmpd="sng">
                                  <a:solidFill>
                                    <a:srgbClr val="000000"/>
                                  </a:solidFill>
                                  <a:prstDash val="solid"/>
                                  <a:round/>
                                  <a:headEnd type="none" w="med" len="med"/>
                                  <a:tailEnd type="triangle" w="med" len="med"/>
                                </a:ln>
                              </wps:spPr>
                              <wps:bodyPr rot="0" spcFirstLastPara="0" vertOverflow="overflow" horzOverflow="overflow" vert="horz" wrap="square" lIns="91440" tIns="45720" rIns="91440" bIns="45720" numCol="1" anchor="t" upright="1">
                                <a:noAutofit/>
                              </wps:bodyPr>
                            </wps:wsp>
                            <wps:wsp>
                              <wps:cNvPr id="6" name="直接箭头连接符 6"/>
                              <wps:cNvCnPr/>
                              <wps:spPr>
                                <a:xfrm flipV="1">
                                  <a:off x="2771774" y="256540"/>
                                  <a:ext cx="463550" cy="2540"/>
                                </a:xfrm>
                                <a:prstGeom prst="straightConnector1">
                                  <a:avLst/>
                                </a:prstGeom>
                                <a:noFill/>
                                <a:ln w="25400" cap="flat" cmpd="sng">
                                  <a:solidFill>
                                    <a:srgbClr val="000000"/>
                                  </a:solidFill>
                                  <a:prstDash val="solid"/>
                                  <a:round/>
                                  <a:headEnd type="none" w="med" len="med"/>
                                  <a:tailEnd type="triangle" w="med" len="med"/>
                                </a:ln>
                              </wps:spPr>
                              <wps:bodyPr rot="0" spcFirstLastPara="0" vertOverflow="overflow" horzOverflow="overflow" vert="horz" wrap="square" lIns="91440" tIns="45720" rIns="91440" bIns="45720" numCol="1" anchor="t" upright="1">
                                <a:noAutofit/>
                              </wps:bodyPr>
                            </wps:wsp>
                            <wps:wsp>
                              <wps:cNvPr id="7" name="矩形 7"/>
                              <wps:cNvSpPr/>
                              <wps:spPr>
                                <a:xfrm>
                                  <a:off x="3243580" y="100330"/>
                                  <a:ext cx="817880" cy="301625"/>
                                </a:xfrm>
                                <a:prstGeom prst="rect">
                                  <a:avLst/>
                                </a:prstGeom>
                                <a:solidFill>
                                  <a:srgbClr val="FFFFFF"/>
                                </a:solidFill>
                                <a:ln>
                                  <a:noFill/>
                                </a:ln>
                              </wps:spPr>
                              <wps:txbx>
                                <w:txbxContent>
                                  <w:p w14:paraId="47FBA867">
                                    <w:pPr>
                                      <w:rPr>
                                        <w:rFonts w:hint="default" w:eastAsia="宋体"/>
                                        <w:lang w:val="en-US" w:eastAsia="zh-CN"/>
                                      </w:rPr>
                                    </w:pPr>
                                    <w:r>
                                      <w:rPr>
                                        <w:rFonts w:hint="eastAsia"/>
                                        <w:lang w:val="en-US" w:eastAsia="zh-CN"/>
                                      </w:rPr>
                                      <w:t>粉尘、噪声</w:t>
                                    </w:r>
                                  </w:p>
                                </w:txbxContent>
                              </wps:txbx>
                              <wps:bodyPr rot="0" spcFirstLastPara="0" vertOverflow="overflow" horzOverflow="overflow" vert="horz" wrap="square" lIns="91440" tIns="45720" rIns="91440" bIns="45720" numCol="1" anchor="t" upright="1">
                                <a:noAutofit/>
                              </wps:bodyPr>
                            </wps:wsp>
                            <wps:wsp>
                              <wps:cNvPr id="8" name="矩形 8"/>
                              <wps:cNvSpPr/>
                              <wps:spPr>
                                <a:xfrm>
                                  <a:off x="1925955" y="671830"/>
                                  <a:ext cx="817880" cy="3016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652D379">
                                    <w:pPr>
                                      <w:jc w:val="center"/>
                                      <w:rPr>
                                        <w:rFonts w:hint="default"/>
                                        <w:lang w:val="en-US" w:eastAsia="zh-CN"/>
                                      </w:rPr>
                                    </w:pPr>
                                    <w:r>
                                      <w:rPr>
                                        <w:rFonts w:hint="eastAsia" w:ascii="Times New Roman" w:hAnsi="Times New Roman" w:eastAsia="宋体" w:cs="Times New Roman"/>
                                        <w:b w:val="0"/>
                                        <w:bCs w:val="0"/>
                                        <w:color w:val="000000"/>
                                        <w:sz w:val="21"/>
                                        <w:szCs w:val="21"/>
                                        <w:lang w:val="en-US" w:eastAsia="zh-CN"/>
                                      </w:rPr>
                                      <w:t>润粮</w:t>
                                    </w:r>
                                  </w:p>
                                </w:txbxContent>
                              </wps:txbx>
                              <wps:bodyPr rot="0" spcFirstLastPara="0" vertOverflow="overflow" horzOverflow="overflow" vert="horz" wrap="square" lIns="91440" tIns="45720" rIns="91440" bIns="45720" numCol="1" anchor="t" upright="1">
                                <a:noAutofit/>
                              </wps:bodyPr>
                            </wps:wsp>
                            <wps:wsp>
                              <wps:cNvPr id="9" name="矩形 9"/>
                              <wps:cNvSpPr/>
                              <wps:spPr>
                                <a:xfrm>
                                  <a:off x="1934210" y="1243330"/>
                                  <a:ext cx="817880" cy="3016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56D40520">
                                    <w:pPr>
                                      <w:jc w:val="center"/>
                                      <w:rPr>
                                        <w:rFonts w:hint="default" w:eastAsia="宋体"/>
                                        <w:lang w:val="en-US" w:eastAsia="zh-CN"/>
                                      </w:rPr>
                                    </w:pPr>
                                    <w:r>
                                      <w:rPr>
                                        <w:rFonts w:hint="eastAsia" w:ascii="Times New Roman" w:hAnsi="Times New Roman" w:eastAsia="宋体" w:cs="Times New Roman"/>
                                        <w:b w:val="0"/>
                                        <w:bCs w:val="0"/>
                                        <w:color w:val="000000"/>
                                        <w:sz w:val="21"/>
                                        <w:szCs w:val="21"/>
                                        <w:lang w:eastAsia="zh-CN"/>
                                      </w:rPr>
                                      <w:t>熟化</w:t>
                                    </w:r>
                                  </w:p>
                                </w:txbxContent>
                              </wps:txbx>
                              <wps:bodyPr rot="0" spcFirstLastPara="0" vertOverflow="overflow" horzOverflow="overflow" vert="horz" wrap="square" lIns="91440" tIns="45720" rIns="91440" bIns="45720" numCol="1" anchor="t" upright="1">
                                <a:noAutofit/>
                              </wps:bodyPr>
                            </wps:wsp>
                            <wps:wsp>
                              <wps:cNvPr id="10" name="直接箭头连接符 10"/>
                              <wps:cNvCnPr/>
                              <wps:spPr>
                                <a:xfrm flipH="1">
                                  <a:off x="2346960" y="973455"/>
                                  <a:ext cx="3810" cy="277495"/>
                                </a:xfrm>
                                <a:prstGeom prst="straightConnector1">
                                  <a:avLst/>
                                </a:prstGeom>
                                <a:noFill/>
                                <a:ln w="25400" cap="flat" cmpd="sng">
                                  <a:solidFill>
                                    <a:srgbClr val="000000"/>
                                  </a:solidFill>
                                  <a:prstDash val="solid"/>
                                  <a:round/>
                                  <a:headEnd type="none" w="med" len="med"/>
                                  <a:tailEnd type="triangle" w="med" len="med"/>
                                </a:ln>
                              </wps:spPr>
                              <wps:bodyPr rot="0" spcFirstLastPara="0" vertOverflow="overflow" horzOverflow="overflow" vert="horz" wrap="square" lIns="91440" tIns="45720" rIns="91440" bIns="45720" numCol="1" anchor="t" upright="1">
                                <a:noAutofit/>
                              </wps:bodyPr>
                            </wps:wsp>
                            <wps:wsp>
                              <wps:cNvPr id="11" name="直接箭头连接符 11"/>
                              <wps:cNvCnPr/>
                              <wps:spPr>
                                <a:xfrm>
                                  <a:off x="1520825" y="828040"/>
                                  <a:ext cx="420370" cy="7620"/>
                                </a:xfrm>
                                <a:prstGeom prst="straightConnector1">
                                  <a:avLst/>
                                </a:prstGeom>
                                <a:noFill/>
                                <a:ln w="25400" cap="flat" cmpd="sng">
                                  <a:solidFill>
                                    <a:srgbClr val="000000"/>
                                  </a:solidFill>
                                  <a:prstDash val="solid"/>
                                  <a:round/>
                                  <a:headEnd type="none" w="med" len="med"/>
                                  <a:tailEnd type="triangle" w="med" len="med"/>
                                </a:ln>
                              </wps:spPr>
                              <wps:bodyPr rot="0" spcFirstLastPara="0" vertOverflow="overflow" horzOverflow="overflow" vert="horz" wrap="square" lIns="91440" tIns="45720" rIns="91440" bIns="45720" numCol="1" anchor="t" upright="1">
                                <a:noAutofit/>
                              </wps:bodyPr>
                            </wps:wsp>
                            <wps:wsp>
                              <wps:cNvPr id="12" name="矩形 12"/>
                              <wps:cNvSpPr/>
                              <wps:spPr>
                                <a:xfrm>
                                  <a:off x="1123950" y="687070"/>
                                  <a:ext cx="476885" cy="301625"/>
                                </a:xfrm>
                                <a:prstGeom prst="rect">
                                  <a:avLst/>
                                </a:prstGeom>
                                <a:noFill/>
                                <a:ln>
                                  <a:noFill/>
                                </a:ln>
                              </wps:spPr>
                              <wps:txbx>
                                <w:txbxContent>
                                  <w:p w14:paraId="6352A508">
                                    <w:pPr>
                                      <w:rPr>
                                        <w:rFonts w:hint="default" w:eastAsia="宋体"/>
                                        <w:lang w:val="en-US" w:eastAsia="zh-CN"/>
                                      </w:rPr>
                                    </w:pPr>
                                    <w:r>
                                      <w:rPr>
                                        <w:rFonts w:hint="eastAsia"/>
                                        <w:lang w:val="en-US" w:eastAsia="zh-CN"/>
                                      </w:rPr>
                                      <w:t>热水</w:t>
                                    </w:r>
                                  </w:p>
                                </w:txbxContent>
                              </wps:txbx>
                              <wps:bodyPr rot="0" spcFirstLastPara="0" vertOverflow="overflow" horzOverflow="overflow" vert="horz" wrap="square" lIns="91440" tIns="45720" rIns="91440" bIns="45720" numCol="1" anchor="t" upright="1">
                                <a:noAutofit/>
                              </wps:bodyPr>
                            </wps:wsp>
                            <wps:wsp>
                              <wps:cNvPr id="13" name="直接箭头连接符 13"/>
                              <wps:cNvCnPr/>
                              <wps:spPr>
                                <a:xfrm flipH="1">
                                  <a:off x="2338705" y="1537335"/>
                                  <a:ext cx="3810" cy="277495"/>
                                </a:xfrm>
                                <a:prstGeom prst="straightConnector1">
                                  <a:avLst/>
                                </a:prstGeom>
                                <a:noFill/>
                                <a:ln w="25400" cap="flat" cmpd="sng">
                                  <a:solidFill>
                                    <a:srgbClr val="000000"/>
                                  </a:solidFill>
                                  <a:prstDash val="solid"/>
                                  <a:round/>
                                  <a:headEnd type="none" w="med" len="med"/>
                                  <a:tailEnd type="triangle" w="med" len="med"/>
                                </a:ln>
                              </wps:spPr>
                              <wps:bodyPr rot="0" spcFirstLastPara="0" vertOverflow="overflow" horzOverflow="overflow" vert="horz" wrap="square" lIns="91440" tIns="45720" rIns="91440" bIns="45720" numCol="1" anchor="t" upright="1">
                                <a:noAutofit/>
                              </wps:bodyPr>
                            </wps:wsp>
                            <wps:wsp>
                              <wps:cNvPr id="14" name="矩形 14"/>
                              <wps:cNvSpPr/>
                              <wps:spPr>
                                <a:xfrm>
                                  <a:off x="1925955" y="1814830"/>
                                  <a:ext cx="817880" cy="3016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9C5161C">
                                    <w:pPr>
                                      <w:jc w:val="center"/>
                                      <w:rPr>
                                        <w:rFonts w:hint="default"/>
                                        <w:lang w:val="en-US" w:eastAsia="zh-CN"/>
                                      </w:rPr>
                                    </w:pPr>
                                    <w:r>
                                      <w:rPr>
                                        <w:rFonts w:hint="eastAsia" w:ascii="Times New Roman" w:hAnsi="Times New Roman" w:eastAsia="宋体" w:cs="Times New Roman"/>
                                        <w:b w:val="0"/>
                                        <w:bCs w:val="0"/>
                                        <w:color w:val="000000"/>
                                        <w:sz w:val="21"/>
                                        <w:szCs w:val="21"/>
                                        <w:lang w:eastAsia="zh-CN"/>
                                      </w:rPr>
                                      <w:t>自然冷却</w:t>
                                    </w:r>
                                  </w:p>
                                </w:txbxContent>
                              </wps:txbx>
                              <wps:bodyPr rot="0" spcFirstLastPara="0" vertOverflow="overflow" horzOverflow="overflow" vert="horz" wrap="square" lIns="91440" tIns="45720" rIns="91440" bIns="45720" numCol="1" anchor="t" upright="1">
                                <a:noAutofit/>
                              </wps:bodyPr>
                            </wps:wsp>
                            <wps:wsp>
                              <wps:cNvPr id="15" name="直接箭头连接符 15"/>
                              <wps:cNvCnPr/>
                              <wps:spPr>
                                <a:xfrm flipH="1">
                                  <a:off x="2322830" y="2124710"/>
                                  <a:ext cx="3810" cy="277495"/>
                                </a:xfrm>
                                <a:prstGeom prst="straightConnector1">
                                  <a:avLst/>
                                </a:prstGeom>
                                <a:noFill/>
                                <a:ln w="25400" cap="flat" cmpd="sng">
                                  <a:solidFill>
                                    <a:srgbClr val="000000"/>
                                  </a:solidFill>
                                  <a:prstDash val="solid"/>
                                  <a:round/>
                                  <a:headEnd type="none" w="med" len="med"/>
                                  <a:tailEnd type="triangle" w="med" len="med"/>
                                </a:ln>
                              </wps:spPr>
                              <wps:bodyPr rot="0" spcFirstLastPara="0" vertOverflow="overflow" horzOverflow="overflow" vert="horz" wrap="square" lIns="91440" tIns="45720" rIns="91440" bIns="45720" numCol="1" anchor="t" upright="1">
                                <a:noAutofit/>
                              </wps:bodyPr>
                            </wps:wsp>
                            <wps:wsp>
                              <wps:cNvPr id="16" name="矩形 16"/>
                              <wps:cNvSpPr/>
                              <wps:spPr>
                                <a:xfrm>
                                  <a:off x="1910080" y="2393950"/>
                                  <a:ext cx="817880" cy="3016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E9C4ADF">
                                    <w:pPr>
                                      <w:jc w:val="center"/>
                                      <w:rPr>
                                        <w:rFonts w:hint="default"/>
                                        <w:lang w:val="en-US" w:eastAsia="zh-CN"/>
                                      </w:rPr>
                                    </w:pPr>
                                    <w:r>
                                      <w:rPr>
                                        <w:rFonts w:hint="eastAsia" w:ascii="Times New Roman" w:hAnsi="Times New Roman" w:eastAsia="宋体" w:cs="Times New Roman"/>
                                        <w:b w:val="0"/>
                                        <w:bCs w:val="0"/>
                                        <w:color w:val="000000"/>
                                        <w:sz w:val="21"/>
                                        <w:szCs w:val="21"/>
                                        <w:lang w:eastAsia="zh-CN"/>
                                      </w:rPr>
                                      <w:t>熟料配曲</w:t>
                                    </w:r>
                                  </w:p>
                                </w:txbxContent>
                              </wps:txbx>
                              <wps:bodyPr rot="0" spcFirstLastPara="0" vertOverflow="overflow" horzOverflow="overflow" vert="horz" wrap="square" lIns="91440" tIns="45720" rIns="91440" bIns="45720" numCol="1" anchor="t" upright="1">
                                <a:noAutofit/>
                              </wps:bodyPr>
                            </wps:wsp>
                            <wps:wsp>
                              <wps:cNvPr id="17" name="直接箭头连接符 17"/>
                              <wps:cNvCnPr/>
                              <wps:spPr>
                                <a:xfrm>
                                  <a:off x="1489710" y="2545080"/>
                                  <a:ext cx="420370" cy="7620"/>
                                </a:xfrm>
                                <a:prstGeom prst="straightConnector1">
                                  <a:avLst/>
                                </a:prstGeom>
                                <a:noFill/>
                                <a:ln w="25400" cap="flat" cmpd="sng">
                                  <a:solidFill>
                                    <a:srgbClr val="000000"/>
                                  </a:solidFill>
                                  <a:prstDash val="solid"/>
                                  <a:round/>
                                  <a:headEnd type="none" w="med" len="med"/>
                                  <a:tailEnd type="triangle" w="med" len="med"/>
                                </a:ln>
                              </wps:spPr>
                              <wps:bodyPr rot="0" spcFirstLastPara="0" vertOverflow="overflow" horzOverflow="overflow" vert="horz" wrap="square" lIns="91440" tIns="45720" rIns="91440" bIns="45720" numCol="1" anchor="t" upright="1">
                                <a:noAutofit/>
                              </wps:bodyPr>
                            </wps:wsp>
                            <wps:wsp>
                              <wps:cNvPr id="18" name="矩形 18"/>
                              <wps:cNvSpPr/>
                              <wps:spPr>
                                <a:xfrm>
                                  <a:off x="655955" y="2386330"/>
                                  <a:ext cx="817880" cy="3016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94C65F3">
                                    <w:pPr>
                                      <w:rPr>
                                        <w:rFonts w:hint="default" w:eastAsia="宋体"/>
                                        <w:lang w:val="en-US" w:eastAsia="zh-CN"/>
                                      </w:rPr>
                                    </w:pPr>
                                    <w:r>
                                      <w:rPr>
                                        <w:rFonts w:hint="eastAsia"/>
                                        <w:lang w:val="en-US" w:eastAsia="zh-CN"/>
                                      </w:rPr>
                                      <w:t>大曲粉碎</w:t>
                                    </w:r>
                                  </w:p>
                                </w:txbxContent>
                              </wps:txbx>
                              <wps:bodyPr rot="0" spcFirstLastPara="0" vertOverflow="overflow" horzOverflow="overflow" vert="horz" wrap="square" lIns="91440" tIns="45720" rIns="91440" bIns="45720" numCol="1" anchor="t" upright="1">
                                <a:noAutofit/>
                              </wps:bodyPr>
                            </wps:wsp>
                            <wps:wsp>
                              <wps:cNvPr id="19" name="直接箭头连接符 19"/>
                              <wps:cNvCnPr/>
                              <wps:spPr>
                                <a:xfrm flipV="1">
                                  <a:off x="1044575" y="1963419"/>
                                  <a:ext cx="7620" cy="433070"/>
                                </a:xfrm>
                                <a:prstGeom prst="straightConnector1">
                                  <a:avLst/>
                                </a:prstGeom>
                                <a:noFill/>
                                <a:ln w="25400" cap="flat" cmpd="sng">
                                  <a:solidFill>
                                    <a:srgbClr val="000000"/>
                                  </a:solidFill>
                                  <a:prstDash val="solid"/>
                                  <a:round/>
                                  <a:headEnd type="none" w="med" len="med"/>
                                  <a:tailEnd type="triangle" w="med" len="med"/>
                                </a:ln>
                              </wps:spPr>
                              <wps:bodyPr rot="0" spcFirstLastPara="0" vertOverflow="overflow" horzOverflow="overflow" vert="horz" wrap="square" lIns="91440" tIns="45720" rIns="91440" bIns="45720" numCol="1" anchor="t" upright="1">
                                <a:noAutofit/>
                              </wps:bodyPr>
                            </wps:wsp>
                            <wps:wsp>
                              <wps:cNvPr id="20" name="矩形 20"/>
                              <wps:cNvSpPr/>
                              <wps:spPr>
                                <a:xfrm>
                                  <a:off x="608330" y="1718945"/>
                                  <a:ext cx="817880" cy="301625"/>
                                </a:xfrm>
                                <a:prstGeom prst="rect">
                                  <a:avLst/>
                                </a:prstGeom>
                                <a:noFill/>
                                <a:ln>
                                  <a:noFill/>
                                </a:ln>
                              </wps:spPr>
                              <wps:txbx>
                                <w:txbxContent>
                                  <w:p w14:paraId="60F2C99B">
                                    <w:pPr>
                                      <w:rPr>
                                        <w:rFonts w:hint="default" w:eastAsia="宋体"/>
                                        <w:lang w:val="en-US" w:eastAsia="zh-CN"/>
                                      </w:rPr>
                                    </w:pPr>
                                    <w:r>
                                      <w:rPr>
                                        <w:rFonts w:hint="eastAsia"/>
                                        <w:lang w:val="en-US" w:eastAsia="zh-CN"/>
                                      </w:rPr>
                                      <w:t>粉尘、噪声</w:t>
                                    </w:r>
                                  </w:p>
                                </w:txbxContent>
                              </wps:txbx>
                              <wps:bodyPr rot="0" spcFirstLastPara="0" vertOverflow="overflow" horzOverflow="overflow" vert="horz" wrap="square" lIns="91440" tIns="45720" rIns="91440" bIns="45720" numCol="1" anchor="t" upright="1">
                                <a:noAutofit/>
                              </wps:bodyPr>
                            </wps:wsp>
                            <wps:wsp>
                              <wps:cNvPr id="21" name="直接箭头连接符 21"/>
                              <wps:cNvCnPr/>
                              <wps:spPr>
                                <a:xfrm flipH="1">
                                  <a:off x="2322830" y="2703830"/>
                                  <a:ext cx="3810" cy="277495"/>
                                </a:xfrm>
                                <a:prstGeom prst="straightConnector1">
                                  <a:avLst/>
                                </a:prstGeom>
                                <a:noFill/>
                                <a:ln w="25400" cap="flat" cmpd="sng">
                                  <a:solidFill>
                                    <a:srgbClr val="000000"/>
                                  </a:solidFill>
                                  <a:prstDash val="solid"/>
                                  <a:round/>
                                  <a:headEnd type="none" w="med" len="med"/>
                                  <a:tailEnd type="triangle" w="med" len="med"/>
                                </a:ln>
                              </wps:spPr>
                              <wps:bodyPr rot="0" spcFirstLastPara="0" vertOverflow="overflow" horzOverflow="overflow" vert="horz" wrap="square" lIns="91440" tIns="45720" rIns="91440" bIns="45720" numCol="1" anchor="t" upright="1">
                                <a:noAutofit/>
                              </wps:bodyPr>
                            </wps:wsp>
                            <wps:wsp>
                              <wps:cNvPr id="22" name="矩形 22"/>
                              <wps:cNvSpPr/>
                              <wps:spPr>
                                <a:xfrm>
                                  <a:off x="1901825" y="2981960"/>
                                  <a:ext cx="817880" cy="3016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F1708EA">
                                    <w:pPr>
                                      <w:rPr>
                                        <w:rFonts w:hint="default"/>
                                        <w:lang w:val="en-US" w:eastAsia="zh-CN"/>
                                      </w:rPr>
                                    </w:pPr>
                                    <w:r>
                                      <w:rPr>
                                        <w:rFonts w:hint="eastAsia" w:ascii="Times New Roman" w:hAnsi="Times New Roman" w:eastAsia="宋体" w:cs="Times New Roman"/>
                                        <w:b w:val="0"/>
                                        <w:bCs w:val="0"/>
                                        <w:color w:val="000000"/>
                                        <w:sz w:val="21"/>
                                        <w:szCs w:val="21"/>
                                        <w:lang w:eastAsia="zh-CN"/>
                                      </w:rPr>
                                      <w:t>恒温发酵</w:t>
                                    </w:r>
                                  </w:p>
                                </w:txbxContent>
                              </wps:txbx>
                              <wps:bodyPr rot="0" spcFirstLastPara="0" vertOverflow="overflow" horzOverflow="overflow" vert="horz" wrap="square" lIns="91440" tIns="45720" rIns="91440" bIns="45720" numCol="1" anchor="t" upright="1">
                                <a:noAutofit/>
                              </wps:bodyPr>
                            </wps:wsp>
                            <wps:wsp>
                              <wps:cNvPr id="23" name="直接箭头连接符 23"/>
                              <wps:cNvCnPr/>
                              <wps:spPr>
                                <a:xfrm flipH="1">
                                  <a:off x="2315210" y="3291205"/>
                                  <a:ext cx="3810" cy="277495"/>
                                </a:xfrm>
                                <a:prstGeom prst="straightConnector1">
                                  <a:avLst/>
                                </a:prstGeom>
                                <a:noFill/>
                                <a:ln w="25400" cap="flat" cmpd="sng">
                                  <a:solidFill>
                                    <a:srgbClr val="000000"/>
                                  </a:solidFill>
                                  <a:prstDash val="solid"/>
                                  <a:round/>
                                  <a:headEnd type="none" w="med" len="med"/>
                                  <a:tailEnd type="triangle" w="med" len="med"/>
                                </a:ln>
                              </wps:spPr>
                              <wps:bodyPr rot="0" spcFirstLastPara="0" vertOverflow="overflow" horzOverflow="overflow" vert="horz" wrap="square" lIns="91440" tIns="45720" rIns="91440" bIns="45720" numCol="1" anchor="t" upright="1">
                                <a:noAutofit/>
                              </wps:bodyPr>
                            </wps:wsp>
                            <wps:wsp>
                              <wps:cNvPr id="24" name="矩形 24"/>
                              <wps:cNvSpPr/>
                              <wps:spPr>
                                <a:xfrm>
                                  <a:off x="1894205" y="3576955"/>
                                  <a:ext cx="817880" cy="3016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6F7184A1">
                                    <w:pPr>
                                      <w:jc w:val="center"/>
                                      <w:rPr>
                                        <w:rFonts w:hint="default"/>
                                        <w:lang w:val="en-US" w:eastAsia="zh-CN"/>
                                      </w:rPr>
                                    </w:pPr>
                                    <w:r>
                                      <w:rPr>
                                        <w:rFonts w:hint="eastAsia" w:ascii="Times New Roman" w:hAnsi="Times New Roman" w:eastAsia="宋体" w:cs="Times New Roman"/>
                                        <w:b w:val="0"/>
                                        <w:bCs w:val="0"/>
                                        <w:color w:val="000000"/>
                                        <w:sz w:val="21"/>
                                        <w:szCs w:val="21"/>
                                        <w:lang w:eastAsia="zh-CN"/>
                                      </w:rPr>
                                      <w:t>蒸馏出酒</w:t>
                                    </w:r>
                                  </w:p>
                                </w:txbxContent>
                              </wps:txbx>
                              <wps:bodyPr rot="0" spcFirstLastPara="0" vertOverflow="overflow" horzOverflow="overflow" vert="horz" wrap="square" lIns="91440" tIns="45720" rIns="91440" bIns="45720" numCol="1" anchor="t" upright="1">
                                <a:noAutofit/>
                              </wps:bodyPr>
                            </wps:wsp>
                            <wps:wsp>
                              <wps:cNvPr id="25" name="直接箭头连接符 25"/>
                              <wps:cNvCnPr/>
                              <wps:spPr>
                                <a:xfrm flipV="1">
                                  <a:off x="2727325" y="3156585"/>
                                  <a:ext cx="463550" cy="2540"/>
                                </a:xfrm>
                                <a:prstGeom prst="straightConnector1">
                                  <a:avLst/>
                                </a:prstGeom>
                                <a:noFill/>
                                <a:ln w="25400" cap="flat" cmpd="sng">
                                  <a:solidFill>
                                    <a:srgbClr val="000000"/>
                                  </a:solidFill>
                                  <a:prstDash val="solid"/>
                                  <a:round/>
                                  <a:headEnd type="none" w="med" len="med"/>
                                  <a:tailEnd type="triangle" w="med" len="med"/>
                                </a:ln>
                              </wps:spPr>
                              <wps:bodyPr rot="0" spcFirstLastPara="0" vertOverflow="overflow" horzOverflow="overflow" vert="horz" wrap="square" lIns="91440" tIns="45720" rIns="91440" bIns="45720" numCol="1" anchor="t" upright="1">
                                <a:noAutofit/>
                              </wps:bodyPr>
                            </wps:wsp>
                            <wps:wsp>
                              <wps:cNvPr id="26" name="矩形 26"/>
                              <wps:cNvSpPr/>
                              <wps:spPr>
                                <a:xfrm>
                                  <a:off x="3171825" y="2997835"/>
                                  <a:ext cx="817880" cy="301625"/>
                                </a:xfrm>
                                <a:prstGeom prst="rect">
                                  <a:avLst/>
                                </a:prstGeom>
                                <a:solidFill>
                                  <a:srgbClr val="FFFFFF"/>
                                </a:solidFill>
                                <a:ln>
                                  <a:noFill/>
                                </a:ln>
                              </wps:spPr>
                              <wps:txbx>
                                <w:txbxContent>
                                  <w:p w14:paraId="738CCDEB">
                                    <w:pPr>
                                      <w:rPr>
                                        <w:rFonts w:hint="default" w:eastAsia="宋体"/>
                                        <w:lang w:val="en-US" w:eastAsia="zh-CN"/>
                                      </w:rPr>
                                    </w:pPr>
                                    <w:r>
                                      <w:rPr>
                                        <w:rFonts w:hint="eastAsia"/>
                                        <w:lang w:val="en-US" w:eastAsia="zh-CN"/>
                                      </w:rPr>
                                      <w:t>废水、固废</w:t>
                                    </w:r>
                                  </w:p>
                                </w:txbxContent>
                              </wps:txbx>
                              <wps:bodyPr rot="0" spcFirstLastPara="0" vertOverflow="overflow" horzOverflow="overflow" vert="horz" wrap="square" lIns="91440" tIns="45720" rIns="91440" bIns="45720" numCol="1" anchor="t" upright="1">
                                <a:noAutofit/>
                              </wps:bodyPr>
                            </wps:wsp>
                            <wps:wsp>
                              <wps:cNvPr id="27" name="直接箭头连接符 27"/>
                              <wps:cNvCnPr/>
                              <wps:spPr>
                                <a:xfrm flipH="1">
                                  <a:off x="2314575" y="3886835"/>
                                  <a:ext cx="3810" cy="277495"/>
                                </a:xfrm>
                                <a:prstGeom prst="straightConnector1">
                                  <a:avLst/>
                                </a:prstGeom>
                                <a:noFill/>
                                <a:ln w="25400" cap="flat" cmpd="sng">
                                  <a:solidFill>
                                    <a:srgbClr val="000000"/>
                                  </a:solidFill>
                                  <a:prstDash val="solid"/>
                                  <a:round/>
                                  <a:headEnd type="none" w="med" len="med"/>
                                  <a:tailEnd type="triangle" w="med" len="med"/>
                                </a:ln>
                              </wps:spPr>
                              <wps:bodyPr rot="0" spcFirstLastPara="0" vertOverflow="overflow" horzOverflow="overflow" vert="horz" wrap="square" lIns="91440" tIns="45720" rIns="91440" bIns="45720" numCol="1" anchor="t" upright="1">
                                <a:noAutofit/>
                              </wps:bodyPr>
                            </wps:wsp>
                            <wps:wsp>
                              <wps:cNvPr id="28" name="直接箭头连接符 28"/>
                              <wps:cNvCnPr/>
                              <wps:spPr>
                                <a:xfrm flipV="1">
                                  <a:off x="2727325" y="3735705"/>
                                  <a:ext cx="463550" cy="2540"/>
                                </a:xfrm>
                                <a:prstGeom prst="straightConnector1">
                                  <a:avLst/>
                                </a:prstGeom>
                                <a:noFill/>
                                <a:ln w="25400" cap="flat" cmpd="sng">
                                  <a:solidFill>
                                    <a:srgbClr val="000000"/>
                                  </a:solidFill>
                                  <a:prstDash val="solid"/>
                                  <a:round/>
                                  <a:headEnd type="none" w="med" len="med"/>
                                  <a:tailEnd type="triangle" w="med" len="med"/>
                                </a:ln>
                              </wps:spPr>
                              <wps:bodyPr rot="0" spcFirstLastPara="0" vertOverflow="overflow" horzOverflow="overflow" vert="horz" wrap="square" lIns="91440" tIns="45720" rIns="91440" bIns="45720" numCol="1" anchor="t" upright="1">
                                <a:noAutofit/>
                              </wps:bodyPr>
                            </wps:wsp>
                            <wps:wsp>
                              <wps:cNvPr id="29" name="矩形 29"/>
                              <wps:cNvSpPr/>
                              <wps:spPr>
                                <a:xfrm>
                                  <a:off x="3172460" y="3568700"/>
                                  <a:ext cx="1261745" cy="301625"/>
                                </a:xfrm>
                                <a:prstGeom prst="rect">
                                  <a:avLst/>
                                </a:prstGeom>
                                <a:solidFill>
                                  <a:srgbClr val="FFFFFF"/>
                                </a:solidFill>
                                <a:ln>
                                  <a:noFill/>
                                </a:ln>
                              </wps:spPr>
                              <wps:txbx>
                                <w:txbxContent>
                                  <w:p w14:paraId="1C266EAD">
                                    <w:pPr>
                                      <w:rPr>
                                        <w:rFonts w:hint="default" w:eastAsia="宋体"/>
                                        <w:lang w:val="en-US" w:eastAsia="zh-CN"/>
                                      </w:rPr>
                                    </w:pPr>
                                    <w:r>
                                      <w:rPr>
                                        <w:rFonts w:hint="eastAsia"/>
                                        <w:lang w:val="en-US" w:eastAsia="zh-CN"/>
                                      </w:rPr>
                                      <w:t>废水、固废、噪声</w:t>
                                    </w:r>
                                  </w:p>
                                </w:txbxContent>
                              </wps:txbx>
                              <wps:bodyPr rot="0" spcFirstLastPara="0" vertOverflow="overflow" horzOverflow="overflow" vert="horz" wrap="square" lIns="91440" tIns="45720" rIns="91440" bIns="45720" numCol="1" anchor="t" upright="1">
                                <a:noAutofit/>
                              </wps:bodyPr>
                            </wps:wsp>
                            <wps:wsp>
                              <wps:cNvPr id="30" name="矩形 30"/>
                              <wps:cNvSpPr/>
                              <wps:spPr>
                                <a:xfrm>
                                  <a:off x="1894205" y="4164330"/>
                                  <a:ext cx="817880" cy="3016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E126D63">
                                    <w:pPr>
                                      <w:jc w:val="center"/>
                                      <w:rPr>
                                        <w:rFonts w:hint="default"/>
                                        <w:lang w:val="en-US" w:eastAsia="zh-CN"/>
                                      </w:rPr>
                                    </w:pPr>
                                    <w:r>
                                      <w:rPr>
                                        <w:rFonts w:hint="eastAsia" w:ascii="Times New Roman" w:hAnsi="Times New Roman" w:eastAsia="宋体" w:cs="Times New Roman"/>
                                        <w:b w:val="0"/>
                                        <w:bCs w:val="0"/>
                                        <w:color w:val="000000"/>
                                        <w:sz w:val="21"/>
                                        <w:szCs w:val="21"/>
                                        <w:lang w:eastAsia="zh-CN"/>
                                      </w:rPr>
                                      <w:t>原酒储存</w:t>
                                    </w:r>
                                  </w:p>
                                </w:txbxContent>
                              </wps:txbx>
                              <wps:bodyPr rot="0" spcFirstLastPara="0" vertOverflow="overflow" horzOverflow="overflow" vert="horz" wrap="square" lIns="91440" tIns="45720" rIns="91440" bIns="45720" numCol="1" anchor="t" upright="1">
                                <a:noAutofit/>
                              </wps:bodyPr>
                            </wps:wsp>
                            <wps:wsp>
                              <wps:cNvPr id="31" name="直接箭头连接符 31"/>
                              <wps:cNvCnPr/>
                              <wps:spPr>
                                <a:xfrm flipH="1">
                                  <a:off x="2314575" y="4481830"/>
                                  <a:ext cx="3810" cy="277495"/>
                                </a:xfrm>
                                <a:prstGeom prst="straightConnector1">
                                  <a:avLst/>
                                </a:prstGeom>
                                <a:noFill/>
                                <a:ln w="25400" cap="flat" cmpd="sng">
                                  <a:solidFill>
                                    <a:srgbClr val="000000"/>
                                  </a:solidFill>
                                  <a:prstDash val="solid"/>
                                  <a:round/>
                                  <a:headEnd type="none" w="med" len="med"/>
                                  <a:tailEnd type="triangle" w="med" len="med"/>
                                </a:ln>
                              </wps:spPr>
                              <wps:bodyPr rot="0" spcFirstLastPara="0" vertOverflow="overflow" horzOverflow="overflow" vert="horz" wrap="square" lIns="91440" tIns="45720" rIns="91440" bIns="45720" numCol="1" anchor="t" upright="1">
                                <a:noAutofit/>
                              </wps:bodyPr>
                            </wps:wsp>
                            <wps:wsp>
                              <wps:cNvPr id="32" name="矩形 32"/>
                              <wps:cNvSpPr/>
                              <wps:spPr>
                                <a:xfrm>
                                  <a:off x="1886585" y="4767580"/>
                                  <a:ext cx="817880" cy="3016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171EECF1">
                                    <w:pPr>
                                      <w:rPr>
                                        <w:rFonts w:hint="default"/>
                                        <w:lang w:val="en-US" w:eastAsia="zh-CN"/>
                                      </w:rPr>
                                    </w:pPr>
                                    <w:r>
                                      <w:rPr>
                                        <w:rFonts w:hint="eastAsia" w:ascii="Times New Roman" w:hAnsi="Times New Roman" w:eastAsia="宋体" w:cs="Times New Roman"/>
                                        <w:b w:val="0"/>
                                        <w:bCs w:val="0"/>
                                        <w:color w:val="000000"/>
                                        <w:sz w:val="21"/>
                                        <w:szCs w:val="21"/>
                                        <w:lang w:eastAsia="zh-CN"/>
                                      </w:rPr>
                                      <w:t>勾兑</w:t>
                                    </w:r>
                                    <w:r>
                                      <w:rPr>
                                        <w:rFonts w:hint="eastAsia" w:cs="Times New Roman"/>
                                        <w:b w:val="0"/>
                                        <w:bCs w:val="0"/>
                                        <w:color w:val="000000"/>
                                        <w:sz w:val="21"/>
                                        <w:szCs w:val="21"/>
                                        <w:lang w:eastAsia="zh-CN"/>
                                      </w:rPr>
                                      <w:t>、</w:t>
                                    </w:r>
                                    <w:r>
                                      <w:rPr>
                                        <w:rFonts w:hint="eastAsia" w:cs="Times New Roman"/>
                                        <w:b w:val="0"/>
                                        <w:bCs w:val="0"/>
                                        <w:color w:val="000000"/>
                                        <w:sz w:val="21"/>
                                        <w:szCs w:val="21"/>
                                        <w:lang w:val="en-US" w:eastAsia="zh-CN"/>
                                      </w:rPr>
                                      <w:t>检验</w:t>
                                    </w:r>
                                  </w:p>
                                </w:txbxContent>
                              </wps:txbx>
                              <wps:bodyPr rot="0" spcFirstLastPara="0" vertOverflow="overflow" horzOverflow="overflow" vert="horz" wrap="square" lIns="91440" tIns="45720" rIns="91440" bIns="45720" numCol="1" anchor="t" upright="1">
                                <a:noAutofit/>
                              </wps:bodyPr>
                            </wps:wsp>
                            <wps:wsp>
                              <wps:cNvPr id="33" name="直接箭头连接符 33"/>
                              <wps:cNvCnPr/>
                              <wps:spPr>
                                <a:xfrm flipV="1">
                                  <a:off x="2712084" y="4926330"/>
                                  <a:ext cx="463550" cy="2540"/>
                                </a:xfrm>
                                <a:prstGeom prst="straightConnector1">
                                  <a:avLst/>
                                </a:prstGeom>
                                <a:noFill/>
                                <a:ln w="25400" cap="flat" cmpd="sng">
                                  <a:solidFill>
                                    <a:srgbClr val="000000"/>
                                  </a:solidFill>
                                  <a:prstDash val="solid"/>
                                  <a:round/>
                                  <a:headEnd type="none" w="med" len="med"/>
                                  <a:tailEnd type="triangle" w="med" len="med"/>
                                </a:ln>
                              </wps:spPr>
                              <wps:bodyPr rot="0" spcFirstLastPara="0" vertOverflow="overflow" horzOverflow="overflow" vert="horz" wrap="square" lIns="91440" tIns="45720" rIns="91440" bIns="45720" numCol="1" anchor="t" upright="1">
                                <a:noAutofit/>
                              </wps:bodyPr>
                            </wps:wsp>
                            <wps:wsp>
                              <wps:cNvPr id="34" name="矩形 34"/>
                              <wps:cNvSpPr/>
                              <wps:spPr>
                                <a:xfrm>
                                  <a:off x="3172460" y="4759960"/>
                                  <a:ext cx="1261745" cy="301625"/>
                                </a:xfrm>
                                <a:prstGeom prst="rect">
                                  <a:avLst/>
                                </a:prstGeom>
                                <a:solidFill>
                                  <a:srgbClr val="FFFFFF"/>
                                </a:solidFill>
                                <a:ln>
                                  <a:noFill/>
                                </a:ln>
                              </wps:spPr>
                              <wps:txbx>
                                <w:txbxContent>
                                  <w:p w14:paraId="74CE1747">
                                    <w:pPr>
                                      <w:rPr>
                                        <w:rFonts w:hint="default" w:eastAsia="宋体"/>
                                        <w:lang w:val="en-US" w:eastAsia="zh-CN"/>
                                      </w:rPr>
                                    </w:pPr>
                                    <w:r>
                                      <w:rPr>
                                        <w:rFonts w:hint="eastAsia"/>
                                        <w:lang w:val="en-US" w:eastAsia="zh-CN"/>
                                      </w:rPr>
                                      <w:t>废气、废水、固废</w:t>
                                    </w:r>
                                  </w:p>
                                </w:txbxContent>
                              </wps:txbx>
                              <wps:bodyPr rot="0" spcFirstLastPara="0" vertOverflow="overflow" horzOverflow="overflow" vert="horz" wrap="square" lIns="91440" tIns="45720" rIns="91440" bIns="45720" numCol="1" anchor="t" upright="1">
                                <a:noAutofit/>
                              </wps:bodyPr>
                            </wps:wsp>
                            <wps:wsp>
                              <wps:cNvPr id="35" name="直接箭头连接符 35"/>
                              <wps:cNvCnPr/>
                              <wps:spPr>
                                <a:xfrm flipH="1">
                                  <a:off x="2330450" y="5076825"/>
                                  <a:ext cx="3810" cy="277495"/>
                                </a:xfrm>
                                <a:prstGeom prst="straightConnector1">
                                  <a:avLst/>
                                </a:prstGeom>
                                <a:noFill/>
                                <a:ln w="25400" cap="flat" cmpd="sng">
                                  <a:solidFill>
                                    <a:srgbClr val="000000"/>
                                  </a:solidFill>
                                  <a:prstDash val="solid"/>
                                  <a:round/>
                                  <a:headEnd type="none" w="med" len="med"/>
                                  <a:tailEnd type="triangle" w="med" len="med"/>
                                </a:ln>
                              </wps:spPr>
                              <wps:bodyPr rot="0" spcFirstLastPara="0" vertOverflow="overflow" horzOverflow="overflow" vert="horz" wrap="square" lIns="91440" tIns="45720" rIns="91440" bIns="45720" numCol="1" anchor="t" upright="1">
                                <a:noAutofit/>
                              </wps:bodyPr>
                            </wps:wsp>
                            <wps:wsp>
                              <wps:cNvPr id="36" name="矩形 36"/>
                              <wps:cNvSpPr/>
                              <wps:spPr>
                                <a:xfrm>
                                  <a:off x="1886585" y="5362575"/>
                                  <a:ext cx="817880" cy="3016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1A20D86">
                                    <w:pPr>
                                      <w:jc w:val="center"/>
                                      <w:rPr>
                                        <w:rFonts w:hint="default"/>
                                        <w:lang w:val="en-US" w:eastAsia="zh-CN"/>
                                      </w:rPr>
                                    </w:pPr>
                                    <w:r>
                                      <w:rPr>
                                        <w:rFonts w:hint="eastAsia" w:ascii="Times New Roman" w:hAnsi="Times New Roman" w:eastAsia="宋体" w:cs="Times New Roman"/>
                                        <w:b w:val="0"/>
                                        <w:bCs w:val="0"/>
                                        <w:color w:val="000000"/>
                                        <w:sz w:val="21"/>
                                        <w:szCs w:val="21"/>
                                        <w:lang w:val="en-US" w:eastAsia="zh-CN"/>
                                      </w:rPr>
                                      <w:t>洗瓶</w:t>
                                    </w:r>
                                  </w:p>
                                </w:txbxContent>
                              </wps:txbx>
                              <wps:bodyPr rot="0" spcFirstLastPara="0" vertOverflow="overflow" horzOverflow="overflow" vert="horz" wrap="square" lIns="91440" tIns="45720" rIns="91440" bIns="45720" numCol="1" anchor="t" upright="1">
                                <a:noAutofit/>
                              </wps:bodyPr>
                            </wps:wsp>
                            <wps:wsp>
                              <wps:cNvPr id="37" name="直接箭头连接符 37"/>
                              <wps:cNvCnPr/>
                              <wps:spPr>
                                <a:xfrm flipV="1">
                                  <a:off x="2703830" y="5529580"/>
                                  <a:ext cx="463550" cy="2540"/>
                                </a:xfrm>
                                <a:prstGeom prst="straightConnector1">
                                  <a:avLst/>
                                </a:prstGeom>
                                <a:noFill/>
                                <a:ln w="25400" cap="flat" cmpd="sng">
                                  <a:solidFill>
                                    <a:srgbClr val="000000"/>
                                  </a:solidFill>
                                  <a:prstDash val="solid"/>
                                  <a:round/>
                                  <a:headEnd type="none" w="med" len="med"/>
                                  <a:tailEnd type="triangle" w="med" len="med"/>
                                </a:ln>
                              </wps:spPr>
                              <wps:bodyPr rot="0" spcFirstLastPara="0" vertOverflow="overflow" horzOverflow="overflow" vert="horz" wrap="square" lIns="91440" tIns="45720" rIns="91440" bIns="45720" numCol="1" anchor="t" upright="1">
                                <a:noAutofit/>
                              </wps:bodyPr>
                            </wps:wsp>
                            <wps:wsp>
                              <wps:cNvPr id="38" name="矩形 38"/>
                              <wps:cNvSpPr/>
                              <wps:spPr>
                                <a:xfrm>
                                  <a:off x="3164840" y="5379085"/>
                                  <a:ext cx="1261745" cy="301625"/>
                                </a:xfrm>
                                <a:prstGeom prst="rect">
                                  <a:avLst/>
                                </a:prstGeom>
                                <a:solidFill>
                                  <a:srgbClr val="FFFFFF"/>
                                </a:solidFill>
                                <a:ln>
                                  <a:noFill/>
                                </a:ln>
                              </wps:spPr>
                              <wps:txbx>
                                <w:txbxContent>
                                  <w:p w14:paraId="5D8B6B13">
                                    <w:pPr>
                                      <w:rPr>
                                        <w:rFonts w:hint="default" w:eastAsia="宋体"/>
                                        <w:lang w:val="en-US" w:eastAsia="zh-CN"/>
                                      </w:rPr>
                                    </w:pPr>
                                    <w:r>
                                      <w:rPr>
                                        <w:rFonts w:hint="eastAsia"/>
                                        <w:lang w:val="en-US" w:eastAsia="zh-CN"/>
                                      </w:rPr>
                                      <w:t>废水、噪声</w:t>
                                    </w:r>
                                  </w:p>
                                </w:txbxContent>
                              </wps:txbx>
                              <wps:bodyPr rot="0" spcFirstLastPara="0" vertOverflow="overflow" horzOverflow="overflow" vert="horz" wrap="square" lIns="91440" tIns="45720" rIns="91440" bIns="45720" numCol="1" anchor="t" upright="1">
                                <a:noAutofit/>
                              </wps:bodyPr>
                            </wps:wsp>
                            <wps:wsp>
                              <wps:cNvPr id="39" name="直接箭头连接符 39"/>
                              <wps:cNvCnPr/>
                              <wps:spPr>
                                <a:xfrm flipH="1">
                                  <a:off x="2322830" y="5680075"/>
                                  <a:ext cx="3810" cy="277495"/>
                                </a:xfrm>
                                <a:prstGeom prst="straightConnector1">
                                  <a:avLst/>
                                </a:prstGeom>
                                <a:noFill/>
                                <a:ln w="25400" cap="flat" cmpd="sng">
                                  <a:solidFill>
                                    <a:srgbClr val="000000"/>
                                  </a:solidFill>
                                  <a:prstDash val="solid"/>
                                  <a:round/>
                                  <a:headEnd type="none" w="med" len="med"/>
                                  <a:tailEnd type="triangle" w="med" len="med"/>
                                </a:ln>
                              </wps:spPr>
                              <wps:bodyPr rot="0" spcFirstLastPara="0" vertOverflow="overflow" horzOverflow="overflow" vert="horz" wrap="square" lIns="91440" tIns="45720" rIns="91440" bIns="45720" numCol="1" anchor="t" upright="1">
                                <a:noAutofit/>
                              </wps:bodyPr>
                            </wps:wsp>
                            <wps:wsp>
                              <wps:cNvPr id="40" name="矩形 40"/>
                              <wps:cNvSpPr/>
                              <wps:spPr>
                                <a:xfrm>
                                  <a:off x="1870075" y="5949950"/>
                                  <a:ext cx="817880" cy="3016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4D60E974">
                                    <w:pPr>
                                      <w:jc w:val="center"/>
                                      <w:rPr>
                                        <w:rFonts w:hint="default"/>
                                        <w:lang w:val="en-US" w:eastAsia="zh-CN"/>
                                      </w:rPr>
                                    </w:pPr>
                                    <w:r>
                                      <w:rPr>
                                        <w:rFonts w:hint="eastAsia" w:ascii="Times New Roman" w:hAnsi="Times New Roman" w:eastAsia="宋体" w:cs="Times New Roman"/>
                                        <w:b w:val="0"/>
                                        <w:bCs w:val="0"/>
                                        <w:color w:val="000000"/>
                                        <w:sz w:val="21"/>
                                        <w:szCs w:val="21"/>
                                        <w:lang w:val="en-US" w:eastAsia="zh-CN"/>
                                      </w:rPr>
                                      <w:t>灌装</w:t>
                                    </w:r>
                                  </w:p>
                                </w:txbxContent>
                              </wps:txbx>
                              <wps:bodyPr rot="0" spcFirstLastPara="0" vertOverflow="overflow" horzOverflow="overflow" vert="horz" wrap="square" lIns="91440" tIns="45720" rIns="91440" bIns="45720" numCol="1" anchor="t" upright="1">
                                <a:noAutofit/>
                              </wps:bodyPr>
                            </wps:wsp>
                            <wps:wsp>
                              <wps:cNvPr id="41" name="直接箭头连接符 41"/>
                              <wps:cNvCnPr/>
                              <wps:spPr>
                                <a:xfrm flipV="1">
                                  <a:off x="2703830" y="6116955"/>
                                  <a:ext cx="463550" cy="2540"/>
                                </a:xfrm>
                                <a:prstGeom prst="straightConnector1">
                                  <a:avLst/>
                                </a:prstGeom>
                                <a:noFill/>
                                <a:ln w="25400" cap="flat" cmpd="sng">
                                  <a:solidFill>
                                    <a:srgbClr val="000000"/>
                                  </a:solidFill>
                                  <a:prstDash val="solid"/>
                                  <a:round/>
                                  <a:headEnd type="none" w="med" len="med"/>
                                  <a:tailEnd type="triangle" w="med" len="med"/>
                                </a:ln>
                              </wps:spPr>
                              <wps:bodyPr rot="0" spcFirstLastPara="0" vertOverflow="overflow" horzOverflow="overflow" vert="horz" wrap="square" lIns="91440" tIns="45720" rIns="91440" bIns="45720" numCol="1" anchor="t" upright="1">
                                <a:noAutofit/>
                              </wps:bodyPr>
                            </wps:wsp>
                            <wps:wsp>
                              <wps:cNvPr id="42" name="矩形 42"/>
                              <wps:cNvSpPr/>
                              <wps:spPr>
                                <a:xfrm>
                                  <a:off x="3148330" y="5949950"/>
                                  <a:ext cx="1261745" cy="301625"/>
                                </a:xfrm>
                                <a:prstGeom prst="rect">
                                  <a:avLst/>
                                </a:prstGeom>
                                <a:solidFill>
                                  <a:srgbClr val="FFFFFF"/>
                                </a:solidFill>
                                <a:ln>
                                  <a:noFill/>
                                </a:ln>
                              </wps:spPr>
                              <wps:txbx>
                                <w:txbxContent>
                                  <w:p w14:paraId="5C3556FF">
                                    <w:pPr>
                                      <w:rPr>
                                        <w:rFonts w:hint="default" w:eastAsia="宋体"/>
                                        <w:lang w:val="en-US" w:eastAsia="zh-CN"/>
                                      </w:rPr>
                                    </w:pPr>
                                    <w:r>
                                      <w:rPr>
                                        <w:rFonts w:hint="eastAsia"/>
                                        <w:lang w:val="en-US" w:eastAsia="zh-CN"/>
                                      </w:rPr>
                                      <w:t>噪声</w:t>
                                    </w:r>
                                  </w:p>
                                </w:txbxContent>
                              </wps:txbx>
                              <wps:bodyPr rot="0" spcFirstLastPara="0" vertOverflow="overflow" horzOverflow="overflow" vert="horz" wrap="square" lIns="91440" tIns="45720" rIns="91440" bIns="45720" numCol="1" anchor="t" upright="1">
                                <a:noAutofit/>
                              </wps:bodyPr>
                            </wps:wsp>
                            <wps:wsp>
                              <wps:cNvPr id="43" name="直接箭头连接符 43"/>
                              <wps:cNvCnPr/>
                              <wps:spPr>
                                <a:xfrm flipH="1">
                                  <a:off x="2306955" y="6260465"/>
                                  <a:ext cx="3810" cy="277495"/>
                                </a:xfrm>
                                <a:prstGeom prst="straightConnector1">
                                  <a:avLst/>
                                </a:prstGeom>
                                <a:noFill/>
                                <a:ln w="25400" cap="flat" cmpd="sng">
                                  <a:solidFill>
                                    <a:srgbClr val="000000"/>
                                  </a:solidFill>
                                  <a:prstDash val="solid"/>
                                  <a:round/>
                                  <a:headEnd type="none" w="med" len="med"/>
                                  <a:tailEnd type="triangle" w="med" len="med"/>
                                </a:ln>
                              </wps:spPr>
                              <wps:bodyPr rot="0" spcFirstLastPara="0" vertOverflow="overflow" horzOverflow="overflow" vert="horz" wrap="square" lIns="91440" tIns="45720" rIns="91440" bIns="45720" numCol="1" anchor="t" upright="1">
                                <a:noAutofit/>
                              </wps:bodyPr>
                            </wps:wsp>
                            <wps:wsp>
                              <wps:cNvPr id="44" name="矩形 44"/>
                              <wps:cNvSpPr/>
                              <wps:spPr>
                                <a:xfrm>
                                  <a:off x="1886585" y="6521450"/>
                                  <a:ext cx="817880" cy="3016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7EC7E31E">
                                    <w:pPr>
                                      <w:jc w:val="center"/>
                                      <w:rPr>
                                        <w:rFonts w:hint="default"/>
                                        <w:lang w:val="en-US" w:eastAsia="zh-CN"/>
                                      </w:rPr>
                                    </w:pPr>
                                    <w:r>
                                      <w:rPr>
                                        <w:rFonts w:hint="eastAsia"/>
                                        <w:lang w:val="en-US" w:eastAsia="zh-CN"/>
                                      </w:rPr>
                                      <w:t>贴标、喷码</w:t>
                                    </w:r>
                                  </w:p>
                                </w:txbxContent>
                              </wps:txbx>
                              <wps:bodyPr rot="0" spcFirstLastPara="0" vertOverflow="overflow" horzOverflow="overflow" vert="horz" wrap="square" lIns="91440" tIns="45720" rIns="91440" bIns="45720" numCol="1" anchor="t" upright="1">
                                <a:noAutofit/>
                              </wps:bodyPr>
                            </wps:wsp>
                            <wps:wsp>
                              <wps:cNvPr id="45" name="直接箭头连接符 45"/>
                              <wps:cNvCnPr/>
                              <wps:spPr>
                                <a:xfrm flipH="1">
                                  <a:off x="2291080" y="6838950"/>
                                  <a:ext cx="3810" cy="277495"/>
                                </a:xfrm>
                                <a:prstGeom prst="straightConnector1">
                                  <a:avLst/>
                                </a:prstGeom>
                                <a:noFill/>
                                <a:ln w="25400" cap="flat" cmpd="sng">
                                  <a:solidFill>
                                    <a:srgbClr val="000000"/>
                                  </a:solidFill>
                                  <a:prstDash val="solid"/>
                                  <a:round/>
                                  <a:headEnd type="none" w="med" len="med"/>
                                  <a:tailEnd type="triangle" w="med" len="med"/>
                                </a:ln>
                              </wps:spPr>
                              <wps:bodyPr rot="0" spcFirstLastPara="0" vertOverflow="overflow" horzOverflow="overflow" vert="horz" wrap="square" lIns="91440" tIns="45720" rIns="91440" bIns="45720" numCol="1" anchor="t" upright="1">
                                <a:noAutofit/>
                              </wps:bodyPr>
                            </wps:wsp>
                            <wps:wsp>
                              <wps:cNvPr id="46" name="矩形 46"/>
                              <wps:cNvSpPr/>
                              <wps:spPr>
                                <a:xfrm>
                                  <a:off x="1878330" y="7093585"/>
                                  <a:ext cx="817880" cy="3016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08809627">
                                    <w:pPr>
                                      <w:jc w:val="center"/>
                                      <w:rPr>
                                        <w:rFonts w:hint="default"/>
                                        <w:lang w:val="en-US" w:eastAsia="zh-CN"/>
                                      </w:rPr>
                                    </w:pPr>
                                    <w:r>
                                      <w:rPr>
                                        <w:rFonts w:hint="eastAsia"/>
                                        <w:lang w:val="en-US" w:eastAsia="zh-CN"/>
                                      </w:rPr>
                                      <w:t>包装入库</w:t>
                                    </w:r>
                                  </w:p>
                                </w:txbxContent>
                              </wps:txbx>
                              <wps:bodyPr rot="0" spcFirstLastPara="0" vertOverflow="overflow" horzOverflow="overflow" vert="horz" wrap="square" lIns="91440" tIns="45720" rIns="91440" bIns="45720" numCol="1" anchor="t" upright="1">
                                <a:noAutofit/>
                              </wps:bodyPr>
                            </wps:wsp>
                            <wps:wsp>
                              <wps:cNvPr id="47" name="直接箭头连接符 47"/>
                              <wps:cNvCnPr/>
                              <wps:spPr>
                                <a:xfrm flipV="1">
                                  <a:off x="2711450" y="7244080"/>
                                  <a:ext cx="463550" cy="2540"/>
                                </a:xfrm>
                                <a:prstGeom prst="straightConnector1">
                                  <a:avLst/>
                                </a:prstGeom>
                                <a:noFill/>
                                <a:ln w="25400" cap="flat" cmpd="sng">
                                  <a:solidFill>
                                    <a:srgbClr val="000000"/>
                                  </a:solidFill>
                                  <a:prstDash val="solid"/>
                                  <a:round/>
                                  <a:headEnd type="none" w="med" len="med"/>
                                  <a:tailEnd type="triangle" w="med" len="med"/>
                                </a:ln>
                              </wps:spPr>
                              <wps:bodyPr rot="0" spcFirstLastPara="0" vertOverflow="overflow" horzOverflow="overflow" vert="horz" wrap="square" lIns="91440" tIns="45720" rIns="91440" bIns="45720" numCol="1" anchor="t" upright="1">
                                <a:noAutofit/>
                              </wps:bodyPr>
                            </wps:wsp>
                            <wps:wsp>
                              <wps:cNvPr id="48" name="矩形 48"/>
                              <wps:cNvSpPr/>
                              <wps:spPr>
                                <a:xfrm>
                                  <a:off x="3172460" y="7108825"/>
                                  <a:ext cx="1261745" cy="301625"/>
                                </a:xfrm>
                                <a:prstGeom prst="rect">
                                  <a:avLst/>
                                </a:prstGeom>
                                <a:solidFill>
                                  <a:srgbClr val="FFFFFF"/>
                                </a:solidFill>
                                <a:ln>
                                  <a:noFill/>
                                </a:ln>
                              </wps:spPr>
                              <wps:txbx>
                                <w:txbxContent>
                                  <w:p w14:paraId="28A0F996">
                                    <w:pPr>
                                      <w:rPr>
                                        <w:rFonts w:hint="default" w:eastAsia="宋体"/>
                                        <w:lang w:val="en-US" w:eastAsia="zh-CN"/>
                                      </w:rPr>
                                    </w:pPr>
                                    <w:r>
                                      <w:rPr>
                                        <w:rFonts w:hint="eastAsia"/>
                                        <w:lang w:val="en-US" w:eastAsia="zh-CN"/>
                                      </w:rPr>
                                      <w:t>固废</w:t>
                                    </w:r>
                                  </w:p>
                                </w:txbxContent>
                              </wps:txbx>
                              <wps:bodyPr rot="0" spcFirstLastPara="0" vertOverflow="overflow" horzOverflow="overflow" vert="horz" wrap="square" lIns="91440" tIns="45720" rIns="91440" bIns="45720" numCol="1" anchor="t" upright="1">
                                <a:noAutofit/>
                              </wps:bodyPr>
                            </wps:wsp>
                            <wps:wsp>
                              <wps:cNvPr id="49" name="直接箭头连接符 49"/>
                              <wps:cNvCnPr/>
                              <wps:spPr>
                                <a:xfrm flipV="1">
                                  <a:off x="1266190" y="1393825"/>
                                  <a:ext cx="675640" cy="2540"/>
                                </a:xfrm>
                                <a:prstGeom prst="straightConnector1">
                                  <a:avLst/>
                                </a:prstGeom>
                                <a:noFill/>
                                <a:ln w="25400" cap="flat" cmpd="sng">
                                  <a:solidFill>
                                    <a:srgbClr val="000000"/>
                                  </a:solidFill>
                                  <a:prstDash val="solid"/>
                                  <a:round/>
                                  <a:headEnd type="none" w="med" len="med"/>
                                  <a:tailEnd type="triangle" w="med" len="med"/>
                                </a:ln>
                              </wps:spPr>
                              <wps:bodyPr rot="0" spcFirstLastPara="0" vertOverflow="overflow" horzOverflow="overflow" vert="horz" wrap="square" lIns="91440" tIns="45720" rIns="91440" bIns="45720" numCol="1" anchor="t" upright="1">
                                <a:noAutofit/>
                              </wps:bodyPr>
                            </wps:wsp>
                            <wps:wsp>
                              <wps:cNvPr id="50" name="直接箭头连接符 50"/>
                              <wps:cNvCnPr/>
                              <wps:spPr>
                                <a:xfrm>
                                  <a:off x="1309370" y="3132455"/>
                                  <a:ext cx="624840" cy="0"/>
                                </a:xfrm>
                                <a:prstGeom prst="straightConnector1">
                                  <a:avLst/>
                                </a:prstGeom>
                                <a:noFill/>
                                <a:ln w="25400" cap="flat" cmpd="sng">
                                  <a:solidFill>
                                    <a:srgbClr val="000000"/>
                                  </a:solidFill>
                                  <a:prstDash val="solid"/>
                                  <a:round/>
                                  <a:headEnd type="none" w="med" len="med"/>
                                  <a:tailEnd type="triangle" w="med" len="med"/>
                                </a:ln>
                              </wps:spPr>
                              <wps:bodyPr rot="0" spcFirstLastPara="0" vertOverflow="overflow" horzOverflow="overflow" vert="horz" wrap="square" lIns="91440" tIns="45720" rIns="91440" bIns="45720" numCol="1" anchor="t" upright="1">
                                <a:noAutofit/>
                              </wps:bodyPr>
                            </wps:wsp>
                            <wps:wsp>
                              <wps:cNvPr id="51" name="矩形 51"/>
                              <wps:cNvSpPr/>
                              <wps:spPr>
                                <a:xfrm>
                                  <a:off x="692150" y="1239520"/>
                                  <a:ext cx="610235" cy="301625"/>
                                </a:xfrm>
                                <a:prstGeom prst="rect">
                                  <a:avLst/>
                                </a:prstGeom>
                                <a:noFill/>
                                <a:ln>
                                  <a:noFill/>
                                </a:ln>
                              </wps:spPr>
                              <wps:txbx>
                                <w:txbxContent>
                                  <w:p w14:paraId="4CC08841">
                                    <w:pPr>
                                      <w:rPr>
                                        <w:rFonts w:hint="default" w:eastAsia="宋体"/>
                                        <w:lang w:val="en-US" w:eastAsia="zh-CN"/>
                                      </w:rPr>
                                    </w:pPr>
                                    <w:r>
                                      <w:rPr>
                                        <w:rFonts w:hint="eastAsia"/>
                                        <w:lang w:val="en-US" w:eastAsia="zh-CN"/>
                                      </w:rPr>
                                      <w:t>水蒸气</w:t>
                                    </w:r>
                                  </w:p>
                                </w:txbxContent>
                              </wps:txbx>
                              <wps:bodyPr rot="0" spcFirstLastPara="0" vertOverflow="overflow" horzOverflow="overflow" vert="horz" wrap="square" lIns="91440" tIns="45720" rIns="91440" bIns="45720" numCol="1" anchor="t" upright="1">
                                <a:noAutofit/>
                              </wps:bodyPr>
                            </wps:wsp>
                            <wps:wsp>
                              <wps:cNvPr id="52" name="矩形 52"/>
                              <wps:cNvSpPr/>
                              <wps:spPr>
                                <a:xfrm>
                                  <a:off x="756920" y="2984500"/>
                                  <a:ext cx="615315" cy="301625"/>
                                </a:xfrm>
                                <a:prstGeom prst="rect">
                                  <a:avLst/>
                                </a:prstGeom>
                                <a:noFill/>
                                <a:ln>
                                  <a:noFill/>
                                </a:ln>
                              </wps:spPr>
                              <wps:txbx>
                                <w:txbxContent>
                                  <w:p w14:paraId="71362055">
                                    <w:pPr>
                                      <w:rPr>
                                        <w:rFonts w:hint="default" w:eastAsia="宋体"/>
                                        <w:lang w:val="en-US" w:eastAsia="zh-CN"/>
                                      </w:rPr>
                                    </w:pPr>
                                    <w:r>
                                      <w:rPr>
                                        <w:rFonts w:hint="eastAsia"/>
                                        <w:lang w:val="en-US" w:eastAsia="zh-CN"/>
                                      </w:rPr>
                                      <w:t>水蒸气</w:t>
                                    </w:r>
                                  </w:p>
                                </w:txbxContent>
                              </wps:txbx>
                              <wps:bodyPr rot="0" spcFirstLastPara="0" vertOverflow="overflow" horzOverflow="overflow" vert="horz" wrap="square" lIns="91440" tIns="45720" rIns="91440" bIns="45720" numCol="1" anchor="t" upright="1">
                                <a:noAutofit/>
                              </wps:bodyPr>
                            </wps:wsp>
                            <wps:wsp>
                              <wps:cNvPr id="53" name="直接箭头连接符 53"/>
                              <wps:cNvCnPr/>
                              <wps:spPr>
                                <a:xfrm>
                                  <a:off x="1456690" y="4916170"/>
                                  <a:ext cx="450850" cy="3810"/>
                                </a:xfrm>
                                <a:prstGeom prst="straightConnector1">
                                  <a:avLst/>
                                </a:prstGeom>
                                <a:noFill/>
                                <a:ln w="25400" cap="flat" cmpd="sng">
                                  <a:solidFill>
                                    <a:srgbClr val="000000"/>
                                  </a:solidFill>
                                  <a:prstDash val="solid"/>
                                  <a:round/>
                                  <a:headEnd type="none" w="med" len="med"/>
                                  <a:tailEnd type="triangle" w="med" len="med"/>
                                </a:ln>
                              </wps:spPr>
                              <wps:bodyPr rot="0" spcFirstLastPara="0" vertOverflow="overflow" horzOverflow="overflow" vert="horz" wrap="square" lIns="91440" tIns="45720" rIns="91440" bIns="45720" numCol="1" anchor="t" upright="1">
                                <a:noAutofit/>
                              </wps:bodyPr>
                            </wps:wsp>
                            <wps:wsp>
                              <wps:cNvPr id="54" name="直接箭头连接符 54"/>
                              <wps:cNvCnPr/>
                              <wps:spPr>
                                <a:xfrm>
                                  <a:off x="1481455" y="5514340"/>
                                  <a:ext cx="420370" cy="7620"/>
                                </a:xfrm>
                                <a:prstGeom prst="straightConnector1">
                                  <a:avLst/>
                                </a:prstGeom>
                                <a:noFill/>
                                <a:ln w="25400" cap="flat" cmpd="sng">
                                  <a:solidFill>
                                    <a:srgbClr val="000000"/>
                                  </a:solidFill>
                                  <a:prstDash val="solid"/>
                                  <a:round/>
                                  <a:headEnd type="none" w="med" len="med"/>
                                  <a:tailEnd type="triangle" w="med" len="med"/>
                                </a:ln>
                              </wps:spPr>
                              <wps:bodyPr rot="0" spcFirstLastPara="0" vertOverflow="overflow" horzOverflow="overflow" vert="horz" wrap="square" lIns="91440" tIns="45720" rIns="91440" bIns="45720" numCol="1" anchor="t" upright="1">
                                <a:noAutofit/>
                              </wps:bodyPr>
                            </wps:wsp>
                            <wps:wsp>
                              <wps:cNvPr id="55" name="直接箭头连接符 55"/>
                              <wps:cNvCnPr/>
                              <wps:spPr>
                                <a:xfrm flipV="1">
                                  <a:off x="1477645" y="6092190"/>
                                  <a:ext cx="424180" cy="3810"/>
                                </a:xfrm>
                                <a:prstGeom prst="straightConnector1">
                                  <a:avLst/>
                                </a:prstGeom>
                                <a:noFill/>
                                <a:ln w="25400" cap="flat" cmpd="sng">
                                  <a:solidFill>
                                    <a:srgbClr val="000000"/>
                                  </a:solidFill>
                                  <a:prstDash val="solid"/>
                                  <a:round/>
                                  <a:headEnd type="none" w="med" len="med"/>
                                  <a:tailEnd type="triangle" w="med" len="med"/>
                                </a:ln>
                              </wps:spPr>
                              <wps:bodyPr rot="0" spcFirstLastPara="0" vertOverflow="overflow" horzOverflow="overflow" vert="horz" wrap="square" lIns="91440" tIns="45720" rIns="91440" bIns="45720" numCol="1" anchor="t" upright="1">
                                <a:noAutofit/>
                              </wps:bodyPr>
                            </wps:wsp>
                            <wps:wsp>
                              <wps:cNvPr id="56" name="直接箭头连接符 56"/>
                              <wps:cNvCnPr/>
                              <wps:spPr>
                                <a:xfrm>
                                  <a:off x="1472565" y="4932045"/>
                                  <a:ext cx="15875" cy="1170305"/>
                                </a:xfrm>
                                <a:prstGeom prst="straightConnector1">
                                  <a:avLst/>
                                </a:prstGeom>
                                <a:noFill/>
                                <a:ln w="25400" cap="flat" cmpd="sng">
                                  <a:solidFill>
                                    <a:srgbClr val="000000"/>
                                  </a:solidFill>
                                  <a:prstDash val="solid"/>
                                  <a:round/>
                                  <a:headEnd type="none" w="med" len="med"/>
                                  <a:tailEnd type="none" w="med" len="med"/>
                                </a:ln>
                              </wps:spPr>
                              <wps:bodyPr rot="0" spcFirstLastPara="0" vertOverflow="overflow" horzOverflow="overflow" vert="horz" wrap="square" lIns="91440" tIns="45720" rIns="91440" bIns="45720" numCol="1" anchor="t" upright="1">
                                <a:noAutofit/>
                              </wps:bodyPr>
                            </wps:wsp>
                            <wps:wsp>
                              <wps:cNvPr id="57" name="直接箭头连接符 57"/>
                              <wps:cNvCnPr/>
                              <wps:spPr>
                                <a:xfrm>
                                  <a:off x="1123950" y="5521325"/>
                                  <a:ext cx="420370" cy="7620"/>
                                </a:xfrm>
                                <a:prstGeom prst="straightConnector1">
                                  <a:avLst/>
                                </a:prstGeom>
                                <a:noFill/>
                                <a:ln w="25400" cap="flat" cmpd="sng">
                                  <a:solidFill>
                                    <a:srgbClr val="000000"/>
                                  </a:solidFill>
                                  <a:prstDash val="solid"/>
                                  <a:round/>
                                  <a:headEnd type="none" w="med" len="med"/>
                                  <a:tailEnd type="triangle" w="med" len="med"/>
                                </a:ln>
                              </wps:spPr>
                              <wps:bodyPr rot="0" spcFirstLastPara="0" vertOverflow="overflow" horzOverflow="overflow" vert="horz" wrap="square" lIns="91440" tIns="45720" rIns="91440" bIns="45720" numCol="1" anchor="t" upright="1">
                                <a:noAutofit/>
                              </wps:bodyPr>
                            </wps:wsp>
                            <wps:wsp>
                              <wps:cNvPr id="58" name="矩形 58"/>
                              <wps:cNvSpPr/>
                              <wps:spPr>
                                <a:xfrm>
                                  <a:off x="338454" y="5370830"/>
                                  <a:ext cx="817880" cy="3016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5F235A2">
                                    <w:pPr>
                                      <w:jc w:val="center"/>
                                      <w:rPr>
                                        <w:rFonts w:hint="default" w:eastAsia="宋体"/>
                                        <w:lang w:val="en-US" w:eastAsia="zh-CN"/>
                                      </w:rPr>
                                    </w:pPr>
                                    <w:r>
                                      <w:rPr>
                                        <w:rFonts w:hint="eastAsia"/>
                                        <w:lang w:val="en-US" w:eastAsia="zh-CN"/>
                                      </w:rPr>
                                      <w:t>纯水制备</w:t>
                                    </w:r>
                                  </w:p>
                                </w:txbxContent>
                              </wps:txbx>
                              <wps:bodyPr rot="0" spcFirstLastPara="0" vertOverflow="overflow" horzOverflow="overflow" vert="horz" wrap="square" lIns="91440" tIns="45720" rIns="91440" bIns="45720" numCol="1" anchor="t" upright="1">
                                <a:noAutofit/>
                              </wps:bodyPr>
                            </wps:wsp>
                            <wps:wsp>
                              <wps:cNvPr id="59" name="矩形 59"/>
                              <wps:cNvSpPr/>
                              <wps:spPr>
                                <a:xfrm>
                                  <a:off x="1108075" y="5283200"/>
                                  <a:ext cx="817880" cy="301625"/>
                                </a:xfrm>
                                <a:prstGeom prst="rect">
                                  <a:avLst/>
                                </a:prstGeom>
                                <a:noFill/>
                                <a:ln>
                                  <a:noFill/>
                                </a:ln>
                              </wps:spPr>
                              <wps:txbx>
                                <w:txbxContent>
                                  <w:p w14:paraId="54B61EF5">
                                    <w:pPr>
                                      <w:rPr>
                                        <w:rFonts w:hint="default" w:eastAsia="宋体"/>
                                        <w:lang w:val="en-US" w:eastAsia="zh-CN"/>
                                      </w:rPr>
                                    </w:pPr>
                                    <w:r>
                                      <w:rPr>
                                        <w:rFonts w:hint="eastAsia"/>
                                        <w:lang w:val="en-US" w:eastAsia="zh-CN"/>
                                      </w:rPr>
                                      <w:t>纯水</w:t>
                                    </w:r>
                                  </w:p>
                                </w:txbxContent>
                              </wps:txbx>
                              <wps:bodyPr rot="0" spcFirstLastPara="0" vertOverflow="overflow" horzOverflow="overflow" vert="horz" wrap="square" lIns="91440" tIns="45720" rIns="91440" bIns="45720" numCol="1" anchor="t" upright="1">
                                <a:noAutofit/>
                              </wps:bodyPr>
                            </wps:wsp>
                            <wps:wsp>
                              <wps:cNvPr id="60" name="直接箭头连接符 60"/>
                              <wps:cNvCnPr/>
                              <wps:spPr>
                                <a:xfrm flipV="1">
                                  <a:off x="774700" y="5073015"/>
                                  <a:ext cx="7620" cy="306070"/>
                                </a:xfrm>
                                <a:prstGeom prst="straightConnector1">
                                  <a:avLst/>
                                </a:prstGeom>
                                <a:noFill/>
                                <a:ln w="25400" cap="flat" cmpd="sng">
                                  <a:solidFill>
                                    <a:srgbClr val="000000"/>
                                  </a:solidFill>
                                  <a:prstDash val="solid"/>
                                  <a:round/>
                                  <a:headEnd type="none" w="med" len="med"/>
                                  <a:tailEnd type="triangle" w="med" len="med"/>
                                </a:ln>
                              </wps:spPr>
                              <wps:bodyPr rot="0" spcFirstLastPara="0" vertOverflow="overflow" horzOverflow="overflow" vert="horz" wrap="square" lIns="91440" tIns="45720" rIns="91440" bIns="45720" numCol="1" anchor="t" upright="1">
                                <a:noAutofit/>
                              </wps:bodyPr>
                            </wps:wsp>
                            <wps:wsp>
                              <wps:cNvPr id="61" name="矩形 61"/>
                              <wps:cNvSpPr/>
                              <wps:spPr>
                                <a:xfrm>
                                  <a:off x="409575" y="4799330"/>
                                  <a:ext cx="817880" cy="301625"/>
                                </a:xfrm>
                                <a:prstGeom prst="rect">
                                  <a:avLst/>
                                </a:prstGeom>
                                <a:noFill/>
                                <a:ln>
                                  <a:noFill/>
                                </a:ln>
                              </wps:spPr>
                              <wps:txbx>
                                <w:txbxContent>
                                  <w:p w14:paraId="6CE7BA5B">
                                    <w:pPr>
                                      <w:rPr>
                                        <w:rFonts w:hint="default" w:eastAsia="宋体"/>
                                        <w:lang w:val="en-US" w:eastAsia="zh-CN"/>
                                      </w:rPr>
                                    </w:pPr>
                                    <w:r>
                                      <w:rPr>
                                        <w:rFonts w:hint="eastAsia"/>
                                        <w:lang w:val="en-US" w:eastAsia="zh-CN"/>
                                      </w:rPr>
                                      <w:t>废水、固废</w:t>
                                    </w:r>
                                  </w:p>
                                </w:txbxContent>
                              </wps:txbx>
                              <wps:bodyPr rot="0" spcFirstLastPara="0" vertOverflow="overflow" horzOverflow="overflow" vert="horz" wrap="square" lIns="91440" tIns="45720" rIns="91440" bIns="45720" numCol="1" anchor="t" upright="1">
                                <a:noAutofit/>
                              </wps:bodyPr>
                            </wps:wsp>
                          </wpg:wgp>
                        </a:graphicData>
                      </a:graphic>
                    </wp:inline>
                  </w:drawing>
                </mc:Choice>
                <mc:Fallback>
                  <w:pict>
                    <v:group id="画布 1" o:spid="_x0000_s1026" o:spt="203" style="height:585.2pt;width:384.05pt;" coordsize="4877434,7432040" o:gfxdata="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">
                      <o:lock v:ext="edit" aspectratio="f"/>
                      <v:rect id="_x0000_s1026" o:spid="_x0000_s1026" o:spt="1" style="position:absolute;left:0;top:0;height:7432040;width:4877434;" filled="f" stroked="t" coordsize="21600,21600" o:gfxdata="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6zHwugAAANoA&#10;AAAPAAAAAAAAAAEAIAAAACIAAABkcnMvZG93bnJldi54bWxQSwECFAAUAAAACACHTuJAMy8FnjsA&#10;AAA5AAAAEAAAAAAAAAABACAAAAAJAQAAZHJzL3NoYXBleG1sLnhtbFBLBQYAAAAABgAGAFsBAACz&#10;AwAAAAA=&#10;">
                        <v:fill on="f" focussize="0,0"/>
                        <v:stroke color="#000000" joinstyle="round"/>
                        <v:imagedata o:title=""/>
                        <o:lock v:ext="edit" aspectratio="f"/>
                      </v:rect>
                      <v:rect id="_x0000_s1026" o:spid="_x0000_s1026" o:spt="1" style="position:absolute;left:1953895;top:107950;height:301625;width:817880;" fillcolor="#FFFFFF" filled="t" stroked="t" coordsize="21600,21600" o:gfxdata="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08pVLsAAADa&#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56E746B9">
                              <w:pPr>
                                <w:rPr>
                                  <w:rFonts w:hint="default" w:eastAsia="宋体"/>
                                  <w:lang w:val="en-US" w:eastAsia="zh-CN"/>
                                </w:rPr>
                              </w:pPr>
                              <w:r>
                                <w:rPr>
                                  <w:rFonts w:hint="eastAsia"/>
                                  <w:lang w:val="en-US" w:eastAsia="zh-CN"/>
                                </w:rPr>
                                <w:t>粮食粉碎</w:t>
                              </w:r>
                            </w:p>
                          </w:txbxContent>
                        </v:textbox>
                      </v:rect>
                      <v:shape id="_x0000_s1026" o:spid="_x0000_s1026" o:spt="32" type="#_x0000_t32" style="position:absolute;left:2359025;top:409575;flip:x;height:277495;width:3810;" filled="f" stroked="t" coordsize="21600,21600" o:gfxdata="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8nyvQAA&#10;ANoAAAAPAAAAAAAAAAEAIAAAACIAAABkcnMvZG93bnJldi54bWxQSwECFAAUAAAACACHTuJAMy8F&#10;njsAAAA5AAAAEAAAAAAAAAABACAAAAAMAQAAZHJzL3NoYXBleG1sLnhtbFBLBQYAAAAABgAGAFsB&#10;AAC2AwAAAAA=&#10;">
                        <v:fill on="f" focussize="0,0"/>
                        <v:stroke weight="2pt" color="#000000" joinstyle="round" endarrow="block"/>
                        <v:imagedata o:title=""/>
                        <o:lock v:ext="edit" aspectratio="f"/>
                      </v:shape>
                      <v:shape id="_x0000_s1026" o:spid="_x0000_s1026" o:spt="32" type="#_x0000_t32" style="position:absolute;left:2771774;top:256540;flip:y;height:2540;width:463550;" filled="f" stroked="t" coordsize="21600,21600" o:gfxdata="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uVeFvQAA&#10;ANoAAAAPAAAAAAAAAAEAIAAAACIAAABkcnMvZG93bnJldi54bWxQSwECFAAUAAAACACHTuJAMy8F&#10;njsAAAA5AAAAEAAAAAAAAAABACAAAAAMAQAAZHJzL3NoYXBleG1sLnhtbFBLBQYAAAAABgAGAFsB&#10;AAC2AwAAAAA=&#10;">
                        <v:fill on="f" focussize="0,0"/>
                        <v:stroke weight="2pt" color="#000000" joinstyle="round" endarrow="block"/>
                        <v:imagedata o:title=""/>
                        <o:lock v:ext="edit" aspectratio="f"/>
                      </v:shape>
                      <v:rect id="_x0000_s1026" o:spid="_x0000_s1026" o:spt="1" style="position:absolute;left:3243580;top:100330;height:301625;width:817880;" fillcolor="#FFFFFF" filled="t" stroked="f" coordsize="21600,21600" o:gfxdata="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Q828AAAA&#10;2g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47FBA867">
                              <w:pPr>
                                <w:rPr>
                                  <w:rFonts w:hint="default" w:eastAsia="宋体"/>
                                  <w:lang w:val="en-US" w:eastAsia="zh-CN"/>
                                </w:rPr>
                              </w:pPr>
                              <w:r>
                                <w:rPr>
                                  <w:rFonts w:hint="eastAsia"/>
                                  <w:lang w:val="en-US" w:eastAsia="zh-CN"/>
                                </w:rPr>
                                <w:t>粉尘、噪声</w:t>
                              </w:r>
                            </w:p>
                          </w:txbxContent>
                        </v:textbox>
                      </v:rect>
                      <v:rect id="_x0000_s1026" o:spid="_x0000_s1026" o:spt="1" style="position:absolute;left:1925955;top:671830;height:301625;width:817880;" fillcolor="#FFFFFF" filled="t" stroked="t" coordsize="21600,21600" o:gfxdata="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5gIjUbUAAADa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14:paraId="7652D379">
                              <w:pPr>
                                <w:jc w:val="center"/>
                                <w:rPr>
                                  <w:rFonts w:hint="default"/>
                                  <w:lang w:val="en-US" w:eastAsia="zh-CN"/>
                                </w:rPr>
                              </w:pPr>
                              <w:r>
                                <w:rPr>
                                  <w:rFonts w:hint="eastAsia" w:ascii="Times New Roman" w:hAnsi="Times New Roman" w:eastAsia="宋体" w:cs="Times New Roman"/>
                                  <w:b w:val="0"/>
                                  <w:bCs w:val="0"/>
                                  <w:color w:val="000000"/>
                                  <w:sz w:val="21"/>
                                  <w:szCs w:val="21"/>
                                  <w:lang w:val="en-US" w:eastAsia="zh-CN"/>
                                </w:rPr>
                                <w:t>润粮</w:t>
                              </w:r>
                            </w:p>
                          </w:txbxContent>
                        </v:textbox>
                      </v:rect>
                      <v:rect id="_x0000_s1026" o:spid="_x0000_s1026" o:spt="1" style="position:absolute;left:1934210;top:1243330;height:301625;width:817880;" fillcolor="#FFFFFF" filled="t" stroked="t" coordsize="21600,21600" o:gfxdata="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6GyrsAAADa&#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56D40520">
                              <w:pPr>
                                <w:jc w:val="center"/>
                                <w:rPr>
                                  <w:rFonts w:hint="default" w:eastAsia="宋体"/>
                                  <w:lang w:val="en-US" w:eastAsia="zh-CN"/>
                                </w:rPr>
                              </w:pPr>
                              <w:r>
                                <w:rPr>
                                  <w:rFonts w:hint="eastAsia" w:ascii="Times New Roman" w:hAnsi="Times New Roman" w:eastAsia="宋体" w:cs="Times New Roman"/>
                                  <w:b w:val="0"/>
                                  <w:bCs w:val="0"/>
                                  <w:color w:val="000000"/>
                                  <w:sz w:val="21"/>
                                  <w:szCs w:val="21"/>
                                  <w:lang w:eastAsia="zh-CN"/>
                                </w:rPr>
                                <w:t>熟化</w:t>
                              </w:r>
                            </w:p>
                          </w:txbxContent>
                        </v:textbox>
                      </v:rect>
                      <v:shape id="_x0000_s1026" o:spid="_x0000_s1026" o:spt="32" type="#_x0000_t32" style="position:absolute;left:2346960;top:973455;flip:x;height:277495;width:3810;" filled="f" stroked="t" coordsize="21600,21600" o:gfxdata="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jDEb4A&#10;AADbAAAADwAAAAAAAAABACAAAAAiAAAAZHJzL2Rvd25yZXYueG1sUEsBAhQAFAAAAAgAh07iQDMv&#10;BZ47AAAAOQAAABAAAAAAAAAAAQAgAAAADQEAAGRycy9zaGFwZXhtbC54bWxQSwUGAAAAAAYABgBb&#10;AQAAtwMAAAAA&#10;">
                        <v:fill on="f" focussize="0,0"/>
                        <v:stroke weight="2pt" color="#000000" joinstyle="round" endarrow="block"/>
                        <v:imagedata o:title=""/>
                        <o:lock v:ext="edit" aspectratio="f"/>
                      </v:shape>
                      <v:shape id="_x0000_s1026" o:spid="_x0000_s1026" o:spt="32" type="#_x0000_t32" style="position:absolute;left:1520825;top:828040;height:7620;width:420370;" filled="f" stroked="t" coordsize="21600,21600" o:gfxdata="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HiX8W5AAAA2wAA&#10;AA8AAAAAAAAAAQAgAAAAIgAAAGRycy9kb3ducmV2LnhtbFBLAQIUABQAAAAIAIdO4kAzLwWeOwAA&#10;ADkAAAAQAAAAAAAAAAEAIAAAAAgBAABkcnMvc2hhcGV4bWwueG1sUEsFBgAAAAAGAAYAWwEAALID&#10;AAAAAA==&#10;">
                        <v:fill on="f" focussize="0,0"/>
                        <v:stroke weight="2pt" color="#000000" joinstyle="round" endarrow="block"/>
                        <v:imagedata o:title=""/>
                        <o:lock v:ext="edit" aspectratio="f"/>
                      </v:shape>
                      <v:rect id="_x0000_s1026" o:spid="_x0000_s1026" o:spt="1" style="position:absolute;left:1123950;top:687070;height:301625;width:476885;" filled="f" stroked="f" coordsize="21600,21600" o:gfxdata="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oZ/8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6352A508">
                              <w:pPr>
                                <w:rPr>
                                  <w:rFonts w:hint="default" w:eastAsia="宋体"/>
                                  <w:lang w:val="en-US" w:eastAsia="zh-CN"/>
                                </w:rPr>
                              </w:pPr>
                              <w:r>
                                <w:rPr>
                                  <w:rFonts w:hint="eastAsia"/>
                                  <w:lang w:val="en-US" w:eastAsia="zh-CN"/>
                                </w:rPr>
                                <w:t>热水</w:t>
                              </w:r>
                            </w:p>
                          </w:txbxContent>
                        </v:textbox>
                      </v:rect>
                      <v:shape id="_x0000_s1026" o:spid="_x0000_s1026" o:spt="32" type="#_x0000_t32" style="position:absolute;left:2338705;top:1537335;flip:x;height:277495;width:3810;" filled="f" stroked="t" coordsize="21600,21600" o:gfxdata="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56XWa8AAAA&#10;2wAAAA8AAAAAAAAAAQAgAAAAIgAAAGRycy9kb3ducmV2LnhtbFBLAQIUABQAAAAIAIdO4kAzLwWe&#10;OwAAADkAAAAQAAAAAAAAAAEAIAAAAAsBAABkcnMvc2hhcGV4bWwueG1sUEsFBgAAAAAGAAYAWwEA&#10;ALUDAAAAAA==&#10;">
                        <v:fill on="f" focussize="0,0"/>
                        <v:stroke weight="2pt" color="#000000" joinstyle="round" endarrow="block"/>
                        <v:imagedata o:title=""/>
                        <o:lock v:ext="edit" aspectratio="f"/>
                      </v:shape>
                      <v:rect id="_x0000_s1026" o:spid="_x0000_s1026" o:spt="1" style="position:absolute;left:1925955;top:1814830;height:301625;width:817880;" fillcolor="#FFFFFF" filled="t" stroked="t" coordsize="21600,21600" o:gfxdata="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82QT7sAAADb&#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69C5161C">
                              <w:pPr>
                                <w:jc w:val="center"/>
                                <w:rPr>
                                  <w:rFonts w:hint="default"/>
                                  <w:lang w:val="en-US" w:eastAsia="zh-CN"/>
                                </w:rPr>
                              </w:pPr>
                              <w:r>
                                <w:rPr>
                                  <w:rFonts w:hint="eastAsia" w:ascii="Times New Roman" w:hAnsi="Times New Roman" w:eastAsia="宋体" w:cs="Times New Roman"/>
                                  <w:b w:val="0"/>
                                  <w:bCs w:val="0"/>
                                  <w:color w:val="000000"/>
                                  <w:sz w:val="21"/>
                                  <w:szCs w:val="21"/>
                                  <w:lang w:eastAsia="zh-CN"/>
                                </w:rPr>
                                <w:t>自然冷却</w:t>
                              </w:r>
                            </w:p>
                          </w:txbxContent>
                        </v:textbox>
                      </v:rect>
                      <v:shape id="_x0000_s1026" o:spid="_x0000_s1026" o:spt="32" type="#_x0000_t32" style="position:absolute;left:2322830;top:2124710;flip:x;height:277495;width:3810;" filled="f" stroked="t" coordsize="21600,21600" o:gfxdata="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t9gibsAAADb&#10;AAAADwAAAAAAAAABACAAAAAiAAAAZHJzL2Rvd25yZXYueG1sUEsBAhQAFAAAAAgAh07iQDMvBZ47&#10;AAAAOQAAABAAAAAAAAAAAQAgAAAACgEAAGRycy9zaGFwZXhtbC54bWxQSwUGAAAAAAYABgBbAQAA&#10;tAMAAAAA&#10;">
                        <v:fill on="f" focussize="0,0"/>
                        <v:stroke weight="2pt" color="#000000" joinstyle="round" endarrow="block"/>
                        <v:imagedata o:title=""/>
                        <o:lock v:ext="edit" aspectratio="f"/>
                      </v:shape>
                      <v:rect id="_x0000_s1026" o:spid="_x0000_s1026" o:spt="1" style="position:absolute;left:1910080;top:2393950;height:301625;width:817880;" fillcolor="#FFFFFF" filled="t" stroked="t" coordsize="21600,21600" o:gfxdata="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RTq6O5AAAA2w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0E9C4ADF">
                              <w:pPr>
                                <w:jc w:val="center"/>
                                <w:rPr>
                                  <w:rFonts w:hint="default"/>
                                  <w:lang w:val="en-US" w:eastAsia="zh-CN"/>
                                </w:rPr>
                              </w:pPr>
                              <w:r>
                                <w:rPr>
                                  <w:rFonts w:hint="eastAsia" w:ascii="Times New Roman" w:hAnsi="Times New Roman" w:eastAsia="宋体" w:cs="Times New Roman"/>
                                  <w:b w:val="0"/>
                                  <w:bCs w:val="0"/>
                                  <w:color w:val="000000"/>
                                  <w:sz w:val="21"/>
                                  <w:szCs w:val="21"/>
                                  <w:lang w:eastAsia="zh-CN"/>
                                </w:rPr>
                                <w:t>熟料配曲</w:t>
                              </w:r>
                            </w:p>
                          </w:txbxContent>
                        </v:textbox>
                      </v:rect>
                      <v:shape id="_x0000_s1026" o:spid="_x0000_s1026" o:spt="32" type="#_x0000_t32" style="position:absolute;left:1489710;top:2545080;height:7620;width:420370;" filled="f" stroked="t" coordsize="21600,21600" o:gfxdata="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FHYiq5AAAA2wAA&#10;AA8AAAAAAAAAAQAgAAAAIgAAAGRycy9kb3ducmV2LnhtbFBLAQIUABQAAAAIAIdO4kAzLwWeOwAA&#10;ADkAAAAQAAAAAAAAAAEAIAAAAAgBAABkcnMvc2hhcGV4bWwueG1sUEsFBgAAAAAGAAYAWwEAALID&#10;AAAAAA==&#10;">
                        <v:fill on="f" focussize="0,0"/>
                        <v:stroke weight="2pt" color="#000000" joinstyle="round" endarrow="block"/>
                        <v:imagedata o:title=""/>
                        <o:lock v:ext="edit" aspectratio="f"/>
                      </v:shape>
                      <v:rect id="_x0000_s1026" o:spid="_x0000_s1026" o:spt="1" style="position:absolute;left:655955;top:2386330;height:301625;width:817880;" fillcolor="#FFFFFF" filled="t" stroked="t" coordsize="21600,21600" o:gfxdata="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Amkq8AAAA&#10;2w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494C65F3">
                              <w:pPr>
                                <w:rPr>
                                  <w:rFonts w:hint="default" w:eastAsia="宋体"/>
                                  <w:lang w:val="en-US" w:eastAsia="zh-CN"/>
                                </w:rPr>
                              </w:pPr>
                              <w:r>
                                <w:rPr>
                                  <w:rFonts w:hint="eastAsia"/>
                                  <w:lang w:val="en-US" w:eastAsia="zh-CN"/>
                                </w:rPr>
                                <w:t>大曲粉碎</w:t>
                              </w:r>
                            </w:p>
                          </w:txbxContent>
                        </v:textbox>
                      </v:rect>
                      <v:shape id="_x0000_s1026" o:spid="_x0000_s1026" o:spt="32" type="#_x0000_t32" style="position:absolute;left:1044575;top:1963419;flip:y;height:433070;width:7620;" filled="f" stroked="t" coordsize="21600,21600" o:gfxdata="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aoy8AAAA&#10;2wAAAA8AAAAAAAAAAQAgAAAAIgAAAGRycy9kb3ducmV2LnhtbFBLAQIUABQAAAAIAIdO4kAzLwWe&#10;OwAAADkAAAAQAAAAAAAAAAEAIAAAAAsBAABkcnMvc2hhcGV4bWwueG1sUEsFBgAAAAAGAAYAWwEA&#10;ALUDAAAAAA==&#10;">
                        <v:fill on="f" focussize="0,0"/>
                        <v:stroke weight="2pt" color="#000000" joinstyle="round" endarrow="block"/>
                        <v:imagedata o:title=""/>
                        <o:lock v:ext="edit" aspectratio="f"/>
                      </v:shape>
                      <v:rect id="_x0000_s1026" o:spid="_x0000_s1026" o:spt="1" style="position:absolute;left:608330;top:1718945;height:301625;width:817880;" filled="f" stroked="f" coordsize="21600,21600" o:gfxdata="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lNur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0F2C99B">
                              <w:pPr>
                                <w:rPr>
                                  <w:rFonts w:hint="default" w:eastAsia="宋体"/>
                                  <w:lang w:val="en-US" w:eastAsia="zh-CN"/>
                                </w:rPr>
                              </w:pPr>
                              <w:r>
                                <w:rPr>
                                  <w:rFonts w:hint="eastAsia"/>
                                  <w:lang w:val="en-US" w:eastAsia="zh-CN"/>
                                </w:rPr>
                                <w:t>粉尘、噪声</w:t>
                              </w:r>
                            </w:p>
                          </w:txbxContent>
                        </v:textbox>
                      </v:rect>
                      <v:shape id="_x0000_s1026" o:spid="_x0000_s1026" o:spt="32" type="#_x0000_t32" style="position:absolute;left:2322830;top:2703830;flip:x;height:277495;width:3810;" filled="f" stroked="t" coordsize="21600,21600" o:gfxdata="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4isN74A&#10;AADbAAAADwAAAAAAAAABACAAAAAiAAAAZHJzL2Rvd25yZXYueG1sUEsBAhQAFAAAAAgAh07iQDMv&#10;BZ47AAAAOQAAABAAAAAAAAAAAQAgAAAADQEAAGRycy9zaGFwZXhtbC54bWxQSwUGAAAAAAYABgBb&#10;AQAAtwMAAAAA&#10;">
                        <v:fill on="f" focussize="0,0"/>
                        <v:stroke weight="2pt" color="#000000" joinstyle="round" endarrow="block"/>
                        <v:imagedata o:title=""/>
                        <o:lock v:ext="edit" aspectratio="f"/>
                      </v:shape>
                      <v:rect id="_x0000_s1026" o:spid="_x0000_s1026" o:spt="1" style="position:absolute;left:1901825;top:2981960;height:301625;width:817880;" fillcolor="#FFFFFF" filled="t" stroked="t" coordsize="21600,21600" o:gfxdata="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BGcdugAAANs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3F1708EA">
                              <w:pPr>
                                <w:rPr>
                                  <w:rFonts w:hint="default"/>
                                  <w:lang w:val="en-US" w:eastAsia="zh-CN"/>
                                </w:rPr>
                              </w:pPr>
                              <w:r>
                                <w:rPr>
                                  <w:rFonts w:hint="eastAsia" w:ascii="Times New Roman" w:hAnsi="Times New Roman" w:eastAsia="宋体" w:cs="Times New Roman"/>
                                  <w:b w:val="0"/>
                                  <w:bCs w:val="0"/>
                                  <w:color w:val="000000"/>
                                  <w:sz w:val="21"/>
                                  <w:szCs w:val="21"/>
                                  <w:lang w:eastAsia="zh-CN"/>
                                </w:rPr>
                                <w:t>恒温发酵</w:t>
                              </w:r>
                            </w:p>
                          </w:txbxContent>
                        </v:textbox>
                      </v:rect>
                      <v:shape id="_x0000_s1026" o:spid="_x0000_s1026" o:spt="32" type="#_x0000_t32" style="position:absolute;left:2315210;top:3291205;flip:x;height:277495;width:3810;" filled="f" stroked="t" coordsize="21600,21600" o:gfxdata="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aX274A&#10;AADbAAAADwAAAAAAAAABACAAAAAiAAAAZHJzL2Rvd25yZXYueG1sUEsBAhQAFAAAAAgAh07iQDMv&#10;BZ47AAAAOQAAABAAAAAAAAAAAQAgAAAADQEAAGRycy9zaGFwZXhtbC54bWxQSwUGAAAAAAYABgBb&#10;AQAAtwMAAAAA&#10;">
                        <v:fill on="f" focussize="0,0"/>
                        <v:stroke weight="2pt" color="#000000" joinstyle="round" endarrow="block"/>
                        <v:imagedata o:title=""/>
                        <o:lock v:ext="edit" aspectratio="f"/>
                      </v:shape>
                      <v:rect id="_x0000_s1026" o:spid="_x0000_s1026" o:spt="1" style="position:absolute;left:1894205;top:3576955;height:301625;width:817880;" fillcolor="#FFFFFF" filled="t" stroked="t" coordsize="21600,21600" o:gfxdata="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oVryvQAA&#10;ANs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6F7184A1">
                              <w:pPr>
                                <w:jc w:val="center"/>
                                <w:rPr>
                                  <w:rFonts w:hint="default"/>
                                  <w:lang w:val="en-US" w:eastAsia="zh-CN"/>
                                </w:rPr>
                              </w:pPr>
                              <w:r>
                                <w:rPr>
                                  <w:rFonts w:hint="eastAsia" w:ascii="Times New Roman" w:hAnsi="Times New Roman" w:eastAsia="宋体" w:cs="Times New Roman"/>
                                  <w:b w:val="0"/>
                                  <w:bCs w:val="0"/>
                                  <w:color w:val="000000"/>
                                  <w:sz w:val="21"/>
                                  <w:szCs w:val="21"/>
                                  <w:lang w:eastAsia="zh-CN"/>
                                </w:rPr>
                                <w:t>蒸馏出酒</w:t>
                              </w:r>
                            </w:p>
                          </w:txbxContent>
                        </v:textbox>
                      </v:rect>
                      <v:shape id="_x0000_s1026" o:spid="_x0000_s1026" o:spt="32" type="#_x0000_t32" style="position:absolute;left:2727325;top:3156585;flip:y;height:2540;width:463550;" filled="f" stroked="t" coordsize="21600,21600" o:gfxdata="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OqNL4A&#10;AADbAAAADwAAAAAAAAABACAAAAAiAAAAZHJzL2Rvd25yZXYueG1sUEsBAhQAFAAAAAgAh07iQDMv&#10;BZ47AAAAOQAAABAAAAAAAAAAAQAgAAAADQEAAGRycy9zaGFwZXhtbC54bWxQSwUGAAAAAAYABgBb&#10;AQAAtwMAAAAA&#10;">
                        <v:fill on="f" focussize="0,0"/>
                        <v:stroke weight="2pt" color="#000000" joinstyle="round" endarrow="block"/>
                        <v:imagedata o:title=""/>
                        <o:lock v:ext="edit" aspectratio="f"/>
                      </v:shape>
                      <v:rect id="_x0000_s1026" o:spid="_x0000_s1026" o:spt="1" style="position:absolute;left:3171825;top:2997835;height:301625;width:817880;" fillcolor="#FFFFFF" filled="t" stroked="f" coordsize="21600,21600" o:gfxdata="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Ej97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738CCDEB">
                              <w:pPr>
                                <w:rPr>
                                  <w:rFonts w:hint="default" w:eastAsia="宋体"/>
                                  <w:lang w:val="en-US" w:eastAsia="zh-CN"/>
                                </w:rPr>
                              </w:pPr>
                              <w:r>
                                <w:rPr>
                                  <w:rFonts w:hint="eastAsia"/>
                                  <w:lang w:val="en-US" w:eastAsia="zh-CN"/>
                                </w:rPr>
                                <w:t>废水、固废</w:t>
                              </w:r>
                            </w:p>
                          </w:txbxContent>
                        </v:textbox>
                      </v:rect>
                      <v:shape id="_x0000_s1026" o:spid="_x0000_s1026" o:spt="32" type="#_x0000_t32" style="position:absolute;left:2314575;top:3886835;flip:x;height:277495;width:3810;" filled="f" stroked="t" coordsize="21600,21600" o:gfxdata="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2R2L4A&#10;AADbAAAADwAAAAAAAAABACAAAAAiAAAAZHJzL2Rvd25yZXYueG1sUEsBAhQAFAAAAAgAh07iQDMv&#10;BZ47AAAAOQAAABAAAAAAAAAAAQAgAAAADQEAAGRycy9zaGFwZXhtbC54bWxQSwUGAAAAAAYABgBb&#10;AQAAtwMAAAAA&#10;">
                        <v:fill on="f" focussize="0,0"/>
                        <v:stroke weight="2pt" color="#000000" joinstyle="round" endarrow="block"/>
                        <v:imagedata o:title=""/>
                        <o:lock v:ext="edit" aspectratio="f"/>
                      </v:shape>
                      <v:shape id="_x0000_s1026" o:spid="_x0000_s1026" o:spt="32" type="#_x0000_t32" style="position:absolute;left:2727325;top:3735705;flip:y;height:2540;width:463550;" filled="f" stroked="t" coordsize="21600,21600" o:gfxdata="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rIFqrsAAADb&#10;AAAADwAAAAAAAAABACAAAAAiAAAAZHJzL2Rvd25yZXYueG1sUEsBAhQAFAAAAAgAh07iQDMvBZ47&#10;AAAAOQAAABAAAAAAAAAAAQAgAAAACgEAAGRycy9zaGFwZXhtbC54bWxQSwUGAAAAAAYABgBbAQAA&#10;tAMAAAAA&#10;">
                        <v:fill on="f" focussize="0,0"/>
                        <v:stroke weight="2pt" color="#000000" joinstyle="round" endarrow="block"/>
                        <v:imagedata o:title=""/>
                        <o:lock v:ext="edit" aspectratio="f"/>
                      </v:shape>
                      <v:rect id="_x0000_s1026" o:spid="_x0000_s1026" o:spt="1" style="position:absolute;left:3172460;top:3568700;height:301625;width:1261745;" fillcolor="#FFFFFF" filled="t" stroked="f" coordsize="21600,21600" o:gfxdata="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jasJ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1C266EAD">
                              <w:pPr>
                                <w:rPr>
                                  <w:rFonts w:hint="default" w:eastAsia="宋体"/>
                                  <w:lang w:val="en-US" w:eastAsia="zh-CN"/>
                                </w:rPr>
                              </w:pPr>
                              <w:r>
                                <w:rPr>
                                  <w:rFonts w:hint="eastAsia"/>
                                  <w:lang w:val="en-US" w:eastAsia="zh-CN"/>
                                </w:rPr>
                                <w:t>废水、固废、噪声</w:t>
                              </w:r>
                            </w:p>
                          </w:txbxContent>
                        </v:textbox>
                      </v:rect>
                      <v:rect id="_x0000_s1026" o:spid="_x0000_s1026" o:spt="1" style="position:absolute;left:1894205;top:4164330;height:301625;width:817880;" fillcolor="#FFFFFF" filled="t" stroked="t" coordsize="21600,21600" o:gfxdata="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0PKLLUAAADb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14:paraId="2E126D63">
                              <w:pPr>
                                <w:jc w:val="center"/>
                                <w:rPr>
                                  <w:rFonts w:hint="default"/>
                                  <w:lang w:val="en-US" w:eastAsia="zh-CN"/>
                                </w:rPr>
                              </w:pPr>
                              <w:r>
                                <w:rPr>
                                  <w:rFonts w:hint="eastAsia" w:ascii="Times New Roman" w:hAnsi="Times New Roman" w:eastAsia="宋体" w:cs="Times New Roman"/>
                                  <w:b w:val="0"/>
                                  <w:bCs w:val="0"/>
                                  <w:color w:val="000000"/>
                                  <w:sz w:val="21"/>
                                  <w:szCs w:val="21"/>
                                  <w:lang w:eastAsia="zh-CN"/>
                                </w:rPr>
                                <w:t>原酒储存</w:t>
                              </w:r>
                            </w:p>
                          </w:txbxContent>
                        </v:textbox>
                      </v:rect>
                      <v:shape id="_x0000_s1026" o:spid="_x0000_s1026" o:spt="32" type="#_x0000_t32" style="position:absolute;left:2314575;top:4481830;flip:x;height:277495;width:3810;" filled="f" stroked="t" coordsize="21600,21600" o:gfxdata="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E66r4A&#10;AADbAAAADwAAAAAAAAABACAAAAAiAAAAZHJzL2Rvd25yZXYueG1sUEsBAhQAFAAAAAgAh07iQDMv&#10;BZ47AAAAOQAAABAAAAAAAAAAAQAgAAAADQEAAGRycy9zaGFwZXhtbC54bWxQSwUGAAAAAAYABgBb&#10;AQAAtwMAAAAA&#10;">
                        <v:fill on="f" focussize="0,0"/>
                        <v:stroke weight="2pt" color="#000000" joinstyle="round" endarrow="block"/>
                        <v:imagedata o:title=""/>
                        <o:lock v:ext="edit" aspectratio="f"/>
                      </v:shape>
                      <v:rect id="_x0000_s1026" o:spid="_x0000_s1026" o:spt="1" style="position:absolute;left:1886585;top:4767580;height:301625;width:817880;" fillcolor="#FFFFFF" filled="t" stroked="t" coordsize="21600,21600" o:gfxdata="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N3xwLsAAADb&#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171EECF1">
                              <w:pPr>
                                <w:rPr>
                                  <w:rFonts w:hint="default"/>
                                  <w:lang w:val="en-US" w:eastAsia="zh-CN"/>
                                </w:rPr>
                              </w:pPr>
                              <w:r>
                                <w:rPr>
                                  <w:rFonts w:hint="eastAsia" w:ascii="Times New Roman" w:hAnsi="Times New Roman" w:eastAsia="宋体" w:cs="Times New Roman"/>
                                  <w:b w:val="0"/>
                                  <w:bCs w:val="0"/>
                                  <w:color w:val="000000"/>
                                  <w:sz w:val="21"/>
                                  <w:szCs w:val="21"/>
                                  <w:lang w:eastAsia="zh-CN"/>
                                </w:rPr>
                                <w:t>勾兑</w:t>
                              </w:r>
                              <w:r>
                                <w:rPr>
                                  <w:rFonts w:hint="eastAsia" w:cs="Times New Roman"/>
                                  <w:b w:val="0"/>
                                  <w:bCs w:val="0"/>
                                  <w:color w:val="000000"/>
                                  <w:sz w:val="21"/>
                                  <w:szCs w:val="21"/>
                                  <w:lang w:eastAsia="zh-CN"/>
                                </w:rPr>
                                <w:t>、</w:t>
                              </w:r>
                              <w:r>
                                <w:rPr>
                                  <w:rFonts w:hint="eastAsia" w:cs="Times New Roman"/>
                                  <w:b w:val="0"/>
                                  <w:bCs w:val="0"/>
                                  <w:color w:val="000000"/>
                                  <w:sz w:val="21"/>
                                  <w:szCs w:val="21"/>
                                  <w:lang w:val="en-US" w:eastAsia="zh-CN"/>
                                </w:rPr>
                                <w:t>检验</w:t>
                              </w:r>
                            </w:p>
                          </w:txbxContent>
                        </v:textbox>
                      </v:rect>
                      <v:shape id="_x0000_s1026" o:spid="_x0000_s1026" o:spt="32" type="#_x0000_t32" style="position:absolute;left:2712084;top:4926330;flip:y;height:2540;width:463550;" filled="f" stroked="t" coordsize="21600,21600" o:gfxdata="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8BBr4A&#10;AADbAAAADwAAAAAAAAABACAAAAAiAAAAZHJzL2Rvd25yZXYueG1sUEsBAhQAFAAAAAgAh07iQDMv&#10;BZ47AAAAOQAAABAAAAAAAAAAAQAgAAAADQEAAGRycy9zaGFwZXhtbC54bWxQSwUGAAAAAAYABgBb&#10;AQAAtwMAAAAA&#10;">
                        <v:fill on="f" focussize="0,0"/>
                        <v:stroke weight="2pt" color="#000000" joinstyle="round" endarrow="block"/>
                        <v:imagedata o:title=""/>
                        <o:lock v:ext="edit" aspectratio="f"/>
                      </v:shape>
                      <v:rect id="_x0000_s1026" o:spid="_x0000_s1026" o:spt="1" style="position:absolute;left:3172460;top:4759960;height:301625;width:1261745;" fillcolor="#FFFFFF" filled="t" stroked="f" coordsize="21600,21600" o:gfxdata="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lWSSrsAAADb&#10;AAAADwAAAAAAAAABACAAAAAiAAAAZHJzL2Rvd25yZXYueG1sUEsBAhQAFAAAAAgAh07iQDMvBZ47&#10;AAAAOQAAABAAAAAAAAAAAQAgAAAACgEAAGRycy9zaGFwZXhtbC54bWxQSwUGAAAAAAYABgBbAQAA&#10;tAMAAAAA&#10;">
                        <v:fill on="t" focussize="0,0"/>
                        <v:stroke on="f"/>
                        <v:imagedata o:title=""/>
                        <o:lock v:ext="edit" aspectratio="f"/>
                        <v:textbox>
                          <w:txbxContent>
                            <w:p w14:paraId="74CE1747">
                              <w:pPr>
                                <w:rPr>
                                  <w:rFonts w:hint="default" w:eastAsia="宋体"/>
                                  <w:lang w:val="en-US" w:eastAsia="zh-CN"/>
                                </w:rPr>
                              </w:pPr>
                              <w:r>
                                <w:rPr>
                                  <w:rFonts w:hint="eastAsia"/>
                                  <w:lang w:val="en-US" w:eastAsia="zh-CN"/>
                                </w:rPr>
                                <w:t>废气、废水、固废</w:t>
                              </w:r>
                            </w:p>
                          </w:txbxContent>
                        </v:textbox>
                      </v:rect>
                      <v:shape id="_x0000_s1026" o:spid="_x0000_s1026" o:spt="32" type="#_x0000_t32" style="position:absolute;left:2330450;top:5076825;flip:x;height:277495;width:3810;" filled="f" stroked="t" coordsize="21600,21600" o:gfxdata="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o86b4A&#10;AADbAAAADwAAAAAAAAABACAAAAAiAAAAZHJzL2Rvd25yZXYueG1sUEsBAhQAFAAAAAgAh07iQDMv&#10;BZ47AAAAOQAAABAAAAAAAAAAAQAgAAAADQEAAGRycy9zaGFwZXhtbC54bWxQSwUGAAAAAAYABgBb&#10;AQAAtwMAAAAA&#10;">
                        <v:fill on="f" focussize="0,0"/>
                        <v:stroke weight="2pt" color="#000000" joinstyle="round" endarrow="block"/>
                        <v:imagedata o:title=""/>
                        <o:lock v:ext="edit" aspectratio="f"/>
                      </v:shape>
                      <v:rect id="_x0000_s1026" o:spid="_x0000_s1026" o:spt="1" style="position:absolute;left:1886585;top:5362575;height:301625;width:817880;" fillcolor="#FFFFFF" filled="t" stroked="t" coordsize="21600,21600" o:gfxdata="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vfDugAAANsA&#10;AAAPAAAAAAAAAAEAIAAAACIAAABkcnMvZG93bnJldi54bWxQSwECFAAUAAAACACHTuJAMy8FnjsA&#10;AAA5AAAAEAAAAAAAAAABACAAAAAJAQAAZHJzL3NoYXBleG1sLnhtbFBLBQYAAAAABgAGAFsBAACz&#10;AwAAAAA=&#10;">
                        <v:fill on="t" focussize="0,0"/>
                        <v:stroke weight="0.5pt" color="#000000" joinstyle="round"/>
                        <v:imagedata o:title=""/>
                        <o:lock v:ext="edit" aspectratio="f"/>
                        <v:textbox>
                          <w:txbxContent>
                            <w:p w14:paraId="41A20D86">
                              <w:pPr>
                                <w:jc w:val="center"/>
                                <w:rPr>
                                  <w:rFonts w:hint="default"/>
                                  <w:lang w:val="en-US" w:eastAsia="zh-CN"/>
                                </w:rPr>
                              </w:pPr>
                              <w:r>
                                <w:rPr>
                                  <w:rFonts w:hint="eastAsia" w:ascii="Times New Roman" w:hAnsi="Times New Roman" w:eastAsia="宋体" w:cs="Times New Roman"/>
                                  <w:b w:val="0"/>
                                  <w:bCs w:val="0"/>
                                  <w:color w:val="000000"/>
                                  <w:sz w:val="21"/>
                                  <w:szCs w:val="21"/>
                                  <w:lang w:val="en-US" w:eastAsia="zh-CN"/>
                                </w:rPr>
                                <w:t>洗瓶</w:t>
                              </w:r>
                            </w:p>
                          </w:txbxContent>
                        </v:textbox>
                      </v:rect>
                      <v:shape id="_x0000_s1026" o:spid="_x0000_s1026" o:spt="32" type="#_x0000_t32" style="position:absolute;left:2703830;top:5529580;flip:y;height:2540;width:463550;" filled="f" stroked="t" coordsize="21600,21600" o:gfxdata="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QHBb4A&#10;AADbAAAADwAAAAAAAAABACAAAAAiAAAAZHJzL2Rvd25yZXYueG1sUEsBAhQAFAAAAAgAh07iQDMv&#10;BZ47AAAAOQAAABAAAAAAAAAAAQAgAAAADQEAAGRycy9zaGFwZXhtbC54bWxQSwUGAAAAAAYABgBb&#10;AQAAtwMAAAAA&#10;">
                        <v:fill on="f" focussize="0,0"/>
                        <v:stroke weight="2pt" color="#000000" joinstyle="round" endarrow="block"/>
                        <v:imagedata o:title=""/>
                        <o:lock v:ext="edit" aspectratio="f"/>
                      </v:shape>
                      <v:rect id="_x0000_s1026" o:spid="_x0000_s1026" o:spt="1" style="position:absolute;left:3164840;top:5379085;height:301625;width:1261745;" fillcolor="#FFFFFF" filled="t" stroked="f" coordsize="21600,21600" o:gfxdata="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GJhPugAAANsA&#10;AAAPAAAAAAAAAAEAIAAAACIAAABkcnMvZG93bnJldi54bWxQSwECFAAUAAAACACHTuJAMy8FnjsA&#10;AAA5AAAAEAAAAAAAAAABACAAAAAJAQAAZHJzL3NoYXBleG1sLnhtbFBLBQYAAAAABgAGAFsBAACz&#10;AwAAAAA=&#10;">
                        <v:fill on="t" focussize="0,0"/>
                        <v:stroke on="f"/>
                        <v:imagedata o:title=""/>
                        <o:lock v:ext="edit" aspectratio="f"/>
                        <v:textbox>
                          <w:txbxContent>
                            <w:p w14:paraId="5D8B6B13">
                              <w:pPr>
                                <w:rPr>
                                  <w:rFonts w:hint="default" w:eastAsia="宋体"/>
                                  <w:lang w:val="en-US" w:eastAsia="zh-CN"/>
                                </w:rPr>
                              </w:pPr>
                              <w:r>
                                <w:rPr>
                                  <w:rFonts w:hint="eastAsia"/>
                                  <w:lang w:val="en-US" w:eastAsia="zh-CN"/>
                                </w:rPr>
                                <w:t>废水、噪声</w:t>
                              </w:r>
                            </w:p>
                          </w:txbxContent>
                        </v:textbox>
                      </v:rect>
                      <v:shape id="_x0000_s1026" o:spid="_x0000_s1026" o:spt="32" type="#_x0000_t32" style="position:absolute;left:2322830;top:5680075;flip:x;height:277495;width:3810;" filled="f" stroked="t" coordsize="21600,21600" o:gfxdata="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c27L4A&#10;AADbAAAADwAAAAAAAAABACAAAAAiAAAAZHJzL2Rvd25yZXYueG1sUEsBAhQAFAAAAAgAh07iQDMv&#10;BZ47AAAAOQAAABAAAAAAAAAAAQAgAAAADQEAAGRycy9zaGFwZXhtbC54bWxQSwUGAAAAAAYABgBb&#10;AQAAtwMAAAAA&#10;">
                        <v:fill on="f" focussize="0,0"/>
                        <v:stroke weight="2pt" color="#000000" joinstyle="round" endarrow="block"/>
                        <v:imagedata o:title=""/>
                        <o:lock v:ext="edit" aspectratio="f"/>
                      </v:shape>
                      <v:rect id="_x0000_s1026" o:spid="_x0000_s1026" o:spt="1" style="position:absolute;left:1870075;top:5949950;height:301625;width:817880;" fillcolor="#FFFFFF" filled="t" stroked="t" coordsize="21600,21600" o:gfxdata="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dFuVG5AAAA2w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4D60E974">
                              <w:pPr>
                                <w:jc w:val="center"/>
                                <w:rPr>
                                  <w:rFonts w:hint="default"/>
                                  <w:lang w:val="en-US" w:eastAsia="zh-CN"/>
                                </w:rPr>
                              </w:pPr>
                              <w:r>
                                <w:rPr>
                                  <w:rFonts w:hint="eastAsia" w:ascii="Times New Roman" w:hAnsi="Times New Roman" w:eastAsia="宋体" w:cs="Times New Roman"/>
                                  <w:b w:val="0"/>
                                  <w:bCs w:val="0"/>
                                  <w:color w:val="000000"/>
                                  <w:sz w:val="21"/>
                                  <w:szCs w:val="21"/>
                                  <w:lang w:val="en-US" w:eastAsia="zh-CN"/>
                                </w:rPr>
                                <w:t>灌装</w:t>
                              </w:r>
                            </w:p>
                          </w:txbxContent>
                        </v:textbox>
                      </v:rect>
                      <v:shape id="_x0000_s1026" o:spid="_x0000_s1026" o:spt="32" type="#_x0000_t32" style="position:absolute;left:2703830;top:6116955;flip:y;height:2540;width:463550;" filled="f" stroked="t" coordsize="21600,21600" o:gfxdata="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dJl74A&#10;AADbAAAADwAAAAAAAAABACAAAAAiAAAAZHJzL2Rvd25yZXYueG1sUEsBAhQAFAAAAAgAh07iQDMv&#10;BZ47AAAAOQAAABAAAAAAAAAAAQAgAAAADQEAAGRycy9zaGFwZXhtbC54bWxQSwUGAAAAAAYABgBb&#10;AQAAtwMAAAAA&#10;">
                        <v:fill on="f" focussize="0,0"/>
                        <v:stroke weight="2pt" color="#000000" joinstyle="round" endarrow="block"/>
                        <v:imagedata o:title=""/>
                        <o:lock v:ext="edit" aspectratio="f"/>
                      </v:shape>
                      <v:rect id="_x0000_s1026" o:spid="_x0000_s1026" o:spt="1" style="position:absolute;left:3148330;top:5949950;height:301625;width:1261745;" fillcolor="#FFFFFF" filled="t" stroked="f" coordsize="21600,21600" o:gfxdata="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23Ni8AAAA&#10;2w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5C3556FF">
                              <w:pPr>
                                <w:rPr>
                                  <w:rFonts w:hint="default" w:eastAsia="宋体"/>
                                  <w:lang w:val="en-US" w:eastAsia="zh-CN"/>
                                </w:rPr>
                              </w:pPr>
                              <w:r>
                                <w:rPr>
                                  <w:rFonts w:hint="eastAsia"/>
                                  <w:lang w:val="en-US" w:eastAsia="zh-CN"/>
                                </w:rPr>
                                <w:t>噪声</w:t>
                              </w:r>
                            </w:p>
                          </w:txbxContent>
                        </v:textbox>
                      </v:rect>
                      <v:shape id="_x0000_s1026" o:spid="_x0000_s1026" o:spt="32" type="#_x0000_t32" style="position:absolute;left:2306955;top:6260465;flip:x;height:277495;width:3810;" filled="f" stroked="t" coordsize="21600,21600" o:gfxdata="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lye74A&#10;AADbAAAADwAAAAAAAAABACAAAAAiAAAAZHJzL2Rvd25yZXYueG1sUEsBAhQAFAAAAAgAh07iQDMv&#10;BZ47AAAAOQAAABAAAAAAAAAAAQAgAAAADQEAAGRycy9zaGFwZXhtbC54bWxQSwUGAAAAAAYABgBb&#10;AQAAtwMAAAAA&#10;">
                        <v:fill on="f" focussize="0,0"/>
                        <v:stroke weight="2pt" color="#000000" joinstyle="round" endarrow="block"/>
                        <v:imagedata o:title=""/>
                        <o:lock v:ext="edit" aspectratio="f"/>
                      </v:shape>
                      <v:rect id="_x0000_s1026" o:spid="_x0000_s1026" o:spt="1" style="position:absolute;left:1886585;top:6521450;height:301625;width:817880;" fillcolor="#FFFFFF" filled="t" stroked="t" coordsize="21600,21600" o:gfxdata="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fr9SvQAA&#10;ANs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7EC7E31E">
                              <w:pPr>
                                <w:jc w:val="center"/>
                                <w:rPr>
                                  <w:rFonts w:hint="default"/>
                                  <w:lang w:val="en-US" w:eastAsia="zh-CN"/>
                                </w:rPr>
                              </w:pPr>
                              <w:r>
                                <w:rPr>
                                  <w:rFonts w:hint="eastAsia"/>
                                  <w:lang w:val="en-US" w:eastAsia="zh-CN"/>
                                </w:rPr>
                                <w:t>贴标、喷码</w:t>
                              </w:r>
                            </w:p>
                          </w:txbxContent>
                        </v:textbox>
                      </v:rect>
                      <v:shape id="_x0000_s1026" o:spid="_x0000_s1026" o:spt="32" type="#_x0000_t32" style="position:absolute;left:2291080;top:6838950;flip:x;height:277495;width:3810;" filled="f" stroked="t" coordsize="21600,21600" o:gfxdata="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xPlL4A&#10;AADbAAAADwAAAAAAAAABACAAAAAiAAAAZHJzL2Rvd25yZXYueG1sUEsBAhQAFAAAAAgAh07iQDMv&#10;BZ47AAAAOQAAABAAAAAAAAAAAQAgAAAADQEAAGRycy9zaGFwZXhtbC54bWxQSwUGAAAAAAYABgBb&#10;AQAAtwMAAAAA&#10;">
                        <v:fill on="f" focussize="0,0"/>
                        <v:stroke weight="2pt" color="#000000" joinstyle="round" endarrow="block"/>
                        <v:imagedata o:title=""/>
                        <o:lock v:ext="edit" aspectratio="f"/>
                      </v:shape>
                      <v:rect id="_x0000_s1026" o:spid="_x0000_s1026" o:spt="1" style="position:absolute;left:1878330;top:7093585;height:301625;width:817880;" fillcolor="#FFFFFF" filled="t" stroked="t" coordsize="21600,21600" o:gfxdata="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4IS+vQAA&#10;ANs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08809627">
                              <w:pPr>
                                <w:jc w:val="center"/>
                                <w:rPr>
                                  <w:rFonts w:hint="default"/>
                                  <w:lang w:val="en-US" w:eastAsia="zh-CN"/>
                                </w:rPr>
                              </w:pPr>
                              <w:r>
                                <w:rPr>
                                  <w:rFonts w:hint="eastAsia"/>
                                  <w:lang w:val="en-US" w:eastAsia="zh-CN"/>
                                </w:rPr>
                                <w:t>包装入库</w:t>
                              </w:r>
                            </w:p>
                          </w:txbxContent>
                        </v:textbox>
                      </v:rect>
                      <v:shape id="_x0000_s1026" o:spid="_x0000_s1026" o:spt="32" type="#_x0000_t32" style="position:absolute;left:2711450;top:7244080;flip:y;height:2540;width:463550;" filled="f" stroked="t" coordsize="21600,21600" o:gfxdata="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vJ0eL4A&#10;AADbAAAADwAAAAAAAAABACAAAAAiAAAAZHJzL2Rvd25yZXYueG1sUEsBAhQAFAAAAAgAh07iQDMv&#10;BZ47AAAAOQAAABAAAAAAAAAAAQAgAAAADQEAAGRycy9zaGFwZXhtbC54bWxQSwUGAAAAAAYABgBb&#10;AQAAtwMAAAAA&#10;">
                        <v:fill on="f" focussize="0,0"/>
                        <v:stroke weight="2pt" color="#000000" joinstyle="round" endarrow="block"/>
                        <v:imagedata o:title=""/>
                        <o:lock v:ext="edit" aspectratio="f"/>
                      </v:shape>
                      <v:rect id="_x0000_s1026" o:spid="_x0000_s1026" o:spt="1" style="position:absolute;left:3172460;top:7108825;height:301625;width:1261745;" fillcolor="#FFFFFF" filled="t" stroked="f" coordsize="21600,21600" o:gfxdata="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HusyugAAANsA&#10;AAAPAAAAAAAAAAEAIAAAACIAAABkcnMvZG93bnJldi54bWxQSwECFAAUAAAACACHTuJAMy8FnjsA&#10;AAA5AAAAEAAAAAAAAAABACAAAAAJAQAAZHJzL3NoYXBleG1sLnhtbFBLBQYAAAAABgAGAFsBAACz&#10;AwAAAAA=&#10;">
                        <v:fill on="t" focussize="0,0"/>
                        <v:stroke on="f"/>
                        <v:imagedata o:title=""/>
                        <o:lock v:ext="edit" aspectratio="f"/>
                        <v:textbox>
                          <w:txbxContent>
                            <w:p w14:paraId="28A0F996">
                              <w:pPr>
                                <w:rPr>
                                  <w:rFonts w:hint="default" w:eastAsia="宋体"/>
                                  <w:lang w:val="en-US" w:eastAsia="zh-CN"/>
                                </w:rPr>
                              </w:pPr>
                              <w:r>
                                <w:rPr>
                                  <w:rFonts w:hint="eastAsia"/>
                                  <w:lang w:val="en-US" w:eastAsia="zh-CN"/>
                                </w:rPr>
                                <w:t>固废</w:t>
                              </w:r>
                            </w:p>
                          </w:txbxContent>
                        </v:textbox>
                      </v:rect>
                      <v:shape id="_x0000_s1026" o:spid="_x0000_s1026" o:spt="32" type="#_x0000_t32" style="position:absolute;left:1266190;top:1393825;flip:y;height:2540;width:675640;" filled="f" stroked="t" coordsize="21600,21600" o:gfxdata="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Fkb4A&#10;AADbAAAADwAAAAAAAAABACAAAAAiAAAAZHJzL2Rvd25yZXYueG1sUEsBAhQAFAAAAAgAh07iQDMv&#10;BZ47AAAAOQAAABAAAAAAAAAAAQAgAAAADQEAAGRycy9zaGFwZXhtbC54bWxQSwUGAAAAAAYABgBb&#10;AQAAtwMAAAAA&#10;">
                        <v:fill on="f" focussize="0,0"/>
                        <v:stroke weight="2pt" color="#000000" joinstyle="round" endarrow="block"/>
                        <v:imagedata o:title=""/>
                        <o:lock v:ext="edit" aspectratio="f"/>
                      </v:shape>
                      <v:shape id="_x0000_s1026" o:spid="_x0000_s1026" o:spt="32" type="#_x0000_t32" style="position:absolute;left:1309370;top:3132455;height:0;width:624840;" filled="f" stroked="t" coordsize="21600,21600" o:gfxdata="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jEQ565AAAA2wAA&#10;AA8AAAAAAAAAAQAgAAAAIgAAAGRycy9kb3ducmV2LnhtbFBLAQIUABQAAAAIAIdO4kAzLwWeOwAA&#10;ADkAAAAQAAAAAAAAAAEAIAAAAAgBAABkcnMvc2hhcGV4bWwueG1sUEsFBgAAAAAGAAYAWwEAALID&#10;AAAAAA==&#10;">
                        <v:fill on="f" focussize="0,0"/>
                        <v:stroke weight="2pt" color="#000000" joinstyle="round" endarrow="block"/>
                        <v:imagedata o:title=""/>
                        <o:lock v:ext="edit" aspectratio="f"/>
                      </v:shape>
                      <v:rect id="_x0000_s1026" o:spid="_x0000_s1026" o:spt="1" style="position:absolute;left:692150;top:1239520;height:301625;width:610235;" filled="f" stroked="f" coordsize="21600,21600" o:gfxdata="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Gbh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CC08841">
                              <w:pPr>
                                <w:rPr>
                                  <w:rFonts w:hint="default" w:eastAsia="宋体"/>
                                  <w:lang w:val="en-US" w:eastAsia="zh-CN"/>
                                </w:rPr>
                              </w:pPr>
                              <w:r>
                                <w:rPr>
                                  <w:rFonts w:hint="eastAsia"/>
                                  <w:lang w:val="en-US" w:eastAsia="zh-CN"/>
                                </w:rPr>
                                <w:t>水蒸气</w:t>
                              </w:r>
                            </w:p>
                          </w:txbxContent>
                        </v:textbox>
                      </v:rect>
                      <v:rect id="_x0000_s1026" o:spid="_x0000_s1026" o:spt="1" style="position:absolute;left:756920;top:2984500;height:301625;width:615315;" filled="f" stroked="f" coordsize="21600,21600" o:gfxdata="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yyY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1362055">
                              <w:pPr>
                                <w:rPr>
                                  <w:rFonts w:hint="default" w:eastAsia="宋体"/>
                                  <w:lang w:val="en-US" w:eastAsia="zh-CN"/>
                                </w:rPr>
                              </w:pPr>
                              <w:r>
                                <w:rPr>
                                  <w:rFonts w:hint="eastAsia"/>
                                  <w:lang w:val="en-US" w:eastAsia="zh-CN"/>
                                </w:rPr>
                                <w:t>水蒸气</w:t>
                              </w:r>
                            </w:p>
                          </w:txbxContent>
                        </v:textbox>
                      </v:rect>
                      <v:shape id="_x0000_s1026" o:spid="_x0000_s1026" o:spt="32" type="#_x0000_t32" style="position:absolute;left:1456690;top:4916170;height:3810;width:450850;" filled="f" stroked="t" coordsize="21600,21600" o:gfxdata="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W3em8AAAA&#10;2wAAAA8AAAAAAAAAAQAgAAAAIgAAAGRycy9kb3ducmV2LnhtbFBLAQIUABQAAAAIAIdO4kAzLwWe&#10;OwAAADkAAAAQAAAAAAAAAAEAIAAAAAsBAABkcnMvc2hhcGV4bWwueG1sUEsFBgAAAAAGAAYAWwEA&#10;ALUDAAAAAA==&#10;">
                        <v:fill on="f" focussize="0,0"/>
                        <v:stroke weight="2pt" color="#000000" joinstyle="round" endarrow="block"/>
                        <v:imagedata o:title=""/>
                        <o:lock v:ext="edit" aspectratio="f"/>
                      </v:shape>
                      <v:shape id="_x0000_s1026" o:spid="_x0000_s1026" o:spt="32" type="#_x0000_t32" style="position:absolute;left:1481455;top:5514340;height:7620;width:420370;" filled="f" stroked="t" coordsize="21600,21600" o:gfxdata="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RZ28AAAA&#10;2wAAAA8AAAAAAAAAAQAgAAAAIgAAAGRycy9kb3ducmV2LnhtbFBLAQIUABQAAAAIAIdO4kAzLwWe&#10;OwAAADkAAAAQAAAAAAAAAAEAIAAAAAsBAABkcnMvc2hhcGV4bWwueG1sUEsFBgAAAAAGAAYAWwEA&#10;ALUDAAAAAA==&#10;">
                        <v:fill on="f" focussize="0,0"/>
                        <v:stroke weight="2pt" color="#000000" joinstyle="round" endarrow="block"/>
                        <v:imagedata o:title=""/>
                        <o:lock v:ext="edit" aspectratio="f"/>
                      </v:shape>
                      <v:shape id="_x0000_s1026" o:spid="_x0000_s1026" o:spt="32" type="#_x0000_t32" style="position:absolute;left:1477645;top:6092190;flip:y;height:3810;width:424180;" filled="f" stroked="t" coordsize="21600,21600" o:gfxdata="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ZSb4A&#10;AADbAAAADwAAAAAAAAABACAAAAAiAAAAZHJzL2Rvd25yZXYueG1sUEsBAhQAFAAAAAgAh07iQDMv&#10;BZ47AAAAOQAAABAAAAAAAAAAAQAgAAAADQEAAGRycy9zaGFwZXhtbC54bWxQSwUGAAAAAAYABgBb&#10;AQAAtwMAAAAA&#10;">
                        <v:fill on="f" focussize="0,0"/>
                        <v:stroke weight="2pt" color="#000000" joinstyle="round" endarrow="block"/>
                        <v:imagedata o:title=""/>
                        <o:lock v:ext="edit" aspectratio="f"/>
                      </v:shape>
                      <v:shape id="_x0000_s1026" o:spid="_x0000_s1026" o:spt="32" type="#_x0000_t32" style="position:absolute;left:1472565;top:4932045;height:1170305;width:15875;" filled="f" stroked="t" coordsize="21600,21600" o:gfxdata="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8RwabgAAADbAAAA&#10;DwAAAAAAAAABACAAAAAiAAAAZHJzL2Rvd25yZXYueG1sUEsBAhQAFAAAAAgAh07iQDMvBZ47AAAA&#10;OQAAABAAAAAAAAAAAQAgAAAABwEAAGRycy9zaGFwZXhtbC54bWxQSwUGAAAAAAYABgBbAQAAsQMA&#10;AAAA&#10;">
                        <v:fill on="f" focussize="0,0"/>
                        <v:stroke weight="2pt" color="#000000" joinstyle="round"/>
                        <v:imagedata o:title=""/>
                        <o:lock v:ext="edit" aspectratio="f"/>
                      </v:shape>
                      <v:shape id="_x0000_s1026" o:spid="_x0000_s1026" o:spt="32" type="#_x0000_t32" style="position:absolute;left:1123950;top:5521325;height:7620;width:420370;" filled="f" stroked="t" coordsize="21600,21600" o:gfxdata="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t2+q8AAAA&#10;2wAAAA8AAAAAAAAAAQAgAAAAIgAAAGRycy9kb3ducmV2LnhtbFBLAQIUABQAAAAIAIdO4kAzLwWe&#10;OwAAADkAAAAQAAAAAAAAAAEAIAAAAAsBAABkcnMvc2hhcGV4bWwueG1sUEsFBgAAAAAGAAYAWwEA&#10;ALUDAAAAAA==&#10;">
                        <v:fill on="f" focussize="0,0"/>
                        <v:stroke weight="2pt" color="#000000" joinstyle="round" endarrow="block"/>
                        <v:imagedata o:title=""/>
                        <o:lock v:ext="edit" aspectratio="f"/>
                      </v:shape>
                      <v:rect id="_x0000_s1026" o:spid="_x0000_s1026" o:spt="1" style="position:absolute;left:338454;top:5370830;height:301625;width:817880;" fillcolor="#FFFFFF" filled="t" stroked="t" coordsize="21600,21600" o:gfxdata="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zqI4q5AAAA2w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w:txbxContent>
                            <w:p w14:paraId="35F235A2">
                              <w:pPr>
                                <w:jc w:val="center"/>
                                <w:rPr>
                                  <w:rFonts w:hint="default" w:eastAsia="宋体"/>
                                  <w:lang w:val="en-US" w:eastAsia="zh-CN"/>
                                </w:rPr>
                              </w:pPr>
                              <w:r>
                                <w:rPr>
                                  <w:rFonts w:hint="eastAsia"/>
                                  <w:lang w:val="en-US" w:eastAsia="zh-CN"/>
                                </w:rPr>
                                <w:t>纯水制备</w:t>
                              </w:r>
                            </w:p>
                          </w:txbxContent>
                        </v:textbox>
                      </v:rect>
                      <v:rect id="_x0000_s1026" o:spid="_x0000_s1026" o:spt="1" style="position:absolute;left:1108075;top:5283200;height:301625;width:817880;" filled="f" stroked="f" coordsize="21600,21600" o:gfxdata="UEsDBAoAAAAAAIdO4kAAAAAAAAAAAAAAAAAEAAAAZHJzL1BLAwQUAAAACACHTuJAF2+0Tb4AAADb&#10;AAAADwAAAGRycy9kb3ducmV2LnhtbEWPQWvCQBSE7wX/w/KEXopuIrT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0T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4B61EF5">
                              <w:pPr>
                                <w:rPr>
                                  <w:rFonts w:hint="default" w:eastAsia="宋体"/>
                                  <w:lang w:val="en-US" w:eastAsia="zh-CN"/>
                                </w:rPr>
                              </w:pPr>
                              <w:r>
                                <w:rPr>
                                  <w:rFonts w:hint="eastAsia"/>
                                  <w:lang w:val="en-US" w:eastAsia="zh-CN"/>
                                </w:rPr>
                                <w:t>纯水</w:t>
                              </w:r>
                            </w:p>
                          </w:txbxContent>
                        </v:textbox>
                      </v:rect>
                      <v:shape id="_x0000_s1026" o:spid="_x0000_s1026" o:spt="32" type="#_x0000_t32" style="position:absolute;left:774700;top:5073015;flip:y;height:306070;width:7620;" filled="f" stroked="t" coordsize="21600,21600" o:gfxdata="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q6wbLsAAADb&#10;AAAADwAAAAAAAAABACAAAAAiAAAAZHJzL2Rvd25yZXYueG1sUEsBAhQAFAAAAAgAh07iQDMvBZ47&#10;AAAAOQAAABAAAAAAAAAAAQAgAAAACgEAAGRycy9zaGFwZXhtbC54bWxQSwUGAAAAAAYABgBbAQAA&#10;tAMAAAAA&#10;">
                        <v:fill on="f" focussize="0,0"/>
                        <v:stroke weight="2pt" color="#000000" joinstyle="round" endarrow="block"/>
                        <v:imagedata o:title=""/>
                        <o:lock v:ext="edit" aspectratio="f"/>
                      </v:shape>
                      <v:rect id="_x0000_s1026" o:spid="_x0000_s1026" o:spt="1" style="position:absolute;left:409575;top:4799330;height:301625;width:817880;" filled="f" stroked="f" coordsize="21600,21600" o:gfxdata="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3Vy9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CE7BA5B">
                              <w:pPr>
                                <w:rPr>
                                  <w:rFonts w:hint="default" w:eastAsia="宋体"/>
                                  <w:lang w:val="en-US" w:eastAsia="zh-CN"/>
                                </w:rPr>
                              </w:pPr>
                              <w:r>
                                <w:rPr>
                                  <w:rFonts w:hint="eastAsia"/>
                                  <w:lang w:val="en-US" w:eastAsia="zh-CN"/>
                                </w:rPr>
                                <w:t>废水、固废</w:t>
                              </w:r>
                            </w:p>
                          </w:txbxContent>
                        </v:textbox>
                      </v:rect>
                      <w10:wrap type="none"/>
                      <w10:anchorlock/>
                    </v:group>
                  </w:pict>
                </mc:Fallback>
              </mc:AlternateContent>
            </w:r>
          </w:p>
          <w:p w14:paraId="67C6720F">
            <w:pPr>
              <w:widowControl/>
              <w:shd w:val="clear" w:color="auto" w:fill="auto"/>
              <w:adjustRightInd w:val="0"/>
              <w:snapToGrid w:val="0"/>
              <w:spacing w:line="360" w:lineRule="auto"/>
              <w:ind w:firstLine="422" w:firstLineChars="200"/>
              <w:jc w:val="center"/>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图2-3</w:t>
            </w:r>
            <w:r>
              <w:rPr>
                <w:rFonts w:hint="eastAsia"/>
                <w:lang w:val="en-US" w:eastAsia="zh-CN"/>
              </w:rPr>
              <w:t xml:space="preserve">  </w:t>
            </w:r>
            <w:r>
              <w:rPr>
                <w:rFonts w:hint="eastAsia" w:ascii="Times New Roman" w:hAnsi="Times New Roman" w:eastAsia="宋体" w:cs="Times New Roman"/>
                <w:b/>
                <w:bCs/>
                <w:color w:val="000000"/>
                <w:highlight w:val="none"/>
                <w:lang w:val="en-US" w:eastAsia="zh-CN"/>
              </w:rPr>
              <w:t>制酒生产工艺流程及产污环节图</w:t>
            </w:r>
          </w:p>
          <w:p w14:paraId="67EFF908">
            <w:pPr>
              <w:keepNext/>
              <w:keepLines/>
              <w:widowControl/>
              <w:shd w:val="clear" w:color="auto" w:fill="auto"/>
              <w:adjustRightInd w:val="0"/>
              <w:snapToGrid w:val="0"/>
              <w:spacing w:line="360" w:lineRule="auto"/>
              <w:ind w:firstLine="632" w:firstLineChars="300"/>
              <w:jc w:val="left"/>
              <w:outlineLvl w:val="0"/>
              <w:rPr>
                <w:rFonts w:hint="default" w:ascii="Times New Roman" w:hAnsi="Times New Roman" w:eastAsia="宋体" w:cs="Times New Roman"/>
                <w:b/>
                <w:bCs/>
                <w:color w:val="000000"/>
                <w:sz w:val="21"/>
                <w:szCs w:val="21"/>
                <w:highlight w:val="none"/>
                <w:lang w:val="en-US" w:eastAsia="zh-CN"/>
              </w:rPr>
            </w:pPr>
            <w:r>
              <w:rPr>
                <w:rFonts w:hint="eastAsia" w:cs="Times New Roman"/>
                <w:b/>
                <w:bCs/>
                <w:color w:val="000000"/>
                <w:sz w:val="21"/>
                <w:szCs w:val="21"/>
                <w:highlight w:val="none"/>
                <w:lang w:val="en-US" w:eastAsia="zh-CN"/>
              </w:rPr>
              <w:t>3.</w:t>
            </w:r>
            <w:r>
              <w:rPr>
                <w:rFonts w:hint="eastAsia" w:ascii="Times New Roman" w:hAnsi="Times New Roman" w:eastAsia="宋体" w:cs="Times New Roman"/>
                <w:b/>
                <w:bCs/>
                <w:color w:val="000000"/>
                <w:sz w:val="21"/>
                <w:szCs w:val="21"/>
                <w:highlight w:val="none"/>
                <w:lang w:val="en-US" w:eastAsia="zh-CN"/>
              </w:rPr>
              <w:t>软水制备工艺流程及产污环节</w:t>
            </w:r>
          </w:p>
          <w:p w14:paraId="78081724">
            <w:pPr>
              <w:keepNext/>
              <w:keepLines/>
              <w:widowControl/>
              <w:shd w:val="clear" w:color="auto" w:fill="auto"/>
              <w:adjustRightInd w:val="0"/>
              <w:snapToGrid w:val="0"/>
              <w:spacing w:line="360" w:lineRule="auto"/>
              <w:jc w:val="center"/>
              <w:outlineLvl w:val="0"/>
              <w:rPr>
                <w:rFonts w:hint="eastAsia" w:ascii="Times New Roman" w:hAnsi="Times New Roman" w:cs="Times New Roman"/>
                <w:color w:val="000000"/>
                <w:highlight w:val="none"/>
                <w:lang w:val="en-US" w:eastAsia="zh-CN"/>
              </w:rPr>
            </w:pPr>
          </w:p>
          <w:p w14:paraId="09BB0AE3">
            <w:pPr>
              <w:keepNext/>
              <w:keepLines/>
              <w:widowControl/>
              <w:shd w:val="clear" w:color="auto" w:fill="auto"/>
              <w:adjustRightInd w:val="0"/>
              <w:snapToGrid w:val="0"/>
              <w:spacing w:line="360" w:lineRule="auto"/>
              <w:ind w:firstLine="420" w:firstLineChars="200"/>
              <w:jc w:val="left"/>
              <w:outlineLvl w:val="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自来水中含有少量的钙、镁离子容易在锅炉内壁结垢，对锅炉产生一定的影响。锅炉用水进入锅炉前需进行软化处理，降低水的硬度，软水制备系统是采用离子交换原理，去除水中钙</w:t>
            </w:r>
            <w:r>
              <w:rPr>
                <w:rFonts w:hint="eastAsia"/>
                <w:lang w:eastAsia="zh-CN"/>
              </w:rPr>
              <w:t>、</w:t>
            </w:r>
            <w:r>
              <w:rPr>
                <w:rFonts w:hint="default" w:ascii="Times New Roman" w:hAnsi="Times New Roman" w:eastAsia="宋体" w:cs="Times New Roman"/>
                <w:color w:val="000000"/>
                <w:highlight w:val="none"/>
                <w:lang w:val="en-US" w:eastAsia="zh-CN"/>
              </w:rPr>
              <w:t>镁等结垢离子，通常由控制器、树脂罐、盐罐组成的一体化设备。系统采用虹吸原理吸盐，自动注水化盐、配比浓度无需盐泵、溶盐等附属设备，主要技术原理如下：</w:t>
            </w:r>
          </w:p>
          <w:p w14:paraId="0E4D655F">
            <w:pPr>
              <w:keepNext/>
              <w:keepLines/>
              <w:widowControl/>
              <w:shd w:val="clear" w:color="auto" w:fill="auto"/>
              <w:adjustRightInd w:val="0"/>
              <w:snapToGrid w:val="0"/>
              <w:spacing w:line="360" w:lineRule="auto"/>
              <w:ind w:firstLine="420" w:firstLineChars="200"/>
              <w:jc w:val="left"/>
              <w:outlineLvl w:val="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软水（交换）采用离子交换的原理除去水中的硬度，在交换塔内当离子交换树脂与原水相遇时，水中的钙（Ca）、镁（Mg）等离子与树脂（NaR）进行反应，从而去除水中的钙、镁盐类，使硬水成为软水，其反应方程为：</w:t>
            </w:r>
          </w:p>
          <w:p w14:paraId="4A119235">
            <w:pPr>
              <w:keepNext/>
              <w:keepLines/>
              <w:widowControl/>
              <w:shd w:val="clear" w:color="auto" w:fill="auto"/>
              <w:adjustRightInd w:val="0"/>
              <w:snapToGrid w:val="0"/>
              <w:spacing w:line="360" w:lineRule="auto"/>
              <w:ind w:firstLine="630" w:firstLineChars="300"/>
              <w:jc w:val="left"/>
              <w:outlineLvl w:val="0"/>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rPr>
              <w:t>CaR</w:t>
            </w:r>
            <w:r>
              <w:rPr>
                <w:rFonts w:hint="default" w:ascii="Times New Roman" w:hAnsi="Times New Roman" w:cs="Times New Roman"/>
                <w:color w:val="000000"/>
                <w:sz w:val="21"/>
                <w:highlight w:val="none"/>
                <w:vertAlign w:val="subscript"/>
              </w:rPr>
              <w:t>2</w:t>
            </w:r>
            <w:r>
              <w:rPr>
                <w:rFonts w:hint="default" w:ascii="Times New Roman" w:hAnsi="Times New Roman" w:cs="Times New Roman"/>
                <w:color w:val="000000"/>
                <w:sz w:val="21"/>
                <w:highlight w:val="none"/>
                <w:vertAlign w:val="superscript"/>
              </w:rPr>
              <w:t>+</w:t>
            </w:r>
            <w:r>
              <w:rPr>
                <w:rFonts w:hint="default" w:ascii="Times New Roman" w:hAnsi="Times New Roman" w:cs="Times New Roman"/>
                <w:color w:val="000000"/>
                <w:highlight w:val="none"/>
              </w:rPr>
              <w:t>+2NaR→CaR</w:t>
            </w:r>
            <w:r>
              <w:rPr>
                <w:rFonts w:hint="default" w:ascii="Times New Roman" w:hAnsi="Times New Roman" w:cs="Times New Roman"/>
                <w:color w:val="000000"/>
                <w:sz w:val="21"/>
                <w:highlight w:val="none"/>
                <w:vertAlign w:val="subscript"/>
              </w:rPr>
              <w:t>2</w:t>
            </w:r>
            <w:r>
              <w:rPr>
                <w:rFonts w:hint="default" w:ascii="Times New Roman" w:hAnsi="Times New Roman" w:cs="Times New Roman"/>
                <w:color w:val="000000"/>
                <w:highlight w:val="none"/>
              </w:rPr>
              <w:t>+2Na</w:t>
            </w:r>
            <w:r>
              <w:rPr>
                <w:rFonts w:hint="default" w:ascii="Times New Roman" w:hAnsi="Times New Roman" w:cs="Times New Roman"/>
                <w:color w:val="000000"/>
                <w:sz w:val="21"/>
                <w:highlight w:val="none"/>
                <w:vertAlign w:val="superscript"/>
              </w:rPr>
              <w:t>+</w:t>
            </w:r>
            <w:r>
              <w:rPr>
                <w:rFonts w:hint="default" w:ascii="Times New Roman" w:hAnsi="Times New Roman" w:cs="Times New Roman"/>
                <w:color w:val="000000"/>
                <w:highlight w:val="none"/>
              </w:rPr>
              <w:t xml:space="preserve">        MgR</w:t>
            </w:r>
            <w:r>
              <w:rPr>
                <w:rFonts w:hint="default" w:ascii="Times New Roman" w:hAnsi="Times New Roman" w:cs="Times New Roman"/>
                <w:color w:val="000000"/>
                <w:sz w:val="21"/>
                <w:highlight w:val="none"/>
                <w:vertAlign w:val="subscript"/>
              </w:rPr>
              <w:t>2</w:t>
            </w:r>
            <w:r>
              <w:rPr>
                <w:rFonts w:hint="default" w:ascii="Times New Roman" w:hAnsi="Times New Roman" w:cs="Times New Roman"/>
                <w:color w:val="000000"/>
                <w:sz w:val="21"/>
                <w:highlight w:val="none"/>
                <w:vertAlign w:val="superscript"/>
              </w:rPr>
              <w:t>+</w:t>
            </w:r>
            <w:r>
              <w:rPr>
                <w:rFonts w:hint="default" w:ascii="Times New Roman" w:hAnsi="Times New Roman" w:cs="Times New Roman"/>
                <w:color w:val="000000"/>
                <w:highlight w:val="none"/>
              </w:rPr>
              <w:t>+2NaR→MgR</w:t>
            </w:r>
            <w:r>
              <w:rPr>
                <w:rFonts w:hint="default" w:ascii="Times New Roman" w:hAnsi="Times New Roman" w:cs="Times New Roman"/>
                <w:color w:val="000000"/>
                <w:sz w:val="21"/>
                <w:highlight w:val="none"/>
                <w:vertAlign w:val="subscript"/>
              </w:rPr>
              <w:t>2</w:t>
            </w:r>
            <w:r>
              <w:rPr>
                <w:rFonts w:hint="default" w:ascii="Times New Roman" w:hAnsi="Times New Roman" w:cs="Times New Roman"/>
                <w:color w:val="000000"/>
                <w:highlight w:val="none"/>
              </w:rPr>
              <w:t>+2Na</w:t>
            </w:r>
            <w:r>
              <w:rPr>
                <w:rFonts w:hint="default" w:ascii="Times New Roman" w:hAnsi="Times New Roman" w:cs="Times New Roman"/>
                <w:color w:val="000000"/>
                <w:sz w:val="21"/>
                <w:highlight w:val="none"/>
                <w:vertAlign w:val="superscript"/>
              </w:rPr>
              <w:t>+</w:t>
            </w:r>
            <w:r>
              <w:rPr>
                <w:rFonts w:hint="default" w:ascii="Times New Roman" w:hAnsi="Times New Roman" w:cs="Times New Roman"/>
                <w:color w:val="000000"/>
                <w:highlight w:val="none"/>
              </w:rPr>
              <w:t>（-R为树脂团）</w:t>
            </w:r>
          </w:p>
          <w:p w14:paraId="5C3F2666">
            <w:pPr>
              <w:keepNext/>
              <w:keepLines/>
              <w:widowControl/>
              <w:shd w:val="clear" w:color="auto" w:fill="auto"/>
              <w:adjustRightInd w:val="0"/>
              <w:snapToGrid w:val="0"/>
              <w:spacing w:line="360" w:lineRule="auto"/>
              <w:ind w:firstLine="420" w:firstLineChars="200"/>
              <w:jc w:val="left"/>
              <w:outlineLvl w:val="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与原水交换后的树脂成为饱和树脂，饱和树脂由位差压力送入再生塔，在再生塔内与盐水置换反应，还原成新生树脂恢复焦化能力，经清洗塔清洗后由喷射器将树脂送回交换塔。其反应方程为：</w:t>
            </w:r>
          </w:p>
          <w:p w14:paraId="7B3B64D6">
            <w:pPr>
              <w:keepNext/>
              <w:keepLines/>
              <w:widowControl/>
              <w:shd w:val="clear" w:color="auto" w:fill="auto"/>
              <w:adjustRightInd w:val="0"/>
              <w:snapToGrid w:val="0"/>
              <w:spacing w:line="360" w:lineRule="auto"/>
              <w:ind w:firstLine="420" w:firstLineChars="200"/>
              <w:jc w:val="left"/>
              <w:outlineLvl w:val="0"/>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rPr>
              <w:t>CaR</w:t>
            </w:r>
            <w:r>
              <w:rPr>
                <w:rFonts w:hint="default" w:ascii="Times New Roman" w:hAnsi="Times New Roman" w:cs="Times New Roman"/>
                <w:color w:val="000000"/>
                <w:sz w:val="21"/>
                <w:highlight w:val="none"/>
                <w:vertAlign w:val="subscript"/>
              </w:rPr>
              <w:t>2</w:t>
            </w:r>
            <w:r>
              <w:rPr>
                <w:rFonts w:hint="default" w:ascii="Times New Roman" w:hAnsi="Times New Roman" w:cs="Times New Roman"/>
                <w:color w:val="000000"/>
                <w:highlight w:val="none"/>
              </w:rPr>
              <w:t>+2NaCl→CaCl</w:t>
            </w:r>
            <w:r>
              <w:rPr>
                <w:rFonts w:hint="default" w:ascii="Times New Roman" w:hAnsi="Times New Roman" w:cs="Times New Roman"/>
                <w:color w:val="000000"/>
                <w:sz w:val="21"/>
                <w:highlight w:val="none"/>
                <w:vertAlign w:val="subscript"/>
              </w:rPr>
              <w:t>2</w:t>
            </w:r>
            <w:r>
              <w:rPr>
                <w:rFonts w:hint="default" w:ascii="Times New Roman" w:hAnsi="Times New Roman" w:cs="Times New Roman"/>
                <w:color w:val="000000"/>
                <w:highlight w:val="none"/>
              </w:rPr>
              <w:t>+2NaR        MgR</w:t>
            </w:r>
            <w:r>
              <w:rPr>
                <w:rFonts w:hint="default" w:ascii="Times New Roman" w:hAnsi="Times New Roman" w:cs="Times New Roman"/>
                <w:color w:val="000000"/>
                <w:sz w:val="21"/>
                <w:highlight w:val="none"/>
                <w:vertAlign w:val="subscript"/>
              </w:rPr>
              <w:t>2</w:t>
            </w:r>
            <w:r>
              <w:rPr>
                <w:rFonts w:hint="default" w:ascii="Times New Roman" w:hAnsi="Times New Roman" w:cs="Times New Roman"/>
                <w:color w:val="000000"/>
                <w:highlight w:val="none"/>
              </w:rPr>
              <w:t>+2NaCl→MgCl</w:t>
            </w:r>
            <w:r>
              <w:rPr>
                <w:rFonts w:hint="default" w:ascii="Times New Roman" w:hAnsi="Times New Roman" w:cs="Times New Roman"/>
                <w:color w:val="000000"/>
                <w:sz w:val="21"/>
                <w:highlight w:val="none"/>
                <w:vertAlign w:val="subscript"/>
              </w:rPr>
              <w:t>2</w:t>
            </w:r>
            <w:r>
              <w:rPr>
                <w:rFonts w:hint="default" w:ascii="Times New Roman" w:hAnsi="Times New Roman" w:cs="Times New Roman"/>
                <w:color w:val="000000"/>
                <w:highlight w:val="none"/>
              </w:rPr>
              <w:t>+2NaR</w:t>
            </w:r>
          </w:p>
          <w:p w14:paraId="052B2BB7">
            <w:pPr>
              <w:keepNext/>
              <w:keepLines/>
              <w:widowControl/>
              <w:shd w:val="clear" w:color="auto" w:fill="auto"/>
              <w:adjustRightInd w:val="0"/>
              <w:snapToGrid w:val="0"/>
              <w:spacing w:line="360" w:lineRule="auto"/>
              <w:ind w:firstLine="420" w:firstLineChars="200"/>
              <w:jc w:val="left"/>
              <w:outlineLvl w:val="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此过程会产生软水制备废水和废离子交换树脂。</w:t>
            </w:r>
          </w:p>
          <w:p w14:paraId="3CB13493">
            <w:pPr>
              <w:keepNext/>
              <w:keepLines/>
              <w:widowControl/>
              <w:shd w:val="clear" w:color="auto" w:fill="auto"/>
              <w:adjustRightInd w:val="0"/>
              <w:snapToGrid w:val="0"/>
              <w:spacing w:line="360" w:lineRule="auto"/>
              <w:ind w:firstLine="420" w:firstLineChars="200"/>
              <w:jc w:val="left"/>
              <w:outlineLvl w:val="0"/>
              <w:rPr>
                <w:rFonts w:hint="default"/>
                <w:color w:val="000000"/>
                <w:highlight w:val="none"/>
                <w:lang w:val="en-US" w:eastAsia="zh-CN"/>
              </w:rPr>
            </w:pPr>
            <w:r>
              <w:rPr>
                <w:rFonts w:hint="eastAsia" w:ascii="Times New Roman" w:hAnsi="Times New Roman" w:eastAsia="宋体" w:cs="Times New Roman"/>
                <w:color w:val="000000"/>
                <w:highlight w:val="none"/>
                <w:lang w:val="en-US" w:eastAsia="zh-CN"/>
              </w:rPr>
              <w:t>软水制备工艺流程及产污环节流程图详见图2-5。</w:t>
            </w:r>
          </w:p>
          <w:p w14:paraId="35194108">
            <w:pPr>
              <w:keepNext/>
              <w:keepLines/>
              <w:widowControl/>
              <w:shd w:val="clear" w:color="auto" w:fill="auto"/>
              <w:adjustRightInd w:val="0"/>
              <w:snapToGrid w:val="0"/>
              <w:spacing w:line="360" w:lineRule="auto"/>
              <w:jc w:val="center"/>
              <w:outlineLvl w:val="0"/>
              <w:rPr>
                <w:rFonts w:hint="default" w:ascii="Times New Roman" w:hAnsi="Times New Roman" w:eastAsia="宋体" w:cs="Times New Roman"/>
                <w:b/>
                <w:bCs/>
                <w:color w:val="000000"/>
                <w:sz w:val="21"/>
                <w:szCs w:val="21"/>
                <w:highlight w:val="none"/>
                <w:lang w:val="en-US" w:eastAsia="zh-CN"/>
              </w:rPr>
            </w:pPr>
            <w:r>
              <w:fldChar w:fldCharType="begin"/>
            </w:r>
            <w:r>
              <w:rPr>
                <w:rFonts w:ascii="宋体" w:hAnsi="宋体" w:eastAsia="宋体" w:cs="宋体"/>
                <w:color w:val="000000"/>
                <w:sz w:val="24"/>
                <w:szCs w:val="24"/>
                <w:highlight w:val="none"/>
              </w:rPr>
              <w:instrText xml:space="preserve">INCLUDEPICTURE "https://cos3.solepic.com/20211009/b_5621195202110091528159898.png" \* MERGEFORMATINET</w:instrText>
            </w:r>
            <w:r>
              <w:fldChar w:fldCharType="separate"/>
            </w:r>
            <w:r>
              <w:drawing>
                <wp:inline distT="0" distB="0" distL="114300" distR="114300">
                  <wp:extent cx="3536315" cy="1641475"/>
                  <wp:effectExtent l="0" t="0" r="6985" b="15875"/>
                  <wp:docPr id="565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 name="图片 70"/>
                          <pic:cNvPicPr>
                            <a:picLocks noChangeAspect="1"/>
                          </pic:cNvPicPr>
                        </pic:nvPicPr>
                        <pic:blipFill>
                          <a:blip r:embed="rId15" r:link="rId16"/>
                          <a:stretch>
                            <a:fillRect/>
                          </a:stretch>
                        </pic:blipFill>
                        <pic:spPr>
                          <a:xfrm>
                            <a:off x="0" y="0"/>
                            <a:ext cx="3536315" cy="1641475"/>
                          </a:xfrm>
                          <a:prstGeom prst="rect">
                            <a:avLst/>
                          </a:prstGeom>
                          <a:noFill/>
                          <a:ln>
                            <a:noFill/>
                          </a:ln>
                        </pic:spPr>
                      </pic:pic>
                    </a:graphicData>
                  </a:graphic>
                </wp:inline>
              </w:drawing>
            </w:r>
            <w:r>
              <w:fldChar w:fldCharType="end"/>
            </w:r>
          </w:p>
          <w:p w14:paraId="1FC56C6A">
            <w:pPr>
              <w:keepNext/>
              <w:keepLines/>
              <w:widowControl/>
              <w:shd w:val="clear" w:color="auto" w:fill="auto"/>
              <w:adjustRightInd w:val="0"/>
              <w:snapToGrid w:val="0"/>
              <w:spacing w:line="360" w:lineRule="auto"/>
              <w:jc w:val="center"/>
              <w:outlineLvl w:val="0"/>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图2-4 软水制备工艺流程及产污环节图</w:t>
            </w:r>
          </w:p>
          <w:p w14:paraId="31748AF7">
            <w:pPr>
              <w:keepNext/>
              <w:keepLines/>
              <w:widowControl/>
              <w:numPr>
                <w:ilvl w:val="0"/>
                <w:numId w:val="0"/>
              </w:numPr>
              <w:shd w:val="clear" w:color="auto" w:fill="auto"/>
              <w:adjustRightInd w:val="0"/>
              <w:snapToGrid w:val="0"/>
              <w:spacing w:line="360" w:lineRule="auto"/>
              <w:ind w:leftChars="200"/>
              <w:jc w:val="left"/>
              <w:outlineLvl w:val="0"/>
              <w:rPr>
                <w:rFonts w:hint="eastAsia" w:ascii="Times New Roman" w:hAnsi="Times New Roman" w:eastAsia="宋体" w:cs="Times New Roman"/>
                <w:b/>
                <w:bCs/>
                <w:color w:val="000000"/>
                <w:sz w:val="21"/>
                <w:szCs w:val="21"/>
                <w:highlight w:val="none"/>
                <w:lang w:val="en-US" w:eastAsia="zh-CN"/>
              </w:rPr>
            </w:pPr>
            <w:r>
              <w:rPr>
                <w:rFonts w:hint="eastAsia" w:cs="Times New Roman"/>
                <w:b/>
                <w:bCs/>
                <w:color w:val="000000"/>
                <w:sz w:val="21"/>
                <w:szCs w:val="21"/>
                <w:highlight w:val="none"/>
                <w:lang w:val="en-US" w:eastAsia="zh-CN"/>
              </w:rPr>
              <w:t>4</w:t>
            </w:r>
            <w:bookmarkStart w:id="39" w:name="_GoBack"/>
            <w:bookmarkEnd w:id="39"/>
            <w:r>
              <w:rPr>
                <w:rFonts w:hint="eastAsia" w:cs="Times New Roman"/>
                <w:b/>
                <w:bCs/>
                <w:color w:val="000000"/>
                <w:sz w:val="21"/>
                <w:szCs w:val="21"/>
                <w:highlight w:val="none"/>
                <w:lang w:val="en-US" w:eastAsia="zh-CN"/>
              </w:rPr>
              <w:t>.</w:t>
            </w:r>
            <w:r>
              <w:rPr>
                <w:rFonts w:hint="eastAsia" w:ascii="Times New Roman" w:hAnsi="Times New Roman" w:eastAsia="宋体" w:cs="Times New Roman"/>
                <w:b/>
                <w:bCs/>
                <w:color w:val="000000"/>
                <w:sz w:val="21"/>
                <w:szCs w:val="21"/>
                <w:highlight w:val="none"/>
                <w:lang w:val="en-US" w:eastAsia="zh-CN"/>
              </w:rPr>
              <w:t>纯水制备工作流程及产污环节</w:t>
            </w:r>
          </w:p>
          <w:p w14:paraId="6541F9CF">
            <w:pPr>
              <w:keepNext/>
              <w:keepLines/>
              <w:widowControl/>
              <w:shd w:val="clear" w:color="auto" w:fill="auto"/>
              <w:adjustRightInd w:val="0"/>
              <w:snapToGrid w:val="0"/>
              <w:spacing w:line="360" w:lineRule="auto"/>
              <w:ind w:firstLine="630" w:firstLineChars="300"/>
              <w:jc w:val="left"/>
              <w:outlineLvl w:val="0"/>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纯水制备工艺流程通常包括预处理、核心处理以及后处理三个主要阶段：</w:t>
            </w:r>
          </w:p>
          <w:p w14:paraId="00895E1B">
            <w:pPr>
              <w:keepNext/>
              <w:keepLines/>
              <w:widowControl/>
              <w:shd w:val="clear" w:color="auto" w:fill="auto"/>
              <w:adjustRightInd w:val="0"/>
              <w:snapToGrid w:val="0"/>
              <w:spacing w:line="360" w:lineRule="auto"/>
              <w:ind w:firstLine="420" w:firstLineChars="200"/>
              <w:jc w:val="left"/>
              <w:outlineLvl w:val="0"/>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（1）预处理阶段：</w:t>
            </w:r>
          </w:p>
          <w:p w14:paraId="5BFBE170">
            <w:pPr>
              <w:keepNext/>
              <w:keepLines/>
              <w:widowControl/>
              <w:shd w:val="clear" w:color="auto" w:fill="auto"/>
              <w:adjustRightInd w:val="0"/>
              <w:snapToGrid w:val="0"/>
              <w:spacing w:line="360" w:lineRule="auto"/>
              <w:ind w:firstLine="630" w:firstLineChars="300"/>
              <w:jc w:val="left"/>
              <w:outlineLvl w:val="0"/>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①原水储存：将自来水引入原水箱进行储存，以便后续处理。原水箱可以起到缓冲水流、调节水量的作用，确保后续处理过程中水源的稳定供应。</w:t>
            </w:r>
          </w:p>
          <w:p w14:paraId="0344E941">
            <w:pPr>
              <w:keepNext/>
              <w:keepLines/>
              <w:widowControl/>
              <w:shd w:val="clear" w:color="auto" w:fill="auto"/>
              <w:adjustRightInd w:val="0"/>
              <w:snapToGrid w:val="0"/>
              <w:spacing w:line="360" w:lineRule="auto"/>
              <w:ind w:firstLine="630" w:firstLineChars="300"/>
              <w:jc w:val="left"/>
              <w:outlineLvl w:val="0"/>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②多介质过滤：原水经原水泵增压后进入多介质过滤器，过滤器内填充有石英砂、无烟煤、锰砂等多种过滤介质。这些介质可以在一定的压力下，有效地去除水中的悬浮杂质，如泥沙、铁锈、悬浮物等，使水得到初步澄清。</w:t>
            </w:r>
          </w:p>
          <w:p w14:paraId="0720209A">
            <w:pPr>
              <w:keepNext/>
              <w:keepLines/>
              <w:widowControl/>
              <w:shd w:val="clear" w:color="auto" w:fill="auto"/>
              <w:adjustRightInd w:val="0"/>
              <w:snapToGrid w:val="0"/>
              <w:spacing w:line="360" w:lineRule="auto"/>
              <w:ind w:firstLine="630" w:firstLineChars="300"/>
              <w:jc w:val="left"/>
              <w:outlineLvl w:val="0"/>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③活性炭过滤：经过多介质过滤的水进入活性炭过滤器，活性炭利用自身良好的吸附作用，将水中残留的余氯、小分子有机物、异味、色度等吸附截留在滤芯中并随滤芯带走，进一步提高水的纯度，同时也为后续的反渗透处理提供良好的水质条件。</w:t>
            </w:r>
          </w:p>
          <w:p w14:paraId="6D99C9CB">
            <w:pPr>
              <w:keepNext/>
              <w:keepLines/>
              <w:widowControl/>
              <w:shd w:val="clear" w:color="auto" w:fill="auto"/>
              <w:adjustRightInd w:val="0"/>
              <w:snapToGrid w:val="0"/>
              <w:spacing w:line="360" w:lineRule="auto"/>
              <w:ind w:firstLine="630" w:firstLineChars="300"/>
              <w:jc w:val="left"/>
              <w:outlineLvl w:val="0"/>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④软化处理：原水的硬度较高，需要进行软化处理。通常采用钠离子交换树脂等软化剂，将水中的钙、镁等离子置换为钠离子，降低水的硬度，防止后续处理过程中在设备和管道上产生水垢。</w:t>
            </w:r>
          </w:p>
          <w:p w14:paraId="60FE55D7">
            <w:pPr>
              <w:keepNext/>
              <w:keepLines/>
              <w:widowControl/>
              <w:shd w:val="clear" w:color="auto" w:fill="auto"/>
              <w:adjustRightInd w:val="0"/>
              <w:snapToGrid w:val="0"/>
              <w:spacing w:line="360" w:lineRule="auto"/>
              <w:ind w:firstLine="630" w:firstLineChars="300"/>
              <w:jc w:val="left"/>
              <w:outlineLvl w:val="0"/>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⑤加药处理：根据原水的水质情况和处理要求，可能需要添加阻垢剂等药剂。阻垢剂可以防止反渗透膜表面结垢，提高反渗透系统的运行效率和使用寿命。</w:t>
            </w:r>
          </w:p>
          <w:p w14:paraId="28D9C514">
            <w:pPr>
              <w:keepNext/>
              <w:keepLines/>
              <w:widowControl/>
              <w:shd w:val="clear" w:color="auto" w:fill="auto"/>
              <w:adjustRightInd w:val="0"/>
              <w:snapToGrid w:val="0"/>
              <w:spacing w:line="360" w:lineRule="auto"/>
              <w:ind w:firstLine="630" w:firstLineChars="300"/>
              <w:jc w:val="left"/>
              <w:outlineLvl w:val="0"/>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⑥精密过滤：经过上述处理后的水再通过精密过滤器进行进一步过滤，去除水中粒径更小的杂质和颗粒，确保进入核心处理阶段的水的质量。精密过滤器的过滤精度通常在5微米或更小，可以有效保护后续的反渗透膜等关键设备。</w:t>
            </w:r>
          </w:p>
          <w:p w14:paraId="74417756">
            <w:pPr>
              <w:keepNext/>
              <w:keepLines/>
              <w:widowControl/>
              <w:shd w:val="clear" w:color="auto" w:fill="auto"/>
              <w:adjustRightInd w:val="0"/>
              <w:snapToGrid w:val="0"/>
              <w:spacing w:line="360" w:lineRule="auto"/>
              <w:ind w:firstLine="630" w:firstLineChars="300"/>
              <w:jc w:val="left"/>
              <w:outlineLvl w:val="0"/>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（2）核心处理阶段：</w:t>
            </w:r>
          </w:p>
          <w:p w14:paraId="1EF0508F">
            <w:pPr>
              <w:keepNext/>
              <w:keepLines/>
              <w:widowControl/>
              <w:shd w:val="clear" w:color="auto" w:fill="auto"/>
              <w:adjustRightInd w:val="0"/>
              <w:snapToGrid w:val="0"/>
              <w:spacing w:line="360" w:lineRule="auto"/>
              <w:ind w:firstLine="630" w:firstLineChars="300"/>
              <w:jc w:val="left"/>
              <w:outlineLvl w:val="0"/>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①高压泵送：经过预处理的水由高压泵增压，使其具备足够的压力以克服反渗透膜的渗透压。</w:t>
            </w:r>
          </w:p>
          <w:p w14:paraId="14D67881">
            <w:pPr>
              <w:keepNext/>
              <w:keepLines/>
              <w:widowControl/>
              <w:shd w:val="clear" w:color="auto" w:fill="auto"/>
              <w:adjustRightInd w:val="0"/>
              <w:snapToGrid w:val="0"/>
              <w:spacing w:line="360" w:lineRule="auto"/>
              <w:ind w:firstLine="630" w:firstLineChars="300"/>
              <w:jc w:val="left"/>
              <w:outlineLvl w:val="0"/>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②反渗透膜分离：在压力的推动下，水通过反渗透膜，而水中的大部分溶解性固体、有机物、胶体、细菌、病毒等杂质被截留。反渗透膜的孔径非常小，能够有效地去除水中的离子、分子等微小颗粒</w:t>
            </w:r>
            <w:r>
              <w:rPr>
                <w:rFonts w:hint="eastAsia" w:cs="Times New Roman"/>
                <w:color w:val="000000"/>
                <w:highlight w:val="none"/>
                <w:lang w:val="en-US" w:eastAsia="zh-CN"/>
              </w:rPr>
              <w:t>。</w:t>
            </w:r>
            <w:r>
              <w:rPr>
                <w:rFonts w:hint="eastAsia" w:ascii="Times New Roman" w:hAnsi="Times New Roman" w:eastAsia="宋体" w:cs="Times New Roman"/>
                <w:color w:val="000000"/>
                <w:highlight w:val="none"/>
                <w:lang w:val="en-US" w:eastAsia="zh-CN"/>
              </w:rPr>
              <w:t>一级反渗透膜可去除原水中97%以上的溶解性固体、99%以上的有机物及胶体，几乎100%的细菌。</w:t>
            </w:r>
          </w:p>
          <w:p w14:paraId="5B24401B">
            <w:pPr>
              <w:keepNext/>
              <w:keepLines/>
              <w:widowControl/>
              <w:shd w:val="clear" w:color="auto" w:fill="auto"/>
              <w:adjustRightInd w:val="0"/>
              <w:snapToGrid w:val="0"/>
              <w:spacing w:line="360" w:lineRule="auto"/>
              <w:ind w:firstLine="630" w:firstLineChars="300"/>
              <w:jc w:val="left"/>
              <w:outlineLvl w:val="0"/>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③浓水排放和产水收集：被反渗透膜截留的浓水含有较高浓度的杂质，通常会被排放；而透过反渗透膜的产水则被收集到产水箱或直接进入后续的处理单元。</w:t>
            </w:r>
          </w:p>
          <w:p w14:paraId="294AFA15">
            <w:pPr>
              <w:keepNext/>
              <w:keepLines/>
              <w:widowControl/>
              <w:shd w:val="clear" w:color="auto" w:fill="auto"/>
              <w:adjustRightInd w:val="0"/>
              <w:snapToGrid w:val="0"/>
              <w:spacing w:line="360" w:lineRule="auto"/>
              <w:ind w:firstLine="630" w:firstLineChars="300"/>
              <w:jc w:val="left"/>
              <w:outlineLvl w:val="0"/>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（3）后处理阶段：</w:t>
            </w:r>
          </w:p>
          <w:p w14:paraId="47723AA9">
            <w:pPr>
              <w:keepNext/>
              <w:keepLines/>
              <w:widowControl/>
              <w:shd w:val="clear" w:color="auto" w:fill="auto"/>
              <w:adjustRightInd w:val="0"/>
              <w:snapToGrid w:val="0"/>
              <w:spacing w:line="360" w:lineRule="auto"/>
              <w:ind w:firstLine="630" w:firstLineChars="300"/>
              <w:jc w:val="left"/>
              <w:outlineLvl w:val="0"/>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①混床处理：混床是将阴阳离子交换树脂混合在一起的处理单元。经过反渗透或EDI处理后的水进入混床，通过离子交换和树脂的再生，去除水中残留的微量离子，进一步提高水的纯度，使水质达到超纯水的标准。混床处理后的水可以达到18兆欧·厘米以上。</w:t>
            </w:r>
          </w:p>
          <w:p w14:paraId="6328489C">
            <w:pPr>
              <w:keepNext/>
              <w:keepLines/>
              <w:widowControl/>
              <w:shd w:val="clear" w:color="auto" w:fill="auto"/>
              <w:adjustRightInd w:val="0"/>
              <w:snapToGrid w:val="0"/>
              <w:spacing w:line="360" w:lineRule="auto"/>
              <w:ind w:firstLine="630" w:firstLineChars="300"/>
              <w:jc w:val="left"/>
              <w:outlineLvl w:val="0"/>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②终端过滤：采用0.22微米的微孔滤膜过滤器对水进行终端过滤，截留去除脱盐设备出水中可能残留的微粒、细菌等杂质，确保产出的纯水不受二次污染。过滤器经过一段时间的运行后，当进出口压力差增大到某一设定值时，需要更换滤膜。</w:t>
            </w:r>
          </w:p>
          <w:p w14:paraId="2CF16222">
            <w:pPr>
              <w:keepNext/>
              <w:keepLines/>
              <w:widowControl/>
              <w:shd w:val="clear" w:color="auto" w:fill="auto"/>
              <w:adjustRightInd w:val="0"/>
              <w:snapToGrid w:val="0"/>
              <w:spacing w:line="360" w:lineRule="auto"/>
              <w:ind w:firstLine="630" w:firstLineChars="300"/>
              <w:jc w:val="left"/>
              <w:outlineLvl w:val="0"/>
              <w:rPr>
                <w:rFonts w:hint="default"/>
                <w:color w:val="000000"/>
                <w:highlight w:val="none"/>
                <w:lang w:val="en-US" w:eastAsia="zh-CN"/>
              </w:rPr>
            </w:pPr>
            <w:r>
              <w:rPr>
                <w:rFonts w:hint="eastAsia" w:ascii="Times New Roman" w:hAnsi="Times New Roman" w:eastAsia="宋体" w:cs="Times New Roman"/>
                <w:color w:val="000000"/>
                <w:highlight w:val="none"/>
                <w:lang w:val="en-US" w:eastAsia="zh-CN"/>
              </w:rPr>
              <w:t>③紫外线杀菌：利用紫外线照射破坏细菌和病毒的DNA结构，使其失去繁殖能力，从而达到杀菌消毒的效果，确保纯水的微生物指标符合要求。</w:t>
            </w:r>
          </w:p>
          <w:p w14:paraId="05E5BF4A">
            <w:pPr>
              <w:keepNext/>
              <w:keepLines/>
              <w:widowControl/>
              <w:shd w:val="clear" w:color="auto" w:fill="auto"/>
              <w:adjustRightInd w:val="0"/>
              <w:snapToGrid w:val="0"/>
              <w:spacing w:line="360" w:lineRule="auto"/>
              <w:ind w:firstLine="630" w:firstLineChars="300"/>
              <w:jc w:val="left"/>
              <w:outlineLvl w:val="0"/>
              <w:rPr>
                <w:rFonts w:hint="default"/>
                <w:color w:val="000000"/>
                <w:highlight w:val="none"/>
                <w:lang w:val="en-US" w:eastAsia="zh-CN"/>
              </w:rPr>
            </w:pPr>
            <w:r>
              <w:rPr>
                <w:rFonts w:hint="eastAsia" w:ascii="Times New Roman" w:hAnsi="Times New Roman" w:eastAsia="宋体" w:cs="Times New Roman"/>
                <w:color w:val="000000"/>
                <w:highlight w:val="none"/>
                <w:lang w:val="en-US" w:eastAsia="zh-CN"/>
              </w:rPr>
              <w:t>纯水制备工艺流程及产污环节流程图详见图2-6。</w:t>
            </w:r>
          </w:p>
          <w:p w14:paraId="69FF0DC5">
            <w:pPr>
              <w:keepNext/>
              <w:keepLines/>
              <w:widowControl/>
              <w:shd w:val="clear" w:color="auto" w:fill="auto"/>
              <w:adjustRightInd w:val="0"/>
              <w:snapToGrid w:val="0"/>
              <w:spacing w:line="360" w:lineRule="auto"/>
              <w:jc w:val="center"/>
              <w:outlineLvl w:val="0"/>
              <w:rPr>
                <w:rFonts w:hint="default" w:ascii="Times New Roman" w:hAnsi="Times New Roman" w:eastAsia="宋体" w:cs="Times New Roman"/>
                <w:b/>
                <w:bCs/>
                <w:color w:val="000000"/>
                <w:sz w:val="21"/>
                <w:szCs w:val="21"/>
                <w:highlight w:val="none"/>
                <w:lang w:val="en-US" w:eastAsia="zh-CN"/>
              </w:rPr>
            </w:pPr>
            <w:r>
              <w:rPr>
                <w:rFonts w:hint="default" w:ascii="Times New Roman" w:hAnsi="Times New Roman" w:eastAsia="宋体" w:cs="Times New Roman"/>
                <w:b/>
                <w:bCs/>
                <w:color w:val="000000"/>
                <w:sz w:val="21"/>
                <w:szCs w:val="21"/>
                <w:highlight w:val="none"/>
                <w:lang w:val="en-US" w:eastAsia="zh-CN"/>
              </w:rPr>
              <w:drawing>
                <wp:inline distT="0" distB="0" distL="114300" distR="114300">
                  <wp:extent cx="4959985" cy="3482340"/>
                  <wp:effectExtent l="0" t="0" r="12065" b="3810"/>
                  <wp:docPr id="5660" name="图片 138" descr="4_1011_168326_658_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 name="图片 138" descr="4_1011_168326_658_462"/>
                          <pic:cNvPicPr>
                            <a:picLocks noChangeAspect="1"/>
                          </pic:cNvPicPr>
                        </pic:nvPicPr>
                        <pic:blipFill>
                          <a:blip r:embed="rId17"/>
                          <a:stretch>
                            <a:fillRect/>
                          </a:stretch>
                        </pic:blipFill>
                        <pic:spPr>
                          <a:xfrm>
                            <a:off x="0" y="0"/>
                            <a:ext cx="4959985" cy="3482340"/>
                          </a:xfrm>
                          <a:prstGeom prst="rect">
                            <a:avLst/>
                          </a:prstGeom>
                          <a:noFill/>
                          <a:ln>
                            <a:noFill/>
                          </a:ln>
                        </pic:spPr>
                      </pic:pic>
                    </a:graphicData>
                  </a:graphic>
                </wp:inline>
              </w:drawing>
            </w:r>
          </w:p>
          <w:p w14:paraId="220947AD">
            <w:pPr>
              <w:keepNext/>
              <w:keepLines/>
              <w:widowControl/>
              <w:shd w:val="clear" w:color="auto" w:fill="auto"/>
              <w:adjustRightInd w:val="0"/>
              <w:snapToGrid w:val="0"/>
              <w:spacing w:line="360" w:lineRule="auto"/>
              <w:ind w:firstLine="632" w:firstLineChars="300"/>
              <w:jc w:val="center"/>
              <w:outlineLvl w:val="0"/>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图2-5 软水制备工艺流程及产污环节图</w:t>
            </w:r>
          </w:p>
          <w:p w14:paraId="45AC80A6">
            <w:pPr>
              <w:keepNext/>
              <w:keepLines/>
              <w:widowControl/>
              <w:shd w:val="clear" w:color="auto" w:fill="auto"/>
              <w:adjustRightInd w:val="0"/>
              <w:snapToGrid w:val="0"/>
              <w:spacing w:line="360" w:lineRule="auto"/>
              <w:ind w:firstLine="632" w:firstLineChars="300"/>
              <w:jc w:val="left"/>
              <w:outlineLvl w:val="0"/>
              <w:rPr>
                <w:rFonts w:hint="default" w:ascii="Times New Roman" w:hAnsi="Times New Roman" w:eastAsia="宋体" w:cs="Times New Roman"/>
                <w:b/>
                <w:bCs/>
                <w:color w:val="000000"/>
                <w:sz w:val="21"/>
                <w:szCs w:val="21"/>
                <w:highlight w:val="none"/>
                <w:lang w:val="en-US" w:eastAsia="zh-CN"/>
              </w:rPr>
            </w:pPr>
            <w:r>
              <w:rPr>
                <w:rFonts w:hint="eastAsia" w:cs="Times New Roman"/>
                <w:b/>
                <w:bCs/>
                <w:color w:val="000000"/>
                <w:sz w:val="21"/>
                <w:szCs w:val="21"/>
                <w:highlight w:val="none"/>
                <w:lang w:val="en-US" w:eastAsia="zh-CN"/>
              </w:rPr>
              <w:t>5.</w:t>
            </w:r>
            <w:r>
              <w:rPr>
                <w:rFonts w:hint="eastAsia" w:ascii="Times New Roman" w:hAnsi="Times New Roman" w:eastAsia="宋体" w:cs="Times New Roman"/>
                <w:b/>
                <w:bCs/>
                <w:color w:val="000000"/>
                <w:sz w:val="21"/>
                <w:szCs w:val="21"/>
                <w:highlight w:val="none"/>
                <w:lang w:val="en-US" w:eastAsia="zh-CN"/>
              </w:rPr>
              <w:t>污水处理工艺流程及产污环节</w:t>
            </w:r>
          </w:p>
          <w:p w14:paraId="492A850F">
            <w:pPr>
              <w:numPr>
                <w:ilvl w:val="0"/>
                <w:numId w:val="0"/>
              </w:numPr>
              <w:shd w:val="clear" w:color="auto" w:fill="auto"/>
              <w:bidi w:val="0"/>
              <w:spacing w:line="360" w:lineRule="auto"/>
              <w:ind w:firstLine="420" w:firstLineChars="200"/>
              <w:jc w:val="both"/>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本项目污水处理工艺采用厌氧缺氧好氧工艺（A</w:t>
            </w:r>
            <w:r>
              <w:rPr>
                <w:rFonts w:hint="default" w:ascii="Times New Roman" w:hAnsi="Times New Roman" w:eastAsia="宋体" w:cs="Times New Roman"/>
                <w:color w:val="000000"/>
                <w:sz w:val="21"/>
                <w:highlight w:val="none"/>
                <w:vertAlign w:val="superscript"/>
                <w:lang w:val="en-US" w:eastAsia="zh-CN"/>
              </w:rPr>
              <w:t>2</w:t>
            </w:r>
            <w:r>
              <w:rPr>
                <w:rFonts w:hint="default" w:ascii="Times New Roman" w:hAnsi="Times New Roman" w:eastAsia="宋体" w:cs="Times New Roman"/>
                <w:color w:val="000000"/>
                <w:highlight w:val="none"/>
                <w:lang w:val="en-US" w:eastAsia="zh-CN"/>
              </w:rPr>
              <w:t>/O工艺），具体工艺流程如下：</w:t>
            </w:r>
          </w:p>
          <w:p w14:paraId="20069C6A">
            <w:pPr>
              <w:numPr>
                <w:ilvl w:val="0"/>
                <w:numId w:val="0"/>
              </w:numPr>
              <w:shd w:val="clear" w:color="auto" w:fill="auto"/>
              <w:bidi w:val="0"/>
              <w:spacing w:line="360" w:lineRule="auto"/>
              <w:ind w:left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调节：在污水处理中的作用是均质和均量，一般还可考虑兼有沉淀、混合、加</w:t>
            </w:r>
          </w:p>
          <w:p w14:paraId="0591D436">
            <w:pPr>
              <w:numPr>
                <w:ilvl w:val="0"/>
                <w:numId w:val="0"/>
              </w:numPr>
              <w:shd w:val="clear" w:color="auto" w:fill="auto"/>
              <w:bidi w:val="0"/>
              <w:spacing w:line="36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药、中和</w:t>
            </w:r>
            <w:r>
              <w:rPr>
                <w:rFonts w:hint="eastAsia"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预酸化等功能。</w:t>
            </w:r>
          </w:p>
          <w:p w14:paraId="67A2EB3C">
            <w:pPr>
              <w:numPr>
                <w:ilvl w:val="0"/>
                <w:numId w:val="0"/>
              </w:numPr>
              <w:shd w:val="clear" w:color="auto" w:fill="auto"/>
              <w:bidi w:val="0"/>
              <w:spacing w:line="360" w:lineRule="auto"/>
              <w:ind w:left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气浮：通过往水中通入空气，产生微小气泡，使其与水中密度接近于水的悬浮</w:t>
            </w:r>
          </w:p>
          <w:p w14:paraId="0C7CA692">
            <w:pPr>
              <w:numPr>
                <w:ilvl w:val="0"/>
                <w:numId w:val="0"/>
              </w:numPr>
              <w:shd w:val="clear" w:color="auto" w:fill="auto"/>
              <w:bidi w:val="0"/>
              <w:spacing w:line="360" w:lineRule="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杂质黏附，形成密度小于水的气浮体，在浮力的作用下上浮至水面形成浮渣层，从而将杂质从水中分离去除。</w:t>
            </w:r>
          </w:p>
          <w:p w14:paraId="137B372D">
            <w:pPr>
              <w:widowControl/>
              <w:shd w:val="clear" w:color="auto" w:fill="auto"/>
              <w:spacing w:line="360" w:lineRule="auto"/>
              <w:ind w:firstLine="420" w:firstLineChars="200"/>
              <w:jc w:val="both"/>
              <w:rPr>
                <w:rFonts w:hint="default" w:ascii="Times New Roman" w:hAnsi="Times New Roman" w:eastAsia="宋体" w:cs="Times New Roman"/>
                <w:b/>
                <w:color w:val="000000"/>
                <w:sz w:val="21"/>
                <w:szCs w:val="21"/>
                <w:highlight w:val="none"/>
                <w:lang w:val="en-US" w:eastAsia="zh-CN"/>
              </w:rPr>
            </w:pPr>
            <w:r>
              <w:rPr>
                <w:rFonts w:hint="default" w:ascii="Times New Roman" w:hAnsi="Times New Roman" w:eastAsia="宋体" w:cs="Times New Roman"/>
                <w:color w:val="000000"/>
                <w:highlight w:val="none"/>
                <w:lang w:val="en-US" w:eastAsia="zh-CN"/>
              </w:rPr>
              <w:t>厌氧：主要作用</w:t>
            </w:r>
            <w:r>
              <w:rPr>
                <w:rFonts w:hint="default" w:ascii="Times New Roman" w:hAnsi="Times New Roman" w:eastAsia="宋体" w:cs="Times New Roman"/>
                <w:i w:val="0"/>
                <w:iCs w:val="0"/>
                <w:caps w:val="0"/>
                <w:color w:val="000000"/>
                <w:spacing w:val="0"/>
                <w:sz w:val="21"/>
                <w:szCs w:val="21"/>
                <w:highlight w:val="none"/>
                <w:shd w:val="clear" w:color="auto" w:fill="FFFFFF"/>
              </w:rPr>
              <w:t>是利用厌氧菌的作用，使有机物发生水解、酸化和甲烷化，去除废水中的有机物，并提高污水的可生化性，有利于后续的耗氧处理。</w:t>
            </w:r>
          </w:p>
          <w:p w14:paraId="163D72DE">
            <w:pPr>
              <w:widowControl/>
              <w:shd w:val="clear" w:color="auto" w:fill="auto"/>
              <w:spacing w:line="360" w:lineRule="auto"/>
              <w:ind w:firstLine="420" w:firstLineChars="200"/>
              <w:jc w:val="both"/>
              <w:rPr>
                <w:rFonts w:hint="default" w:ascii="Times New Roman" w:hAnsi="Times New Roman" w:eastAsia="宋体" w:cs="Times New Roman"/>
                <w:i w:val="0"/>
                <w:iCs w:val="0"/>
                <w:caps w:val="0"/>
                <w:color w:val="000000"/>
                <w:spacing w:val="0"/>
                <w:sz w:val="21"/>
                <w:szCs w:val="21"/>
                <w:highlight w:val="none"/>
                <w:lang w:val="en-US" w:eastAsia="zh-CN"/>
              </w:rPr>
            </w:pPr>
            <w:r>
              <w:rPr>
                <w:rFonts w:hint="default" w:ascii="Times New Roman" w:hAnsi="Times New Roman" w:eastAsia="宋体" w:cs="Times New Roman"/>
                <w:i w:val="0"/>
                <w:iCs w:val="0"/>
                <w:caps w:val="0"/>
                <w:color w:val="000000"/>
                <w:spacing w:val="0"/>
                <w:sz w:val="21"/>
                <w:szCs w:val="21"/>
                <w:highlight w:val="none"/>
                <w:shd w:val="clear" w:color="auto" w:fill="FFFFFF"/>
                <w:lang w:val="en-US" w:eastAsia="zh-CN"/>
              </w:rPr>
              <w:t>缺氧：它的主要作用是在没有溶解氧的条件下，通过特定的微生物代谢活动，对污水中的有机物进行进一步的分解和转化。</w:t>
            </w:r>
          </w:p>
          <w:p w14:paraId="58EDAC3A">
            <w:pPr>
              <w:widowControl/>
              <w:shd w:val="clear" w:color="auto" w:fill="auto"/>
              <w:spacing w:line="360" w:lineRule="auto"/>
              <w:ind w:firstLine="420" w:firstLineChars="200"/>
              <w:jc w:val="both"/>
              <w:rPr>
                <w:rFonts w:hint="default" w:ascii="Times New Roman" w:hAnsi="Times New Roman" w:eastAsia="宋体" w:cs="Times New Roman"/>
                <w:i w:val="0"/>
                <w:iCs w:val="0"/>
                <w:caps w:val="0"/>
                <w:color w:val="000000"/>
                <w:spacing w:val="0"/>
                <w:sz w:val="21"/>
                <w:szCs w:val="21"/>
                <w:highlight w:val="none"/>
                <w:lang w:val="en-US" w:eastAsia="zh-CN"/>
              </w:rPr>
            </w:pPr>
            <w:r>
              <w:rPr>
                <w:rFonts w:hint="default" w:ascii="Times New Roman" w:hAnsi="Times New Roman" w:eastAsia="宋体" w:cs="Times New Roman"/>
                <w:i w:val="0"/>
                <w:iCs w:val="0"/>
                <w:caps w:val="0"/>
                <w:color w:val="000000"/>
                <w:spacing w:val="0"/>
                <w:sz w:val="21"/>
                <w:szCs w:val="21"/>
                <w:highlight w:val="none"/>
                <w:shd w:val="clear" w:color="auto" w:fill="FFFFFF"/>
                <w:lang w:val="en-US" w:eastAsia="zh-CN"/>
              </w:rPr>
              <w:t>好氧：主要作用是让活性污泥进行有氧呼吸，进一步把有机物分解成无机物</w:t>
            </w:r>
            <w:r>
              <w:rPr>
                <w:rFonts w:hint="eastAsia" w:cs="Times New Roman"/>
                <w:i w:val="0"/>
                <w:iCs w:val="0"/>
                <w:caps w:val="0"/>
                <w:color w:val="000000"/>
                <w:spacing w:val="0"/>
                <w:sz w:val="21"/>
                <w:szCs w:val="21"/>
                <w:highlight w:val="none"/>
                <w:shd w:val="clear" w:color="auto" w:fill="FFFFFF"/>
                <w:lang w:val="en-US" w:eastAsia="zh-CN"/>
              </w:rPr>
              <w:t>，</w:t>
            </w:r>
            <w:r>
              <w:rPr>
                <w:rFonts w:hint="default" w:ascii="Times New Roman" w:hAnsi="Times New Roman" w:eastAsia="宋体" w:cs="Times New Roman"/>
                <w:i w:val="0"/>
                <w:iCs w:val="0"/>
                <w:caps w:val="0"/>
                <w:color w:val="000000"/>
                <w:spacing w:val="0"/>
                <w:sz w:val="21"/>
                <w:szCs w:val="21"/>
                <w:highlight w:val="none"/>
                <w:shd w:val="clear" w:color="auto" w:fill="FFFFFF"/>
                <w:lang w:val="en-US" w:eastAsia="zh-CN"/>
              </w:rPr>
              <w:t>去除污染物的功能。</w:t>
            </w:r>
          </w:p>
          <w:p w14:paraId="44455047">
            <w:pPr>
              <w:widowControl/>
              <w:shd w:val="clear" w:color="auto" w:fill="auto"/>
              <w:spacing w:line="360" w:lineRule="auto"/>
              <w:ind w:firstLine="420" w:firstLineChars="200"/>
              <w:jc w:val="both"/>
              <w:rPr>
                <w:rFonts w:hint="default" w:ascii="Times New Roman" w:hAnsi="Times New Roman" w:eastAsia="宋体" w:cs="Times New Roman"/>
                <w:i w:val="0"/>
                <w:iCs w:val="0"/>
                <w:caps w:val="0"/>
                <w:color w:val="000000"/>
                <w:spacing w:val="0"/>
                <w:sz w:val="21"/>
                <w:szCs w:val="21"/>
                <w:highlight w:val="none"/>
                <w:lang w:val="en-US" w:eastAsia="zh-CN"/>
              </w:rPr>
            </w:pPr>
            <w:r>
              <w:rPr>
                <w:rFonts w:hint="default" w:ascii="Times New Roman" w:hAnsi="Times New Roman" w:eastAsia="宋体" w:cs="Times New Roman"/>
                <w:i w:val="0"/>
                <w:iCs w:val="0"/>
                <w:caps w:val="0"/>
                <w:color w:val="000000"/>
                <w:spacing w:val="0"/>
                <w:sz w:val="21"/>
                <w:szCs w:val="21"/>
                <w:highlight w:val="none"/>
                <w:shd w:val="clear" w:color="auto" w:fill="FFFFFF"/>
                <w:lang w:val="en-US" w:eastAsia="zh-CN"/>
              </w:rPr>
              <w:t>二沉池</w:t>
            </w:r>
            <w:r>
              <w:rPr>
                <w:rFonts w:hint="default" w:ascii="Times New Roman" w:hAnsi="Times New Roman" w:eastAsia="宋体" w:cs="Times New Roman"/>
                <w:color w:val="000000"/>
                <w:highlight w:val="none"/>
                <w:lang w:val="en-US" w:eastAsia="zh-CN"/>
              </w:rPr>
              <w:t>：</w:t>
            </w:r>
            <w:r>
              <w:rPr>
                <w:rFonts w:hint="default" w:ascii="Times New Roman" w:hAnsi="Times New Roman" w:eastAsia="宋体" w:cs="Times New Roman"/>
                <w:i w:val="0"/>
                <w:iCs w:val="0"/>
                <w:caps w:val="0"/>
                <w:color w:val="000000"/>
                <w:spacing w:val="0"/>
                <w:sz w:val="21"/>
                <w:szCs w:val="21"/>
                <w:highlight w:val="none"/>
                <w:shd w:val="clear" w:color="auto" w:fill="FFFFFF"/>
                <w:lang w:val="en-US" w:eastAsia="zh-CN"/>
              </w:rPr>
              <w:t>二沉池的作用主要是泥水分离与污泥浓缩、确保出水水质、提供污泥回流空间、影响污水处理效果。</w:t>
            </w:r>
          </w:p>
          <w:p w14:paraId="36F3AE38">
            <w:pPr>
              <w:widowControl/>
              <w:shd w:val="clear" w:color="auto" w:fill="auto"/>
              <w:spacing w:line="360" w:lineRule="auto"/>
              <w:ind w:firstLine="420" w:firstLineChars="200"/>
              <w:jc w:val="both"/>
              <w:rPr>
                <w:rFonts w:hint="default" w:ascii="Times New Roman" w:hAnsi="Times New Roman" w:eastAsia="宋体" w:cs="Times New Roman"/>
                <w:i w:val="0"/>
                <w:iCs w:val="0"/>
                <w:caps w:val="0"/>
                <w:color w:val="000000"/>
                <w:spacing w:val="0"/>
                <w:sz w:val="21"/>
                <w:szCs w:val="21"/>
                <w:highlight w:val="none"/>
                <w:lang w:val="en-US" w:eastAsia="zh-CN"/>
              </w:rPr>
            </w:pPr>
            <w:r>
              <w:rPr>
                <w:rFonts w:hint="default" w:ascii="Times New Roman" w:hAnsi="Times New Roman" w:eastAsia="宋体" w:cs="Times New Roman"/>
                <w:i w:val="0"/>
                <w:iCs w:val="0"/>
                <w:caps w:val="0"/>
                <w:color w:val="000000"/>
                <w:spacing w:val="0"/>
                <w:sz w:val="21"/>
                <w:szCs w:val="21"/>
                <w:highlight w:val="none"/>
                <w:shd w:val="clear" w:color="auto" w:fill="FFFFFF"/>
                <w:lang w:val="en-US" w:eastAsia="zh-CN"/>
              </w:rPr>
              <w:t>机械过滤</w:t>
            </w:r>
            <w:r>
              <w:rPr>
                <w:rFonts w:hint="default" w:ascii="Times New Roman" w:hAnsi="Times New Roman" w:eastAsia="宋体" w:cs="Times New Roman"/>
                <w:color w:val="000000"/>
                <w:highlight w:val="none"/>
                <w:lang w:val="en-US" w:eastAsia="zh-CN"/>
              </w:rPr>
              <w:t>：</w:t>
            </w:r>
            <w:r>
              <w:rPr>
                <w:rFonts w:hint="default" w:ascii="Times New Roman" w:hAnsi="Times New Roman" w:eastAsia="宋体" w:cs="Times New Roman"/>
                <w:i w:val="0"/>
                <w:iCs w:val="0"/>
                <w:caps w:val="0"/>
                <w:color w:val="000000"/>
                <w:spacing w:val="0"/>
                <w:sz w:val="21"/>
                <w:szCs w:val="21"/>
                <w:highlight w:val="none"/>
                <w:shd w:val="clear" w:color="auto" w:fill="FFFFFF"/>
                <w:lang w:val="en-US" w:eastAsia="zh-CN"/>
              </w:rPr>
              <w:t>主要作用是①筛分截留，机械过滤器通过筛选机制截留水中的悬浮物和其他杂质。这些过滤器通常采用石英砂或锰砂作为填料，利用它们的粒径优势去除水中的悬浮物和其他颗粒物。这种过滤方式能够有效地去除水中的杂质，保证出水水质。②吸附凝聚</w:t>
            </w:r>
            <w:r>
              <w:rPr>
                <w:rFonts w:hint="eastAsia" w:cs="Times New Roman"/>
                <w:i w:val="0"/>
                <w:iCs w:val="0"/>
                <w:caps w:val="0"/>
                <w:color w:val="000000"/>
                <w:spacing w:val="0"/>
                <w:sz w:val="21"/>
                <w:szCs w:val="21"/>
                <w:highlight w:val="none"/>
                <w:shd w:val="clear" w:color="auto" w:fill="FFFFFF"/>
                <w:lang w:val="en-US" w:eastAsia="zh-CN"/>
              </w:rPr>
              <w:t>，</w:t>
            </w:r>
            <w:r>
              <w:rPr>
                <w:rFonts w:hint="default" w:ascii="Times New Roman" w:hAnsi="Times New Roman" w:eastAsia="宋体" w:cs="Times New Roman"/>
                <w:i w:val="0"/>
                <w:iCs w:val="0"/>
                <w:caps w:val="0"/>
                <w:color w:val="000000"/>
                <w:spacing w:val="0"/>
                <w:sz w:val="21"/>
                <w:szCs w:val="21"/>
                <w:highlight w:val="none"/>
                <w:shd w:val="clear" w:color="auto" w:fill="FFFFFF"/>
                <w:lang w:val="en-US" w:eastAsia="zh-CN"/>
              </w:rPr>
              <w:t>除了筛分截留之外，机械过滤器还具有吸附凝聚的作用。活性炭过滤器就是一个典型的例子，活性炭的微孔结构提供了巨大的表面积，能够吸附水中的有机物、胶体和其他有害物质，从而提高水质。</w:t>
            </w:r>
          </w:p>
          <w:p w14:paraId="350F7727">
            <w:pPr>
              <w:keepNext/>
              <w:keepLines/>
              <w:widowControl/>
              <w:shd w:val="clear" w:color="auto" w:fill="auto"/>
              <w:adjustRightInd w:val="0"/>
              <w:snapToGrid w:val="0"/>
              <w:spacing w:line="360" w:lineRule="auto"/>
              <w:ind w:firstLine="420" w:firstLineChars="200"/>
              <w:jc w:val="left"/>
              <w:outlineLvl w:val="0"/>
              <w:rPr>
                <w:rFonts w:hint="default" w:ascii="Times New Roman" w:hAnsi="Times New Roman" w:eastAsia="宋体" w:cs="Times New Roman"/>
                <w:b/>
                <w:bCs/>
                <w:color w:val="000000"/>
                <w:sz w:val="21"/>
                <w:szCs w:val="21"/>
                <w:highlight w:val="none"/>
                <w:lang w:val="en-US" w:eastAsia="zh-CN"/>
              </w:rPr>
            </w:pPr>
            <w:r>
              <w:rPr>
                <w:rFonts w:hint="default" w:ascii="Times New Roman" w:hAnsi="Times New Roman" w:eastAsia="宋体" w:cs="Times New Roman"/>
                <w:i w:val="0"/>
                <w:iCs w:val="0"/>
                <w:caps w:val="0"/>
                <w:color w:val="000000"/>
                <w:spacing w:val="0"/>
                <w:sz w:val="21"/>
                <w:szCs w:val="21"/>
                <w:highlight w:val="none"/>
                <w:shd w:val="clear" w:color="auto" w:fill="FFFFFF"/>
                <w:lang w:val="en-US" w:eastAsia="zh-CN"/>
              </w:rPr>
              <w:t>紫外线消毒：利用特殊设计的高效率、高强度和长寿命的UVC波段紫外线照射流水，将水中各种细菌、病毒、寄生虫、水藻以及其他病原体进行消灭。</w:t>
            </w:r>
          </w:p>
          <w:p w14:paraId="7DB51070">
            <w:pPr>
              <w:widowControl/>
              <w:shd w:val="clear" w:color="auto" w:fill="auto"/>
              <w:spacing w:line="360" w:lineRule="auto"/>
              <w:jc w:val="both"/>
              <w:rPr>
                <w:rFonts w:hint="eastAsia" w:ascii="Times New Roman" w:hAnsi="Times New Roman" w:eastAsia="宋体" w:cs="Times New Roman"/>
                <w:b/>
                <w:color w:val="000000"/>
                <w:sz w:val="21"/>
                <w:szCs w:val="21"/>
                <w:highlight w:val="none"/>
                <w:lang w:val="en-US" w:eastAsia="zh-CN"/>
              </w:rPr>
            </w:pPr>
            <w:r>
              <w:rPr>
                <w:color w:val="000000"/>
                <w:highlight w:val="none"/>
              </w:rPr>
              <w:drawing>
                <wp:inline distT="0" distB="0" distL="114300" distR="114300">
                  <wp:extent cx="5132705" cy="1024890"/>
                  <wp:effectExtent l="0" t="0" r="10795" b="3810"/>
                  <wp:docPr id="5661"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 name="图片 147"/>
                          <pic:cNvPicPr>
                            <a:picLocks noChangeAspect="1"/>
                          </pic:cNvPicPr>
                        </pic:nvPicPr>
                        <pic:blipFill>
                          <a:blip r:embed="rId18"/>
                          <a:stretch>
                            <a:fillRect/>
                          </a:stretch>
                        </pic:blipFill>
                        <pic:spPr>
                          <a:xfrm>
                            <a:off x="0" y="0"/>
                            <a:ext cx="5132705" cy="1024890"/>
                          </a:xfrm>
                          <a:prstGeom prst="rect">
                            <a:avLst/>
                          </a:prstGeom>
                          <a:noFill/>
                          <a:ln>
                            <a:noFill/>
                          </a:ln>
                        </pic:spPr>
                      </pic:pic>
                    </a:graphicData>
                  </a:graphic>
                </wp:inline>
              </w:drawing>
            </w:r>
          </w:p>
          <w:p w14:paraId="4BEA39F0">
            <w:pPr>
              <w:keepNext/>
              <w:keepLines/>
              <w:widowControl/>
              <w:shd w:val="clear" w:color="auto" w:fill="auto"/>
              <w:adjustRightInd w:val="0"/>
              <w:snapToGrid w:val="0"/>
              <w:spacing w:line="360" w:lineRule="auto"/>
              <w:jc w:val="center"/>
              <w:outlineLvl w:val="0"/>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图2-6 污水处理站</w:t>
            </w:r>
            <w:r>
              <w:rPr>
                <w:rFonts w:hint="eastAsia" w:cs="Times New Roman"/>
                <w:b/>
                <w:bCs/>
                <w:color w:val="000000"/>
                <w:sz w:val="21"/>
                <w:szCs w:val="21"/>
                <w:highlight w:val="none"/>
                <w:lang w:val="en-US" w:eastAsia="zh-CN"/>
              </w:rPr>
              <w:t>污水</w:t>
            </w:r>
            <w:r>
              <w:rPr>
                <w:rFonts w:hint="eastAsia" w:ascii="Times New Roman" w:hAnsi="Times New Roman" w:eastAsia="宋体" w:cs="Times New Roman"/>
                <w:b/>
                <w:bCs/>
                <w:color w:val="000000"/>
                <w:sz w:val="21"/>
                <w:szCs w:val="21"/>
                <w:highlight w:val="none"/>
                <w:lang w:val="en-US" w:eastAsia="zh-CN"/>
              </w:rPr>
              <w:t>处理工艺流程图</w:t>
            </w:r>
          </w:p>
          <w:p w14:paraId="6A6D2872">
            <w:pPr>
              <w:keepNext/>
              <w:keepLines/>
              <w:widowControl/>
              <w:shd w:val="clear" w:color="auto" w:fill="auto"/>
              <w:adjustRightInd w:val="0"/>
              <w:snapToGrid w:val="0"/>
              <w:spacing w:line="360" w:lineRule="auto"/>
              <w:ind w:firstLine="632" w:firstLineChars="300"/>
              <w:jc w:val="left"/>
              <w:outlineLvl w:val="0"/>
              <w:rPr>
                <w:rFonts w:hint="default" w:ascii="Times New Roman" w:hAnsi="Times New Roman" w:eastAsia="黑体" w:cs="Times New Roman"/>
                <w:bCs/>
                <w:color w:val="000000"/>
                <w:kern w:val="44"/>
                <w:sz w:val="21"/>
                <w:szCs w:val="21"/>
                <w:highlight w:val="none"/>
              </w:rPr>
            </w:pPr>
            <w:r>
              <w:rPr>
                <w:rFonts w:hint="eastAsia" w:cs="Times New Roman"/>
                <w:b/>
                <w:bCs/>
                <w:color w:val="000000"/>
                <w:sz w:val="21"/>
                <w:szCs w:val="21"/>
                <w:highlight w:val="none"/>
                <w:lang w:val="en-US" w:eastAsia="zh-CN"/>
              </w:rPr>
              <w:t>2.</w:t>
            </w:r>
            <w:r>
              <w:rPr>
                <w:rFonts w:hint="default" w:ascii="Times New Roman" w:hAnsi="Times New Roman" w:eastAsia="宋体" w:cs="Times New Roman"/>
                <w:b/>
                <w:bCs/>
                <w:color w:val="000000"/>
                <w:sz w:val="21"/>
                <w:szCs w:val="21"/>
                <w:highlight w:val="none"/>
              </w:rPr>
              <w:t>产污环节</w:t>
            </w:r>
          </w:p>
          <w:p w14:paraId="4814B9BD">
            <w:pPr>
              <w:shd w:val="clear" w:color="auto" w:fill="auto"/>
              <w:spacing w:line="360" w:lineRule="auto"/>
              <w:ind w:firstLine="420" w:firstLineChars="200"/>
              <w:jc w:val="left"/>
              <w:rPr>
                <w:rFonts w:hint="default" w:ascii="Times New Roman" w:hAnsi="Times New Roman" w:cs="Times New Roman"/>
                <w:bCs/>
                <w:color w:val="000000"/>
                <w:sz w:val="21"/>
                <w:szCs w:val="21"/>
                <w:highlight w:val="none"/>
              </w:rPr>
            </w:pPr>
            <w:r>
              <w:rPr>
                <w:rFonts w:hint="default" w:ascii="Times New Roman" w:hAnsi="Times New Roman" w:cs="Times New Roman"/>
                <w:bCs/>
                <w:color w:val="000000"/>
                <w:sz w:val="21"/>
                <w:szCs w:val="21"/>
                <w:highlight w:val="none"/>
              </w:rPr>
              <w:t>本项目运营期的产污环节及污染因子</w:t>
            </w:r>
            <w:r>
              <w:rPr>
                <w:rFonts w:hint="default" w:ascii="Times New Roman" w:hAnsi="Times New Roman" w:cs="Times New Roman"/>
                <w:bCs/>
                <w:color w:val="000000"/>
                <w:sz w:val="21"/>
                <w:szCs w:val="21"/>
                <w:highlight w:val="none"/>
                <w:lang w:val="en-US" w:eastAsia="zh-CN"/>
              </w:rPr>
              <w:t>详</w:t>
            </w:r>
            <w:r>
              <w:rPr>
                <w:rFonts w:hint="default" w:ascii="Times New Roman" w:hAnsi="Times New Roman" w:cs="Times New Roman"/>
                <w:bCs/>
                <w:color w:val="000000"/>
                <w:sz w:val="21"/>
                <w:szCs w:val="21"/>
                <w:highlight w:val="none"/>
              </w:rPr>
              <w:t>见</w:t>
            </w:r>
            <w:r>
              <w:rPr>
                <w:rFonts w:hint="default" w:ascii="Times New Roman" w:hAnsi="Times New Roman" w:cs="Times New Roman"/>
                <w:bCs/>
                <w:color w:val="000000"/>
                <w:sz w:val="21"/>
                <w:szCs w:val="21"/>
                <w:highlight w:val="none"/>
                <w:lang w:val="en-US" w:eastAsia="zh-CN"/>
              </w:rPr>
              <w:t>下</w:t>
            </w:r>
            <w:r>
              <w:rPr>
                <w:rFonts w:hint="default" w:ascii="Times New Roman" w:hAnsi="Times New Roman" w:cs="Times New Roman"/>
                <w:bCs/>
                <w:color w:val="000000"/>
                <w:sz w:val="21"/>
                <w:szCs w:val="21"/>
                <w:highlight w:val="none"/>
              </w:rPr>
              <w:t>表。</w:t>
            </w:r>
          </w:p>
          <w:p w14:paraId="6382B474">
            <w:pPr>
              <w:shd w:val="clear" w:color="auto" w:fill="auto"/>
              <w:spacing w:line="240" w:lineRule="auto"/>
              <w:ind w:firstLine="422" w:firstLineChars="200"/>
              <w:jc w:val="center"/>
              <w:rPr>
                <w:rFonts w:hint="default" w:ascii="Times New Roman" w:hAnsi="Times New Roman" w:cs="Times New Roman"/>
                <w:b/>
                <w:color w:val="000000"/>
                <w:sz w:val="21"/>
                <w:szCs w:val="21"/>
                <w:highlight w:val="none"/>
              </w:rPr>
            </w:pPr>
            <w:r>
              <w:rPr>
                <w:rFonts w:hint="default" w:ascii="Times New Roman" w:hAnsi="Times New Roman" w:cs="Times New Roman"/>
                <w:b/>
                <w:color w:val="000000"/>
                <w:sz w:val="21"/>
                <w:szCs w:val="21"/>
                <w:highlight w:val="none"/>
              </w:rPr>
              <w:t>表2-</w:t>
            </w:r>
            <w:r>
              <w:rPr>
                <w:rFonts w:hint="default" w:ascii="Times New Roman" w:hAnsi="Times New Roman" w:cs="Times New Roman"/>
                <w:b/>
                <w:color w:val="000000"/>
                <w:sz w:val="21"/>
                <w:szCs w:val="21"/>
                <w:highlight w:val="none"/>
                <w:lang w:val="en-US" w:eastAsia="zh-CN"/>
              </w:rPr>
              <w:t>7</w:t>
            </w:r>
            <w:r>
              <w:rPr>
                <w:rFonts w:hint="default" w:ascii="Times New Roman" w:hAnsi="Times New Roman" w:cs="Times New Roman"/>
                <w:b/>
                <w:color w:val="000000"/>
                <w:sz w:val="21"/>
                <w:szCs w:val="21"/>
                <w:highlight w:val="none"/>
              </w:rPr>
              <w:t xml:space="preserve">  运营期产污环节及污染因子</w:t>
            </w:r>
          </w:p>
          <w:tbl>
            <w:tblPr>
              <w:tblStyle w:val="21"/>
              <w:tblW w:w="49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745"/>
              <w:gridCol w:w="1674"/>
              <w:gridCol w:w="1411"/>
              <w:gridCol w:w="1434"/>
              <w:gridCol w:w="1429"/>
              <w:gridCol w:w="1118"/>
            </w:tblGrid>
            <w:tr w14:paraId="24C38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477" w:type="pct"/>
                  <w:tcBorders>
                    <w:tl2br w:val="nil"/>
                    <w:tr2bl w:val="nil"/>
                  </w:tcBorders>
                  <w:shd w:val="clear" w:color="auto" w:fill="auto"/>
                  <w:noWrap w:val="0"/>
                  <w:vAlign w:val="center"/>
                </w:tcPr>
                <w:p w14:paraId="6BC8DEFA">
                  <w:pPr>
                    <w:pStyle w:val="143"/>
                    <w:shd w:val="clear" w:color="auto" w:fill="auto"/>
                    <w:kinsoku w:val="0"/>
                    <w:overflowPunct w:val="0"/>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类型</w:t>
                  </w:r>
                </w:p>
              </w:tc>
              <w:tc>
                <w:tcPr>
                  <w:tcW w:w="1071" w:type="pct"/>
                  <w:tcBorders>
                    <w:tl2br w:val="nil"/>
                    <w:tr2bl w:val="nil"/>
                  </w:tcBorders>
                  <w:shd w:val="clear" w:color="auto" w:fill="auto"/>
                  <w:noWrap w:val="0"/>
                  <w:vAlign w:val="center"/>
                </w:tcPr>
                <w:p w14:paraId="23ED6A57">
                  <w:pPr>
                    <w:pStyle w:val="143"/>
                    <w:shd w:val="clear" w:color="auto" w:fill="auto"/>
                    <w:kinsoku w:val="0"/>
                    <w:overflowPunct w:val="0"/>
                    <w:rPr>
                      <w:rFonts w:hint="default" w:ascii="Times New Roman" w:hAnsi="Times New Roman" w:eastAsia="宋体"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污染源</w:t>
                  </w:r>
                </w:p>
              </w:tc>
              <w:tc>
                <w:tcPr>
                  <w:tcW w:w="902" w:type="pct"/>
                  <w:tcBorders>
                    <w:tl2br w:val="nil"/>
                    <w:tr2bl w:val="nil"/>
                  </w:tcBorders>
                  <w:shd w:val="clear" w:color="auto" w:fill="auto"/>
                  <w:noWrap w:val="0"/>
                  <w:vAlign w:val="center"/>
                </w:tcPr>
                <w:p w14:paraId="596BFE28">
                  <w:pPr>
                    <w:pStyle w:val="143"/>
                    <w:shd w:val="clear" w:color="auto" w:fill="auto"/>
                    <w:kinsoku w:val="0"/>
                    <w:overflowPunct w:val="0"/>
                    <w:rPr>
                      <w:rFonts w:hint="default" w:ascii="Times New Roman" w:hAnsi="Times New Roman" w:eastAsia="宋体"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产污环节</w:t>
                  </w:r>
                </w:p>
              </w:tc>
              <w:tc>
                <w:tcPr>
                  <w:tcW w:w="917" w:type="pct"/>
                  <w:tcBorders>
                    <w:tl2br w:val="nil"/>
                    <w:tr2bl w:val="nil"/>
                  </w:tcBorders>
                  <w:shd w:val="clear" w:color="auto" w:fill="auto"/>
                  <w:noWrap w:val="0"/>
                  <w:vAlign w:val="center"/>
                </w:tcPr>
                <w:p w14:paraId="4E02A63F">
                  <w:pPr>
                    <w:pStyle w:val="143"/>
                    <w:shd w:val="clear" w:color="auto" w:fill="auto"/>
                    <w:kinsoku w:val="0"/>
                    <w:overflowPunct w:val="0"/>
                    <w:rPr>
                      <w:rFonts w:hint="default" w:ascii="Times New Roman" w:hAnsi="Times New Roman" w:eastAsia="宋体" w:cs="Times New Roman"/>
                      <w:b/>
                      <w:bCs/>
                      <w:color w:val="000000"/>
                      <w:sz w:val="21"/>
                      <w:szCs w:val="21"/>
                      <w:highlight w:val="none"/>
                      <w:lang w:eastAsia="zh-CN"/>
                    </w:rPr>
                  </w:pPr>
                  <w:r>
                    <w:rPr>
                      <w:rFonts w:hint="default" w:ascii="Times New Roman" w:hAnsi="Times New Roman" w:cs="Times New Roman"/>
                      <w:b/>
                      <w:bCs/>
                      <w:color w:val="000000"/>
                      <w:sz w:val="21"/>
                      <w:szCs w:val="21"/>
                      <w:highlight w:val="none"/>
                      <w:lang w:val="en-US" w:eastAsia="zh-CN"/>
                    </w:rPr>
                    <w:t>污染物</w:t>
                  </w:r>
                </w:p>
              </w:tc>
              <w:tc>
                <w:tcPr>
                  <w:tcW w:w="914" w:type="pct"/>
                  <w:tcBorders>
                    <w:tl2br w:val="nil"/>
                    <w:tr2bl w:val="nil"/>
                  </w:tcBorders>
                  <w:shd w:val="clear" w:color="auto" w:fill="auto"/>
                  <w:noWrap w:val="0"/>
                  <w:vAlign w:val="center"/>
                </w:tcPr>
                <w:p w14:paraId="0236ADC4">
                  <w:pPr>
                    <w:pStyle w:val="143"/>
                    <w:shd w:val="clear" w:color="auto" w:fill="auto"/>
                    <w:kinsoku w:val="0"/>
                    <w:overflowPunct w:val="0"/>
                    <w:rPr>
                      <w:rFonts w:hint="default" w:ascii="Times New Roman" w:hAnsi="Times New Roman"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污染防治措施</w:t>
                  </w:r>
                </w:p>
              </w:tc>
              <w:tc>
                <w:tcPr>
                  <w:tcW w:w="715" w:type="pct"/>
                  <w:tcBorders>
                    <w:tl2br w:val="nil"/>
                    <w:tr2bl w:val="nil"/>
                  </w:tcBorders>
                  <w:shd w:val="clear" w:color="auto" w:fill="auto"/>
                  <w:noWrap w:val="0"/>
                  <w:vAlign w:val="center"/>
                </w:tcPr>
                <w:p w14:paraId="335DC3C6">
                  <w:pPr>
                    <w:pStyle w:val="143"/>
                    <w:shd w:val="clear" w:color="auto" w:fill="auto"/>
                    <w:kinsoku w:val="0"/>
                    <w:overflowPunct w:val="0"/>
                    <w:rPr>
                      <w:rFonts w:hint="default" w:ascii="Times New Roman" w:hAnsi="Times New Roman"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lang w:val="en-US" w:eastAsia="zh-CN"/>
                    </w:rPr>
                    <w:t>排放方式</w:t>
                  </w:r>
                </w:p>
              </w:tc>
            </w:tr>
            <w:tr w14:paraId="51154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jc w:val="center"/>
              </w:trPr>
              <w:tc>
                <w:tcPr>
                  <w:tcW w:w="477" w:type="pct"/>
                  <w:vMerge w:val="restart"/>
                  <w:tcBorders>
                    <w:tl2br w:val="nil"/>
                    <w:tr2bl w:val="nil"/>
                  </w:tcBorders>
                  <w:shd w:val="clear" w:color="auto" w:fill="auto"/>
                  <w:noWrap w:val="0"/>
                  <w:vAlign w:val="center"/>
                </w:tcPr>
                <w:p w14:paraId="0510F43C">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废气</w:t>
                  </w:r>
                </w:p>
              </w:tc>
              <w:tc>
                <w:tcPr>
                  <w:tcW w:w="1071" w:type="pct"/>
                  <w:vMerge w:val="restart"/>
                  <w:tcBorders>
                    <w:tl2br w:val="nil"/>
                    <w:tr2bl w:val="nil"/>
                  </w:tcBorders>
                  <w:shd w:val="clear" w:color="auto" w:fill="auto"/>
                  <w:noWrap w:val="0"/>
                  <w:vAlign w:val="center"/>
                </w:tcPr>
                <w:p w14:paraId="0ECC441E">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曲块及原粮储存粉碎车间</w:t>
                  </w:r>
                </w:p>
              </w:tc>
              <w:tc>
                <w:tcPr>
                  <w:tcW w:w="902" w:type="pct"/>
                  <w:tcBorders>
                    <w:tl2br w:val="nil"/>
                    <w:tr2bl w:val="nil"/>
                  </w:tcBorders>
                  <w:shd w:val="clear" w:color="auto" w:fill="auto"/>
                  <w:noWrap w:val="0"/>
                  <w:vAlign w:val="center"/>
                </w:tcPr>
                <w:p w14:paraId="6701916C">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粮食粉碎</w:t>
                  </w:r>
                </w:p>
              </w:tc>
              <w:tc>
                <w:tcPr>
                  <w:tcW w:w="917" w:type="pct"/>
                  <w:tcBorders>
                    <w:tl2br w:val="nil"/>
                    <w:tr2bl w:val="nil"/>
                  </w:tcBorders>
                  <w:shd w:val="clear" w:color="auto" w:fill="auto"/>
                  <w:noWrap w:val="0"/>
                  <w:vAlign w:val="center"/>
                </w:tcPr>
                <w:p w14:paraId="660B1459">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颗粒物</w:t>
                  </w:r>
                </w:p>
              </w:tc>
              <w:tc>
                <w:tcPr>
                  <w:tcW w:w="914" w:type="pct"/>
                  <w:vMerge w:val="restart"/>
                  <w:tcBorders>
                    <w:tl2br w:val="nil"/>
                    <w:tr2bl w:val="nil"/>
                  </w:tcBorders>
                  <w:shd w:val="clear" w:color="auto" w:fill="auto"/>
                  <w:noWrap w:val="0"/>
                  <w:vAlign w:val="center"/>
                </w:tcPr>
                <w:p w14:paraId="42E8CED6">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集气罩+布袋除尘器+</w:t>
                  </w:r>
                  <w:r>
                    <w:rPr>
                      <w:rFonts w:hint="eastAsia" w:ascii="Times New Roman" w:hAnsi="Times New Roman" w:cs="Times New Roman"/>
                      <w:color w:val="000000"/>
                      <w:sz w:val="21"/>
                      <w:szCs w:val="21"/>
                      <w:highlight w:val="none"/>
                      <w:lang w:val="en-US" w:eastAsia="zh-CN"/>
                    </w:rPr>
                    <w:t>20</w:t>
                  </w:r>
                  <w:r>
                    <w:rPr>
                      <w:rFonts w:hint="default" w:ascii="Times New Roman" w:hAnsi="Times New Roman" w:cs="Times New Roman"/>
                      <w:color w:val="000000"/>
                      <w:sz w:val="21"/>
                      <w:szCs w:val="21"/>
                      <w:highlight w:val="none"/>
                      <w:lang w:val="en-US" w:eastAsia="zh-CN"/>
                    </w:rPr>
                    <w:t>m高排气筒</w:t>
                  </w:r>
                  <w:r>
                    <w:rPr>
                      <w:rFonts w:hint="eastAsia" w:ascii="Times New Roman" w:hAnsi="Times New Roman" w:cs="Times New Roman"/>
                      <w:color w:val="000000"/>
                      <w:sz w:val="21"/>
                      <w:szCs w:val="21"/>
                      <w:highlight w:val="none"/>
                      <w:lang w:val="en-US" w:eastAsia="zh-CN"/>
                    </w:rPr>
                    <w:t>DA001</w:t>
                  </w:r>
                </w:p>
              </w:tc>
              <w:tc>
                <w:tcPr>
                  <w:tcW w:w="715" w:type="pct"/>
                  <w:vMerge w:val="restart"/>
                  <w:tcBorders>
                    <w:tl2br w:val="nil"/>
                    <w:tr2bl w:val="nil"/>
                  </w:tcBorders>
                  <w:shd w:val="clear" w:color="auto" w:fill="auto"/>
                  <w:noWrap w:val="0"/>
                  <w:vAlign w:val="center"/>
                </w:tcPr>
                <w:p w14:paraId="3E76C8C3">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有组织/无组织</w:t>
                  </w:r>
                </w:p>
              </w:tc>
            </w:tr>
            <w:tr w14:paraId="3F61F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7" w:type="pct"/>
                  <w:vMerge w:val="continue"/>
                  <w:tcBorders>
                    <w:tl2br w:val="nil"/>
                    <w:tr2bl w:val="nil"/>
                  </w:tcBorders>
                  <w:shd w:val="clear" w:color="auto" w:fill="auto"/>
                  <w:noWrap w:val="0"/>
                  <w:vAlign w:val="center"/>
                </w:tcPr>
                <w:p w14:paraId="702ACB57">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p>
              </w:tc>
              <w:tc>
                <w:tcPr>
                  <w:tcW w:w="1071" w:type="pct"/>
                  <w:vMerge w:val="continue"/>
                  <w:tcBorders>
                    <w:tl2br w:val="nil"/>
                    <w:tr2bl w:val="nil"/>
                  </w:tcBorders>
                  <w:shd w:val="clear" w:color="auto" w:fill="auto"/>
                  <w:noWrap w:val="0"/>
                  <w:vAlign w:val="center"/>
                </w:tcPr>
                <w:p w14:paraId="71D9FF88">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p>
              </w:tc>
              <w:tc>
                <w:tcPr>
                  <w:tcW w:w="902" w:type="pct"/>
                  <w:tcBorders>
                    <w:tl2br w:val="nil"/>
                    <w:tr2bl w:val="nil"/>
                  </w:tcBorders>
                  <w:shd w:val="clear" w:color="auto" w:fill="auto"/>
                  <w:noWrap w:val="0"/>
                  <w:vAlign w:val="center"/>
                </w:tcPr>
                <w:p w14:paraId="5BB40E91">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大曲粉碎</w:t>
                  </w:r>
                </w:p>
              </w:tc>
              <w:tc>
                <w:tcPr>
                  <w:tcW w:w="917" w:type="pct"/>
                  <w:tcBorders>
                    <w:tl2br w:val="nil"/>
                    <w:tr2bl w:val="nil"/>
                  </w:tcBorders>
                  <w:shd w:val="clear" w:color="auto" w:fill="auto"/>
                  <w:noWrap w:val="0"/>
                  <w:vAlign w:val="center"/>
                </w:tcPr>
                <w:p w14:paraId="3011993B">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颗粒物</w:t>
                  </w:r>
                </w:p>
              </w:tc>
              <w:tc>
                <w:tcPr>
                  <w:tcW w:w="914" w:type="pct"/>
                  <w:vMerge w:val="continue"/>
                  <w:tcBorders>
                    <w:tl2br w:val="nil"/>
                    <w:tr2bl w:val="nil"/>
                  </w:tcBorders>
                  <w:shd w:val="clear" w:color="auto" w:fill="auto"/>
                  <w:noWrap w:val="0"/>
                  <w:vAlign w:val="center"/>
                </w:tcPr>
                <w:p w14:paraId="0F7250C4">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p>
              </w:tc>
              <w:tc>
                <w:tcPr>
                  <w:tcW w:w="715" w:type="pct"/>
                  <w:vMerge w:val="continue"/>
                  <w:tcBorders>
                    <w:tl2br w:val="nil"/>
                    <w:tr2bl w:val="nil"/>
                  </w:tcBorders>
                  <w:shd w:val="clear" w:color="auto" w:fill="auto"/>
                  <w:noWrap w:val="0"/>
                  <w:vAlign w:val="center"/>
                </w:tcPr>
                <w:p w14:paraId="6E2DBD94">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p>
              </w:tc>
            </w:tr>
            <w:tr w14:paraId="404F8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477" w:type="pct"/>
                  <w:vMerge w:val="continue"/>
                  <w:tcBorders>
                    <w:tl2br w:val="nil"/>
                    <w:tr2bl w:val="nil"/>
                  </w:tcBorders>
                  <w:shd w:val="clear" w:color="auto" w:fill="auto"/>
                  <w:noWrap w:val="0"/>
                  <w:vAlign w:val="center"/>
                </w:tcPr>
                <w:p w14:paraId="35A87DFE">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p>
              </w:tc>
              <w:tc>
                <w:tcPr>
                  <w:tcW w:w="1071" w:type="pct"/>
                  <w:tcBorders>
                    <w:tl2br w:val="nil"/>
                    <w:tr2bl w:val="nil"/>
                  </w:tcBorders>
                  <w:shd w:val="clear" w:color="auto" w:fill="auto"/>
                  <w:noWrap w:val="0"/>
                  <w:vAlign w:val="center"/>
                </w:tcPr>
                <w:p w14:paraId="105DA2A4">
                  <w:pPr>
                    <w:pStyle w:val="143"/>
                    <w:shd w:val="clear" w:color="auto" w:fill="auto"/>
                    <w:kinsoku w:val="0"/>
                    <w:overflowPunct w:val="0"/>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制酒车间</w:t>
                  </w:r>
                </w:p>
              </w:tc>
              <w:tc>
                <w:tcPr>
                  <w:tcW w:w="902" w:type="pct"/>
                  <w:tcBorders>
                    <w:tl2br w:val="nil"/>
                    <w:tr2bl w:val="nil"/>
                  </w:tcBorders>
                  <w:shd w:val="clear" w:color="auto" w:fill="auto"/>
                  <w:noWrap w:val="0"/>
                  <w:vAlign w:val="center"/>
                </w:tcPr>
                <w:p w14:paraId="3E5738A4">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酒糟暂存</w:t>
                  </w:r>
                </w:p>
              </w:tc>
              <w:tc>
                <w:tcPr>
                  <w:tcW w:w="917" w:type="pct"/>
                  <w:tcBorders>
                    <w:tl2br w:val="nil"/>
                    <w:tr2bl w:val="nil"/>
                  </w:tcBorders>
                  <w:shd w:val="clear" w:color="auto" w:fill="auto"/>
                  <w:noWrap w:val="0"/>
                  <w:vAlign w:val="center"/>
                </w:tcPr>
                <w:p w14:paraId="189EE291">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rPr>
                    <w:t>臭气浓度</w:t>
                  </w:r>
                </w:p>
              </w:tc>
              <w:tc>
                <w:tcPr>
                  <w:tcW w:w="914" w:type="pct"/>
                  <w:tcBorders>
                    <w:tl2br w:val="nil"/>
                    <w:tr2bl w:val="nil"/>
                  </w:tcBorders>
                  <w:shd w:val="clear" w:color="auto" w:fill="auto"/>
                  <w:noWrap w:val="0"/>
                  <w:vAlign w:val="center"/>
                </w:tcPr>
                <w:p w14:paraId="29F24E4C">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增加清理频次</w:t>
                  </w:r>
                </w:p>
              </w:tc>
              <w:tc>
                <w:tcPr>
                  <w:tcW w:w="715" w:type="pct"/>
                  <w:tcBorders>
                    <w:tl2br w:val="nil"/>
                    <w:tr2bl w:val="nil"/>
                  </w:tcBorders>
                  <w:shd w:val="clear" w:color="auto" w:fill="auto"/>
                  <w:noWrap w:val="0"/>
                  <w:vAlign w:val="center"/>
                </w:tcPr>
                <w:p w14:paraId="052EC5D6">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无组织</w:t>
                  </w:r>
                </w:p>
              </w:tc>
            </w:tr>
            <w:tr w14:paraId="263EB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7" w:type="pct"/>
                  <w:vMerge w:val="continue"/>
                  <w:tcBorders>
                    <w:tl2br w:val="nil"/>
                    <w:tr2bl w:val="nil"/>
                  </w:tcBorders>
                  <w:shd w:val="clear" w:color="auto" w:fill="auto"/>
                  <w:noWrap w:val="0"/>
                  <w:vAlign w:val="center"/>
                </w:tcPr>
                <w:p w14:paraId="152E80F1">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p>
              </w:tc>
              <w:tc>
                <w:tcPr>
                  <w:tcW w:w="1071" w:type="pct"/>
                  <w:tcBorders>
                    <w:tl2br w:val="nil"/>
                    <w:tr2bl w:val="nil"/>
                  </w:tcBorders>
                  <w:shd w:val="clear" w:color="auto" w:fill="auto"/>
                  <w:noWrap w:val="0"/>
                  <w:vAlign w:val="center"/>
                </w:tcPr>
                <w:p w14:paraId="6E1FB0AB">
                  <w:pPr>
                    <w:pStyle w:val="143"/>
                    <w:shd w:val="clear" w:color="auto" w:fill="auto"/>
                    <w:kinsoku w:val="0"/>
                    <w:overflowPunct w:val="0"/>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锅炉</w:t>
                  </w:r>
                </w:p>
              </w:tc>
              <w:tc>
                <w:tcPr>
                  <w:tcW w:w="902" w:type="pct"/>
                  <w:tcBorders>
                    <w:tl2br w:val="nil"/>
                    <w:tr2bl w:val="nil"/>
                  </w:tcBorders>
                  <w:shd w:val="clear" w:color="auto" w:fill="auto"/>
                  <w:noWrap w:val="0"/>
                  <w:vAlign w:val="center"/>
                </w:tcPr>
                <w:p w14:paraId="6A6B1D8B">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天然气燃烧废气</w:t>
                  </w:r>
                </w:p>
              </w:tc>
              <w:tc>
                <w:tcPr>
                  <w:tcW w:w="917" w:type="pct"/>
                  <w:tcBorders>
                    <w:tl2br w:val="nil"/>
                    <w:tr2bl w:val="nil"/>
                  </w:tcBorders>
                  <w:shd w:val="clear" w:color="auto" w:fill="auto"/>
                  <w:noWrap w:val="0"/>
                  <w:vAlign w:val="center"/>
                </w:tcPr>
                <w:p w14:paraId="13EFF4B7">
                  <w:pPr>
                    <w:pStyle w:val="143"/>
                    <w:shd w:val="clear" w:color="auto" w:fill="auto"/>
                    <w:kinsoku w:val="0"/>
                    <w:overflowPunct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颗粒物、</w:t>
                  </w:r>
                  <w:r>
                    <w:rPr>
                      <w:rFonts w:hint="default" w:ascii="Times New Roman" w:hAnsi="Times New Roman" w:cs="Times New Roman"/>
                      <w:color w:val="000000"/>
                      <w:sz w:val="21"/>
                      <w:szCs w:val="21"/>
                      <w:highlight w:val="none"/>
                    </w:rPr>
                    <w:t>NOx、SO</w:t>
                  </w:r>
                  <w:r>
                    <w:rPr>
                      <w:rFonts w:hint="default" w:ascii="Times New Roman" w:hAnsi="Times New Roman" w:cs="Times New Roman"/>
                      <w:color w:val="000000"/>
                      <w:sz w:val="21"/>
                      <w:szCs w:val="21"/>
                      <w:highlight w:val="none"/>
                      <w:vertAlign w:val="subscript"/>
                    </w:rPr>
                    <w:t>2</w:t>
                  </w:r>
                  <w:r>
                    <w:rPr>
                      <w:rFonts w:hint="default" w:ascii="Times New Roman" w:hAnsi="Times New Roman" w:cs="Times New Roman"/>
                      <w:color w:val="000000"/>
                      <w:sz w:val="21"/>
                      <w:szCs w:val="21"/>
                      <w:highlight w:val="none"/>
                    </w:rPr>
                    <w:t>、</w:t>
                  </w:r>
                  <w:r>
                    <w:rPr>
                      <w:rFonts w:hint="default" w:ascii="Times New Roman" w:hAnsi="Times New Roman" w:cs="Times New Roman"/>
                      <w:color w:val="000000"/>
                      <w:sz w:val="21"/>
                      <w:szCs w:val="21"/>
                      <w:highlight w:val="none"/>
                      <w:lang w:val="en-US" w:eastAsia="zh-CN"/>
                    </w:rPr>
                    <w:t>烟气黑度</w:t>
                  </w:r>
                </w:p>
              </w:tc>
              <w:tc>
                <w:tcPr>
                  <w:tcW w:w="914" w:type="pct"/>
                  <w:tcBorders>
                    <w:tl2br w:val="nil"/>
                    <w:tr2bl w:val="nil"/>
                  </w:tcBorders>
                  <w:shd w:val="clear" w:color="auto" w:fill="auto"/>
                  <w:noWrap w:val="0"/>
                  <w:vAlign w:val="center"/>
                </w:tcPr>
                <w:p w14:paraId="118C8C46">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低氮燃烧器</w:t>
                  </w:r>
                  <w:r>
                    <w:rPr>
                      <w:rFonts w:hint="default" w:ascii="Times New Roman" w:hAnsi="Times New Roman" w:cs="Times New Roman"/>
                      <w:color w:val="000000"/>
                      <w:sz w:val="21"/>
                      <w:szCs w:val="21"/>
                      <w:highlight w:val="none"/>
                      <w:lang w:val="en-US" w:eastAsia="zh-CN"/>
                    </w:rPr>
                    <w:t>+1根</w:t>
                  </w:r>
                  <w:r>
                    <w:rPr>
                      <w:rFonts w:hint="eastAsia" w:ascii="Times New Roman" w:hAnsi="Times New Roman" w:cs="Times New Roman"/>
                      <w:color w:val="000000"/>
                      <w:sz w:val="21"/>
                      <w:szCs w:val="21"/>
                      <w:highlight w:val="none"/>
                      <w:lang w:val="en-US" w:eastAsia="zh-CN"/>
                    </w:rPr>
                    <w:t>20</w:t>
                  </w:r>
                  <w:r>
                    <w:rPr>
                      <w:rFonts w:hint="default" w:ascii="Times New Roman" w:hAnsi="Times New Roman" w:cs="Times New Roman"/>
                      <w:color w:val="000000"/>
                      <w:sz w:val="21"/>
                      <w:szCs w:val="21"/>
                      <w:highlight w:val="none"/>
                      <w:lang w:val="en-US" w:eastAsia="zh-CN"/>
                    </w:rPr>
                    <w:t>m高排气筒</w:t>
                  </w:r>
                  <w:r>
                    <w:rPr>
                      <w:rFonts w:hint="eastAsia" w:ascii="Times New Roman" w:hAnsi="Times New Roman" w:cs="Times New Roman"/>
                      <w:color w:val="000000"/>
                      <w:sz w:val="21"/>
                      <w:szCs w:val="21"/>
                      <w:highlight w:val="none"/>
                      <w:lang w:val="en-US" w:eastAsia="zh-CN"/>
                    </w:rPr>
                    <w:t>DA002</w:t>
                  </w:r>
                </w:p>
              </w:tc>
              <w:tc>
                <w:tcPr>
                  <w:tcW w:w="715" w:type="pct"/>
                  <w:tcBorders>
                    <w:tl2br w:val="nil"/>
                    <w:tr2bl w:val="nil"/>
                  </w:tcBorders>
                  <w:shd w:val="clear" w:color="auto" w:fill="auto"/>
                  <w:noWrap w:val="0"/>
                  <w:vAlign w:val="center"/>
                </w:tcPr>
                <w:p w14:paraId="1E4076B5">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有组织</w:t>
                  </w:r>
                </w:p>
              </w:tc>
            </w:tr>
            <w:tr w14:paraId="5CA02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477" w:type="pct"/>
                  <w:vMerge w:val="continue"/>
                  <w:tcBorders>
                    <w:tl2br w:val="nil"/>
                    <w:tr2bl w:val="nil"/>
                  </w:tcBorders>
                  <w:shd w:val="clear" w:color="auto" w:fill="auto"/>
                  <w:noWrap w:val="0"/>
                  <w:vAlign w:val="center"/>
                </w:tcPr>
                <w:p w14:paraId="684FA2EF">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p>
              </w:tc>
              <w:tc>
                <w:tcPr>
                  <w:tcW w:w="1071" w:type="pct"/>
                  <w:tcBorders>
                    <w:tl2br w:val="nil"/>
                    <w:tr2bl w:val="nil"/>
                  </w:tcBorders>
                  <w:shd w:val="clear" w:color="auto" w:fill="auto"/>
                  <w:noWrap w:val="0"/>
                  <w:vAlign w:val="center"/>
                </w:tcPr>
                <w:p w14:paraId="5A881205">
                  <w:pPr>
                    <w:pStyle w:val="143"/>
                    <w:shd w:val="clear" w:color="auto" w:fill="auto"/>
                    <w:kinsoku w:val="0"/>
                    <w:overflowPunct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污水处理站</w:t>
                  </w:r>
                </w:p>
              </w:tc>
              <w:tc>
                <w:tcPr>
                  <w:tcW w:w="902" w:type="pct"/>
                  <w:tcBorders>
                    <w:tl2br w:val="nil"/>
                    <w:tr2bl w:val="nil"/>
                  </w:tcBorders>
                  <w:shd w:val="clear" w:color="auto" w:fill="auto"/>
                  <w:noWrap w:val="0"/>
                  <w:vAlign w:val="center"/>
                </w:tcPr>
                <w:p w14:paraId="4D61161B">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污水处理</w:t>
                  </w:r>
                </w:p>
              </w:tc>
              <w:tc>
                <w:tcPr>
                  <w:tcW w:w="917" w:type="pct"/>
                  <w:tcBorders>
                    <w:tl2br w:val="nil"/>
                    <w:tr2bl w:val="nil"/>
                  </w:tcBorders>
                  <w:shd w:val="clear" w:color="auto" w:fill="auto"/>
                  <w:noWrap w:val="0"/>
                  <w:vAlign w:val="center"/>
                </w:tcPr>
                <w:p w14:paraId="1BCCBD8C">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rPr>
                    <w:t>H</w:t>
                  </w:r>
                  <w:r>
                    <w:rPr>
                      <w:rFonts w:hint="default" w:ascii="Times New Roman" w:hAnsi="Times New Roman" w:cs="Times New Roman"/>
                      <w:color w:val="000000"/>
                      <w:sz w:val="21"/>
                      <w:szCs w:val="21"/>
                      <w:highlight w:val="none"/>
                      <w:vertAlign w:val="subscript"/>
                    </w:rPr>
                    <w:t>2</w:t>
                  </w:r>
                  <w:r>
                    <w:rPr>
                      <w:rFonts w:hint="default" w:ascii="Times New Roman" w:hAnsi="Times New Roman" w:cs="Times New Roman"/>
                      <w:color w:val="000000"/>
                      <w:sz w:val="21"/>
                      <w:szCs w:val="21"/>
                      <w:highlight w:val="none"/>
                    </w:rPr>
                    <w:t>S、NH</w:t>
                  </w:r>
                  <w:r>
                    <w:rPr>
                      <w:rFonts w:hint="default" w:ascii="Times New Roman" w:hAnsi="Times New Roman" w:cs="Times New Roman"/>
                      <w:color w:val="000000"/>
                      <w:sz w:val="21"/>
                      <w:szCs w:val="21"/>
                      <w:highlight w:val="none"/>
                      <w:vertAlign w:val="subscript"/>
                    </w:rPr>
                    <w:t>3</w:t>
                  </w:r>
                  <w:r>
                    <w:rPr>
                      <w:rFonts w:hint="default" w:ascii="Times New Roman" w:hAnsi="Times New Roman" w:cs="Times New Roman"/>
                      <w:color w:val="000000"/>
                      <w:sz w:val="21"/>
                      <w:szCs w:val="21"/>
                      <w:highlight w:val="none"/>
                    </w:rPr>
                    <w:t>、臭气浓度</w:t>
                  </w:r>
                </w:p>
              </w:tc>
              <w:tc>
                <w:tcPr>
                  <w:tcW w:w="914" w:type="pct"/>
                  <w:tcBorders>
                    <w:tl2br w:val="nil"/>
                    <w:tr2bl w:val="nil"/>
                  </w:tcBorders>
                  <w:shd w:val="clear" w:color="auto" w:fill="auto"/>
                  <w:noWrap w:val="0"/>
                  <w:vAlign w:val="center"/>
                </w:tcPr>
                <w:p w14:paraId="688165E5">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活性炭吸附+1根15m高排气筒</w:t>
                  </w:r>
                  <w:r>
                    <w:rPr>
                      <w:rFonts w:hint="eastAsia" w:ascii="Times New Roman" w:hAnsi="Times New Roman" w:cs="Times New Roman"/>
                      <w:color w:val="000000"/>
                      <w:sz w:val="21"/>
                      <w:szCs w:val="21"/>
                      <w:highlight w:val="none"/>
                      <w:lang w:val="en-US" w:eastAsia="zh-CN"/>
                    </w:rPr>
                    <w:t>DA003</w:t>
                  </w:r>
                </w:p>
              </w:tc>
              <w:tc>
                <w:tcPr>
                  <w:tcW w:w="715" w:type="pct"/>
                  <w:tcBorders>
                    <w:tl2br w:val="nil"/>
                    <w:tr2bl w:val="nil"/>
                  </w:tcBorders>
                  <w:shd w:val="clear" w:color="auto" w:fill="auto"/>
                  <w:noWrap w:val="0"/>
                  <w:vAlign w:val="center"/>
                </w:tcPr>
                <w:p w14:paraId="21095D36">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有组织/无组织</w:t>
                  </w:r>
                </w:p>
              </w:tc>
            </w:tr>
            <w:tr w14:paraId="596E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477" w:type="pct"/>
                  <w:vMerge w:val="continue"/>
                  <w:tcBorders>
                    <w:tl2br w:val="nil"/>
                    <w:tr2bl w:val="nil"/>
                  </w:tcBorders>
                  <w:shd w:val="clear" w:color="auto" w:fill="auto"/>
                  <w:noWrap w:val="0"/>
                  <w:vAlign w:val="center"/>
                </w:tcPr>
                <w:p w14:paraId="1B8C085D">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p>
              </w:tc>
              <w:tc>
                <w:tcPr>
                  <w:tcW w:w="1071" w:type="pct"/>
                  <w:tcBorders>
                    <w:tl2br w:val="nil"/>
                    <w:tr2bl w:val="nil"/>
                  </w:tcBorders>
                  <w:shd w:val="clear" w:color="auto" w:fill="auto"/>
                  <w:noWrap w:val="0"/>
                  <w:vAlign w:val="center"/>
                </w:tcPr>
                <w:p w14:paraId="3223C3EE">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职工食堂</w:t>
                  </w:r>
                </w:p>
              </w:tc>
              <w:tc>
                <w:tcPr>
                  <w:tcW w:w="902" w:type="pct"/>
                  <w:tcBorders>
                    <w:tl2br w:val="nil"/>
                    <w:tr2bl w:val="nil"/>
                  </w:tcBorders>
                  <w:shd w:val="clear" w:color="auto" w:fill="auto"/>
                  <w:noWrap w:val="0"/>
                  <w:vAlign w:val="center"/>
                </w:tcPr>
                <w:p w14:paraId="0F204C38">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食堂油烟</w:t>
                  </w:r>
                </w:p>
              </w:tc>
              <w:tc>
                <w:tcPr>
                  <w:tcW w:w="917" w:type="pct"/>
                  <w:tcBorders>
                    <w:tl2br w:val="nil"/>
                    <w:tr2bl w:val="nil"/>
                  </w:tcBorders>
                  <w:shd w:val="clear" w:color="auto" w:fill="auto"/>
                  <w:noWrap w:val="0"/>
                  <w:vAlign w:val="center"/>
                </w:tcPr>
                <w:p w14:paraId="2B92F17C">
                  <w:pPr>
                    <w:pStyle w:val="143"/>
                    <w:shd w:val="clear" w:color="auto" w:fill="auto"/>
                    <w:kinsoku w:val="0"/>
                    <w:overflowPunct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油烟</w:t>
                  </w:r>
                </w:p>
              </w:tc>
              <w:tc>
                <w:tcPr>
                  <w:tcW w:w="914" w:type="pct"/>
                  <w:tcBorders>
                    <w:tl2br w:val="nil"/>
                    <w:tr2bl w:val="nil"/>
                  </w:tcBorders>
                  <w:shd w:val="clear" w:color="auto" w:fill="auto"/>
                  <w:noWrap w:val="0"/>
                  <w:vAlign w:val="center"/>
                </w:tcPr>
                <w:p w14:paraId="2A1CFB5C">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油烟净化器</w:t>
                  </w:r>
                </w:p>
              </w:tc>
              <w:tc>
                <w:tcPr>
                  <w:tcW w:w="715" w:type="pct"/>
                  <w:tcBorders>
                    <w:tl2br w:val="nil"/>
                    <w:tr2bl w:val="nil"/>
                  </w:tcBorders>
                  <w:shd w:val="clear" w:color="auto" w:fill="auto"/>
                  <w:noWrap w:val="0"/>
                  <w:vAlign w:val="center"/>
                </w:tcPr>
                <w:p w14:paraId="5288AEF5">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无组织</w:t>
                  </w:r>
                </w:p>
              </w:tc>
            </w:tr>
            <w:tr w14:paraId="35309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6" w:hRule="atLeast"/>
                <w:jc w:val="center"/>
              </w:trPr>
              <w:tc>
                <w:tcPr>
                  <w:tcW w:w="477" w:type="pct"/>
                  <w:vMerge w:val="restart"/>
                  <w:tcBorders>
                    <w:tl2br w:val="nil"/>
                    <w:tr2bl w:val="nil"/>
                  </w:tcBorders>
                  <w:shd w:val="clear" w:color="auto" w:fill="auto"/>
                  <w:noWrap w:val="0"/>
                  <w:vAlign w:val="center"/>
                </w:tcPr>
                <w:p w14:paraId="7888535C">
                  <w:pPr>
                    <w:pStyle w:val="143"/>
                    <w:shd w:val="clear" w:color="auto" w:fill="auto"/>
                    <w:kinsoku w:val="0"/>
                    <w:overflowPunct w:val="0"/>
                    <w:rPr>
                      <w:rFonts w:hint="default" w:ascii="Times New Roman" w:hAnsi="Times New Roman" w:cs="Times New Roman"/>
                      <w:color w:val="000000"/>
                      <w:kern w:val="0"/>
                      <w:sz w:val="21"/>
                      <w:szCs w:val="21"/>
                      <w:highlight w:val="none"/>
                      <w:lang w:val="en-US" w:eastAsia="zh-CN" w:bidi="ar-SA"/>
                    </w:rPr>
                  </w:pPr>
                  <w:r>
                    <w:rPr>
                      <w:rFonts w:hint="default" w:ascii="Times New Roman" w:hAnsi="Times New Roman" w:cs="Times New Roman"/>
                      <w:color w:val="000000"/>
                      <w:sz w:val="21"/>
                      <w:szCs w:val="21"/>
                      <w:highlight w:val="none"/>
                      <w:lang w:eastAsia="zh-CN"/>
                    </w:rPr>
                    <w:t>废水</w:t>
                  </w:r>
                </w:p>
              </w:tc>
              <w:tc>
                <w:tcPr>
                  <w:tcW w:w="1071" w:type="pct"/>
                  <w:vMerge w:val="restart"/>
                  <w:tcBorders>
                    <w:tl2br w:val="nil"/>
                    <w:tr2bl w:val="nil"/>
                  </w:tcBorders>
                  <w:shd w:val="clear" w:color="auto" w:fill="auto"/>
                  <w:noWrap w:val="0"/>
                  <w:vAlign w:val="center"/>
                </w:tcPr>
                <w:p w14:paraId="15B7BB59">
                  <w:pPr>
                    <w:pStyle w:val="143"/>
                    <w:shd w:val="clear" w:color="auto" w:fill="auto"/>
                    <w:kinsoku w:val="0"/>
                    <w:overflowPunct w:val="0"/>
                    <w:rPr>
                      <w:rFonts w:hint="default" w:ascii="Times New Roman" w:hAnsi="Times New Roman" w:cs="Times New Roman"/>
                      <w:color w:val="000000"/>
                      <w:kern w:val="0"/>
                      <w:sz w:val="21"/>
                      <w:szCs w:val="21"/>
                      <w:highlight w:val="none"/>
                      <w:lang w:val="en-US" w:eastAsia="zh-CN" w:bidi="ar-SA"/>
                    </w:rPr>
                  </w:pPr>
                  <w:r>
                    <w:rPr>
                      <w:rFonts w:hint="eastAsia" w:ascii="Times New Roman" w:hAnsi="Times New Roman" w:cs="Times New Roman"/>
                      <w:color w:val="000000"/>
                      <w:kern w:val="0"/>
                      <w:sz w:val="21"/>
                      <w:szCs w:val="21"/>
                      <w:highlight w:val="none"/>
                      <w:lang w:val="en-US" w:eastAsia="zh-CN" w:bidi="ar-SA"/>
                    </w:rPr>
                    <w:t>制酒</w:t>
                  </w:r>
                  <w:r>
                    <w:rPr>
                      <w:rFonts w:hint="default" w:ascii="Times New Roman" w:hAnsi="Times New Roman" w:cs="Times New Roman"/>
                      <w:color w:val="000000"/>
                      <w:kern w:val="0"/>
                      <w:sz w:val="21"/>
                      <w:szCs w:val="21"/>
                      <w:highlight w:val="none"/>
                      <w:lang w:val="en-US" w:eastAsia="zh-CN" w:bidi="ar-SA"/>
                    </w:rPr>
                    <w:t>车间</w:t>
                  </w:r>
                </w:p>
              </w:tc>
              <w:tc>
                <w:tcPr>
                  <w:tcW w:w="902" w:type="pct"/>
                  <w:tcBorders>
                    <w:tl2br w:val="nil"/>
                    <w:tr2bl w:val="nil"/>
                  </w:tcBorders>
                  <w:shd w:val="clear" w:color="auto" w:fill="auto"/>
                  <w:noWrap w:val="0"/>
                  <w:vAlign w:val="center"/>
                </w:tcPr>
                <w:p w14:paraId="36A1AEEF">
                  <w:pPr>
                    <w:shd w:val="clear" w:color="auto" w:fill="auto"/>
                    <w:jc w:val="center"/>
                    <w:rPr>
                      <w:rFonts w:hint="default" w:ascii="Times New Roman" w:hAnsi="Times New Roman" w:eastAsia="宋体" w:cs="Times New Roman"/>
                      <w:bCs/>
                      <w:color w:val="000000"/>
                      <w:kern w:val="2"/>
                      <w:sz w:val="21"/>
                      <w:szCs w:val="21"/>
                      <w:highlight w:val="none"/>
                      <w:lang w:val="en-US" w:eastAsia="zh-CN" w:bidi="ar-SA"/>
                    </w:rPr>
                  </w:pPr>
                  <w:r>
                    <w:rPr>
                      <w:rFonts w:hint="default" w:ascii="Times New Roman" w:hAnsi="Times New Roman" w:cs="Times New Roman"/>
                      <w:color w:val="000000"/>
                      <w:highlight w:val="none"/>
                      <w:lang w:eastAsia="zh-CN"/>
                    </w:rPr>
                    <w:t>窖底</w:t>
                  </w:r>
                  <w:r>
                    <w:rPr>
                      <w:rFonts w:hint="default" w:ascii="Times New Roman" w:hAnsi="Times New Roman" w:cs="Times New Roman"/>
                      <w:color w:val="000000"/>
                      <w:highlight w:val="none"/>
                    </w:rPr>
                    <w:t>水</w:t>
                  </w:r>
                </w:p>
              </w:tc>
              <w:tc>
                <w:tcPr>
                  <w:tcW w:w="917" w:type="pct"/>
                  <w:vMerge w:val="restart"/>
                  <w:tcBorders>
                    <w:tl2br w:val="nil"/>
                    <w:tr2bl w:val="nil"/>
                  </w:tcBorders>
                  <w:shd w:val="clear" w:color="auto" w:fill="auto"/>
                  <w:noWrap w:val="0"/>
                  <w:vAlign w:val="center"/>
                </w:tcPr>
                <w:p w14:paraId="05C730AF">
                  <w:pPr>
                    <w:shd w:val="clear" w:color="auto" w:fill="auto"/>
                    <w:jc w:val="center"/>
                    <w:rPr>
                      <w:rFonts w:hint="default" w:ascii="Times New Roman" w:hAnsi="Times New Roman" w:eastAsia="宋体" w:cs="Times New Roman"/>
                      <w:bCs/>
                      <w:color w:val="000000"/>
                      <w:kern w:val="2"/>
                      <w:sz w:val="21"/>
                      <w:szCs w:val="21"/>
                      <w:highlight w:val="none"/>
                      <w:lang w:val="en-US" w:eastAsia="zh-CN" w:bidi="ar-SA"/>
                    </w:rPr>
                  </w:pPr>
                  <w:r>
                    <w:rPr>
                      <w:rFonts w:hint="eastAsia" w:cs="Times New Roman"/>
                      <w:color w:val="000000"/>
                      <w:highlight w:val="none"/>
                      <w:lang w:val="en-US" w:eastAsia="zh-CN"/>
                    </w:rPr>
                    <w:t>pH值、</w:t>
                  </w:r>
                  <w:r>
                    <w:rPr>
                      <w:rFonts w:hint="default" w:ascii="Times New Roman" w:hAnsi="Times New Roman" w:eastAsia="宋体" w:cs="Times New Roman"/>
                      <w:color w:val="000000"/>
                      <w:highlight w:val="none"/>
                    </w:rPr>
                    <w:t>C</w:t>
                  </w:r>
                  <w:r>
                    <w:rPr>
                      <w:rFonts w:hint="default" w:ascii="Times New Roman" w:hAnsi="Times New Roman" w:cs="Times New Roman"/>
                      <w:color w:val="000000"/>
                      <w:highlight w:val="none"/>
                    </w:rPr>
                    <w:t>ODcr</w:t>
                  </w:r>
                  <w:r>
                    <w:rPr>
                      <w:rFonts w:hint="eastAsia" w:cs="Times New Roman"/>
                      <w:color w:val="000000"/>
                      <w:highlight w:val="none"/>
                      <w:lang w:eastAsia="zh-CN"/>
                    </w:rPr>
                    <w:t>、</w:t>
                  </w:r>
                  <w:r>
                    <w:rPr>
                      <w:rFonts w:hint="default" w:ascii="Times New Roman" w:hAnsi="Times New Roman" w:cs="Times New Roman"/>
                      <w:color w:val="000000"/>
                      <w:highlight w:val="none"/>
                    </w:rPr>
                    <w:t>BOD</w:t>
                  </w:r>
                  <w:r>
                    <w:rPr>
                      <w:rFonts w:hint="default" w:ascii="Times New Roman" w:hAnsi="Times New Roman" w:cs="Times New Roman"/>
                      <w:color w:val="000000"/>
                      <w:highlight w:val="none"/>
                      <w:vertAlign w:val="subscript"/>
                    </w:rPr>
                    <w:t>5</w:t>
                  </w:r>
                  <w:r>
                    <w:rPr>
                      <w:rFonts w:hint="default" w:ascii="Times New Roman" w:hAnsi="Times New Roman" w:cs="Times New Roman"/>
                      <w:color w:val="000000"/>
                      <w:highlight w:val="none"/>
                    </w:rPr>
                    <w:t>、氨氮、SS</w:t>
                  </w:r>
                  <w:r>
                    <w:rPr>
                      <w:rFonts w:hint="eastAsia" w:cs="Times New Roman"/>
                      <w:color w:val="000000"/>
                      <w:highlight w:val="none"/>
                      <w:lang w:eastAsia="zh-CN"/>
                    </w:rPr>
                    <w:t>、</w:t>
                  </w:r>
                  <w:r>
                    <w:rPr>
                      <w:rFonts w:hint="default" w:ascii="Times New Roman" w:hAnsi="Times New Roman" w:cs="Times New Roman"/>
                      <w:color w:val="000000"/>
                      <w:highlight w:val="none"/>
                      <w:lang w:val="en-US" w:eastAsia="zh-CN"/>
                    </w:rPr>
                    <w:t>总磷、总氮、色度</w:t>
                  </w:r>
                </w:p>
              </w:tc>
              <w:tc>
                <w:tcPr>
                  <w:tcW w:w="914" w:type="pct"/>
                  <w:vMerge w:val="restart"/>
                  <w:tcBorders>
                    <w:tl2br w:val="nil"/>
                    <w:tr2bl w:val="nil"/>
                  </w:tcBorders>
                  <w:shd w:val="clear" w:color="auto" w:fill="auto"/>
                  <w:noWrap w:val="0"/>
                  <w:vAlign w:val="center"/>
                </w:tcPr>
                <w:p w14:paraId="4ED12722">
                  <w:pPr>
                    <w:shd w:val="clear" w:color="auto" w:fill="auto"/>
                    <w:jc w:val="center"/>
                    <w:rPr>
                      <w:rFonts w:hint="eastAsia" w:ascii="Times New Roman" w:hAnsi="Times New Roman" w:eastAsia="宋体" w:cs="Times New Roman"/>
                      <w:bCs/>
                      <w:color w:val="000000"/>
                      <w:kern w:val="2"/>
                      <w:sz w:val="21"/>
                      <w:szCs w:val="21"/>
                      <w:highlight w:val="none"/>
                      <w:lang w:val="en-US" w:eastAsia="zh-CN" w:bidi="ar-SA"/>
                    </w:rPr>
                  </w:pPr>
                </w:p>
                <w:p w14:paraId="472C1F85">
                  <w:pPr>
                    <w:shd w:val="clear" w:color="auto" w:fill="auto"/>
                    <w:jc w:val="center"/>
                    <w:rPr>
                      <w:rFonts w:hint="default" w:ascii="Times New Roman" w:hAnsi="Times New Roman" w:eastAsia="宋体" w:cs="Times New Roman"/>
                      <w:bCs/>
                      <w:color w:val="000000"/>
                      <w:sz w:val="21"/>
                      <w:szCs w:val="21"/>
                      <w:highlight w:val="none"/>
                      <w:lang w:val="en-US" w:eastAsia="zh-CN"/>
                    </w:rPr>
                  </w:pPr>
                  <w:r>
                    <w:rPr>
                      <w:rFonts w:hint="eastAsia" w:ascii="Times New Roman" w:hAnsi="Times New Roman" w:cs="Times New Roman"/>
                      <w:bCs/>
                      <w:color w:val="000000"/>
                      <w:sz w:val="21"/>
                      <w:szCs w:val="21"/>
                      <w:highlight w:val="none"/>
                      <w:lang w:val="en-US" w:eastAsia="zh-CN"/>
                    </w:rPr>
                    <w:t>生活污水经隔油池、化粪池预处理后与生产废水均进入</w:t>
                  </w:r>
                  <w:r>
                    <w:rPr>
                      <w:rFonts w:hint="eastAsia" w:ascii="Times New Roman" w:hAnsi="Times New Roman" w:eastAsia="宋体" w:cs="Times New Roman"/>
                      <w:bCs/>
                      <w:color w:val="000000"/>
                      <w:kern w:val="2"/>
                      <w:sz w:val="21"/>
                      <w:szCs w:val="21"/>
                      <w:highlight w:val="none"/>
                      <w:lang w:val="en-US" w:eastAsia="zh-CN" w:bidi="ar-SA"/>
                    </w:rPr>
                    <w:t>一体化</w:t>
                  </w:r>
                  <w:r>
                    <w:rPr>
                      <w:rFonts w:hint="default" w:ascii="Times New Roman" w:hAnsi="Times New Roman" w:eastAsia="宋体" w:cs="Times New Roman"/>
                      <w:bCs/>
                      <w:color w:val="000000"/>
                      <w:kern w:val="2"/>
                      <w:sz w:val="21"/>
                      <w:szCs w:val="21"/>
                      <w:highlight w:val="none"/>
                      <w:lang w:val="en-US" w:eastAsia="zh-CN" w:bidi="ar-SA"/>
                    </w:rPr>
                    <w:t>污水处理站</w:t>
                  </w:r>
                  <w:r>
                    <w:rPr>
                      <w:rFonts w:hint="eastAsia" w:ascii="Times New Roman" w:hAnsi="Times New Roman" w:eastAsia="宋体" w:cs="Times New Roman"/>
                      <w:bCs/>
                      <w:color w:val="000000"/>
                      <w:kern w:val="2"/>
                      <w:sz w:val="21"/>
                      <w:szCs w:val="21"/>
                      <w:highlight w:val="none"/>
                      <w:lang w:val="en-US" w:eastAsia="zh-CN" w:bidi="ar-SA"/>
                    </w:rPr>
                    <w:t>处理</w:t>
                  </w:r>
                </w:p>
              </w:tc>
              <w:tc>
                <w:tcPr>
                  <w:tcW w:w="715" w:type="pct"/>
                  <w:vMerge w:val="restart"/>
                  <w:tcBorders>
                    <w:tl2br w:val="nil"/>
                    <w:tr2bl w:val="nil"/>
                  </w:tcBorders>
                  <w:shd w:val="clear" w:color="auto" w:fill="auto"/>
                  <w:noWrap w:val="0"/>
                  <w:vAlign w:val="center"/>
                </w:tcPr>
                <w:p w14:paraId="6A356FE0">
                  <w:pPr>
                    <w:shd w:val="clear" w:color="auto" w:fill="auto"/>
                    <w:jc w:val="center"/>
                    <w:rPr>
                      <w:rFonts w:hint="default"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eastAsia="宋体" w:cs="Times New Roman"/>
                      <w:bCs/>
                      <w:color w:val="000000"/>
                      <w:kern w:val="2"/>
                      <w:sz w:val="21"/>
                      <w:szCs w:val="21"/>
                      <w:highlight w:val="none"/>
                      <w:lang w:val="en-US" w:eastAsia="zh-CN" w:bidi="ar-SA"/>
                    </w:rPr>
                    <w:t>拉运至宝鸡天龙污水处理有限公司</w:t>
                  </w:r>
                </w:p>
              </w:tc>
            </w:tr>
            <w:tr w14:paraId="6A44E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477" w:type="pct"/>
                  <w:vMerge w:val="continue"/>
                  <w:tcBorders>
                    <w:tl2br w:val="nil"/>
                    <w:tr2bl w:val="nil"/>
                  </w:tcBorders>
                  <w:shd w:val="clear" w:color="auto" w:fill="auto"/>
                  <w:noWrap w:val="0"/>
                  <w:vAlign w:val="center"/>
                </w:tcPr>
                <w:p w14:paraId="06EE7901">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p>
              </w:tc>
              <w:tc>
                <w:tcPr>
                  <w:tcW w:w="1071" w:type="pct"/>
                  <w:vMerge w:val="continue"/>
                  <w:tcBorders>
                    <w:tl2br w:val="nil"/>
                    <w:tr2bl w:val="nil"/>
                  </w:tcBorders>
                  <w:shd w:val="clear" w:color="auto" w:fill="auto"/>
                  <w:noWrap w:val="0"/>
                  <w:vAlign w:val="center"/>
                </w:tcPr>
                <w:p w14:paraId="3886B7F7">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p>
              </w:tc>
              <w:tc>
                <w:tcPr>
                  <w:tcW w:w="902" w:type="pct"/>
                  <w:tcBorders>
                    <w:tl2br w:val="nil"/>
                    <w:tr2bl w:val="nil"/>
                  </w:tcBorders>
                  <w:shd w:val="clear" w:color="auto" w:fill="auto"/>
                  <w:noWrap w:val="0"/>
                  <w:vAlign w:val="center"/>
                </w:tcPr>
                <w:p w14:paraId="03565049">
                  <w:pPr>
                    <w:shd w:val="clear" w:color="auto" w:fill="auto"/>
                    <w:jc w:val="center"/>
                    <w:rPr>
                      <w:rFonts w:hint="default" w:ascii="Times New Roman" w:hAnsi="Times New Roman" w:cs="Times New Roman"/>
                      <w:bCs/>
                      <w:color w:val="000000"/>
                      <w:sz w:val="21"/>
                      <w:szCs w:val="21"/>
                      <w:highlight w:val="none"/>
                    </w:rPr>
                  </w:pPr>
                  <w:r>
                    <w:rPr>
                      <w:rFonts w:hint="default" w:ascii="Times New Roman" w:hAnsi="Times New Roman" w:cs="Times New Roman"/>
                      <w:color w:val="000000"/>
                      <w:highlight w:val="none"/>
                    </w:rPr>
                    <w:t>锅底水</w:t>
                  </w:r>
                </w:p>
              </w:tc>
              <w:tc>
                <w:tcPr>
                  <w:tcW w:w="917" w:type="pct"/>
                  <w:vMerge w:val="continue"/>
                  <w:tcBorders>
                    <w:tl2br w:val="nil"/>
                    <w:tr2bl w:val="nil"/>
                  </w:tcBorders>
                  <w:shd w:val="clear" w:color="auto" w:fill="auto"/>
                  <w:noWrap w:val="0"/>
                  <w:vAlign w:val="center"/>
                </w:tcPr>
                <w:p w14:paraId="39616F2C">
                  <w:pPr>
                    <w:shd w:val="clear" w:color="auto" w:fill="auto"/>
                    <w:jc w:val="center"/>
                    <w:rPr>
                      <w:rFonts w:hint="default" w:ascii="Times New Roman" w:hAnsi="Times New Roman" w:cs="Times New Roman"/>
                      <w:bCs/>
                      <w:color w:val="000000"/>
                      <w:sz w:val="21"/>
                      <w:szCs w:val="21"/>
                      <w:highlight w:val="none"/>
                    </w:rPr>
                  </w:pPr>
                </w:p>
              </w:tc>
              <w:tc>
                <w:tcPr>
                  <w:tcW w:w="914" w:type="pct"/>
                  <w:vMerge w:val="continue"/>
                  <w:tcBorders>
                    <w:tl2br w:val="nil"/>
                    <w:tr2bl w:val="nil"/>
                  </w:tcBorders>
                  <w:shd w:val="clear" w:color="auto" w:fill="auto"/>
                  <w:noWrap w:val="0"/>
                  <w:vAlign w:val="center"/>
                </w:tcPr>
                <w:p w14:paraId="174926E6">
                  <w:pPr>
                    <w:shd w:val="clear" w:color="auto" w:fill="auto"/>
                    <w:jc w:val="center"/>
                    <w:rPr>
                      <w:rFonts w:hint="default" w:ascii="Times New Roman" w:hAnsi="Times New Roman" w:cs="Times New Roman"/>
                      <w:bCs/>
                      <w:color w:val="000000"/>
                      <w:sz w:val="21"/>
                      <w:szCs w:val="21"/>
                      <w:highlight w:val="none"/>
                    </w:rPr>
                  </w:pPr>
                </w:p>
              </w:tc>
              <w:tc>
                <w:tcPr>
                  <w:tcW w:w="715" w:type="pct"/>
                  <w:vMerge w:val="continue"/>
                  <w:tcBorders>
                    <w:tl2br w:val="nil"/>
                    <w:tr2bl w:val="nil"/>
                  </w:tcBorders>
                  <w:shd w:val="clear" w:color="auto" w:fill="auto"/>
                  <w:noWrap w:val="0"/>
                  <w:vAlign w:val="center"/>
                </w:tcPr>
                <w:p w14:paraId="71EE971F">
                  <w:pPr>
                    <w:shd w:val="clear" w:color="auto" w:fill="auto"/>
                    <w:jc w:val="center"/>
                    <w:rPr>
                      <w:rFonts w:hint="default" w:ascii="Times New Roman" w:hAnsi="Times New Roman" w:cs="Times New Roman"/>
                      <w:bCs/>
                      <w:color w:val="000000"/>
                      <w:sz w:val="21"/>
                      <w:szCs w:val="21"/>
                      <w:highlight w:val="none"/>
                    </w:rPr>
                  </w:pPr>
                </w:p>
              </w:tc>
            </w:tr>
            <w:tr w14:paraId="3928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477" w:type="pct"/>
                  <w:vMerge w:val="continue"/>
                  <w:tcBorders>
                    <w:tl2br w:val="nil"/>
                    <w:tr2bl w:val="nil"/>
                  </w:tcBorders>
                  <w:shd w:val="clear" w:color="auto" w:fill="auto"/>
                  <w:noWrap w:val="0"/>
                  <w:vAlign w:val="center"/>
                </w:tcPr>
                <w:p w14:paraId="33D9C82C">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p>
              </w:tc>
              <w:tc>
                <w:tcPr>
                  <w:tcW w:w="1071" w:type="pct"/>
                  <w:vMerge w:val="continue"/>
                  <w:tcBorders>
                    <w:tl2br w:val="nil"/>
                    <w:tr2bl w:val="nil"/>
                  </w:tcBorders>
                  <w:shd w:val="clear" w:color="auto" w:fill="auto"/>
                  <w:noWrap w:val="0"/>
                  <w:vAlign w:val="center"/>
                </w:tcPr>
                <w:p w14:paraId="7396874C">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p>
              </w:tc>
              <w:tc>
                <w:tcPr>
                  <w:tcW w:w="902" w:type="pct"/>
                  <w:tcBorders>
                    <w:tl2br w:val="nil"/>
                    <w:tr2bl w:val="nil"/>
                  </w:tcBorders>
                  <w:shd w:val="clear" w:color="auto" w:fill="auto"/>
                  <w:noWrap w:val="0"/>
                  <w:vAlign w:val="center"/>
                </w:tcPr>
                <w:p w14:paraId="7971F018">
                  <w:pPr>
                    <w:shd w:val="clear" w:color="auto" w:fill="auto"/>
                    <w:jc w:val="center"/>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rPr>
                    <w:t>设备冲洗</w:t>
                  </w:r>
                  <w:r>
                    <w:rPr>
                      <w:rFonts w:hint="default" w:ascii="Times New Roman" w:hAnsi="Times New Roman" w:cs="Times New Roman"/>
                      <w:color w:val="000000"/>
                      <w:highlight w:val="none"/>
                      <w:lang w:val="en-US" w:eastAsia="zh-CN"/>
                    </w:rPr>
                    <w:t>废水</w:t>
                  </w:r>
                </w:p>
              </w:tc>
              <w:tc>
                <w:tcPr>
                  <w:tcW w:w="917" w:type="pct"/>
                  <w:tcBorders>
                    <w:tl2br w:val="nil"/>
                    <w:tr2bl w:val="nil"/>
                  </w:tcBorders>
                  <w:shd w:val="clear" w:color="auto" w:fill="auto"/>
                  <w:noWrap w:val="0"/>
                  <w:vAlign w:val="center"/>
                </w:tcPr>
                <w:p w14:paraId="13AE182C">
                  <w:pPr>
                    <w:shd w:val="clear" w:color="auto" w:fill="auto"/>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CODcr、BOD</w:t>
                  </w:r>
                  <w:r>
                    <w:rPr>
                      <w:rFonts w:hint="default" w:ascii="Times New Roman" w:hAnsi="Times New Roman" w:cs="Times New Roman"/>
                      <w:color w:val="000000"/>
                      <w:highlight w:val="none"/>
                      <w:vertAlign w:val="subscript"/>
                    </w:rPr>
                    <w:t>5</w:t>
                  </w:r>
                  <w:r>
                    <w:rPr>
                      <w:rFonts w:hint="default" w:ascii="Times New Roman" w:hAnsi="Times New Roman" w:cs="Times New Roman"/>
                      <w:color w:val="000000"/>
                      <w:highlight w:val="none"/>
                    </w:rPr>
                    <w:t>、氨氮、SS</w:t>
                  </w:r>
                </w:p>
              </w:tc>
              <w:tc>
                <w:tcPr>
                  <w:tcW w:w="914" w:type="pct"/>
                  <w:vMerge w:val="continue"/>
                  <w:tcBorders>
                    <w:tl2br w:val="nil"/>
                    <w:tr2bl w:val="nil"/>
                  </w:tcBorders>
                  <w:shd w:val="clear" w:color="auto" w:fill="auto"/>
                  <w:noWrap w:val="0"/>
                  <w:vAlign w:val="center"/>
                </w:tcPr>
                <w:p w14:paraId="46001D1D">
                  <w:pPr>
                    <w:shd w:val="clear" w:color="auto" w:fill="auto"/>
                    <w:jc w:val="center"/>
                    <w:rPr>
                      <w:rFonts w:hint="default" w:ascii="Times New Roman" w:hAnsi="Times New Roman" w:cs="Times New Roman"/>
                      <w:bCs/>
                      <w:color w:val="000000"/>
                      <w:sz w:val="21"/>
                      <w:szCs w:val="21"/>
                      <w:highlight w:val="none"/>
                    </w:rPr>
                  </w:pPr>
                </w:p>
              </w:tc>
              <w:tc>
                <w:tcPr>
                  <w:tcW w:w="715" w:type="pct"/>
                  <w:vMerge w:val="continue"/>
                  <w:tcBorders>
                    <w:tl2br w:val="nil"/>
                    <w:tr2bl w:val="nil"/>
                  </w:tcBorders>
                  <w:shd w:val="clear" w:color="auto" w:fill="auto"/>
                  <w:noWrap w:val="0"/>
                  <w:vAlign w:val="center"/>
                </w:tcPr>
                <w:p w14:paraId="35DE9D96">
                  <w:pPr>
                    <w:shd w:val="clear" w:color="auto" w:fill="auto"/>
                    <w:jc w:val="center"/>
                    <w:rPr>
                      <w:rFonts w:hint="default" w:ascii="Times New Roman" w:hAnsi="Times New Roman" w:cs="Times New Roman"/>
                      <w:bCs/>
                      <w:color w:val="000000"/>
                      <w:sz w:val="21"/>
                      <w:szCs w:val="21"/>
                      <w:highlight w:val="none"/>
                    </w:rPr>
                  </w:pPr>
                </w:p>
              </w:tc>
            </w:tr>
            <w:tr w14:paraId="4E3A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477" w:type="pct"/>
                  <w:vMerge w:val="continue"/>
                  <w:tcBorders>
                    <w:tl2br w:val="nil"/>
                    <w:tr2bl w:val="nil"/>
                  </w:tcBorders>
                  <w:shd w:val="clear" w:color="auto" w:fill="auto"/>
                  <w:noWrap w:val="0"/>
                  <w:vAlign w:val="center"/>
                </w:tcPr>
                <w:p w14:paraId="20ABE112">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p>
              </w:tc>
              <w:tc>
                <w:tcPr>
                  <w:tcW w:w="1071" w:type="pct"/>
                  <w:vMerge w:val="continue"/>
                  <w:tcBorders>
                    <w:tl2br w:val="nil"/>
                    <w:tr2bl w:val="nil"/>
                  </w:tcBorders>
                  <w:shd w:val="clear" w:color="auto" w:fill="auto"/>
                  <w:noWrap w:val="0"/>
                  <w:vAlign w:val="center"/>
                </w:tcPr>
                <w:p w14:paraId="2E5EE24D">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p>
              </w:tc>
              <w:tc>
                <w:tcPr>
                  <w:tcW w:w="902" w:type="pct"/>
                  <w:tcBorders>
                    <w:tl2br w:val="nil"/>
                    <w:tr2bl w:val="nil"/>
                  </w:tcBorders>
                  <w:shd w:val="clear" w:color="auto" w:fill="auto"/>
                  <w:noWrap w:val="0"/>
                  <w:vAlign w:val="center"/>
                </w:tcPr>
                <w:p w14:paraId="6403E21D">
                  <w:pPr>
                    <w:shd w:val="clear" w:color="auto" w:fill="auto"/>
                    <w:jc w:val="center"/>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rPr>
                    <w:t>地面冲洗废水</w:t>
                  </w:r>
                </w:p>
              </w:tc>
              <w:tc>
                <w:tcPr>
                  <w:tcW w:w="917" w:type="pct"/>
                  <w:tcBorders>
                    <w:tl2br w:val="nil"/>
                    <w:tr2bl w:val="nil"/>
                  </w:tcBorders>
                  <w:shd w:val="clear" w:color="auto" w:fill="auto"/>
                  <w:noWrap w:val="0"/>
                  <w:vAlign w:val="center"/>
                </w:tcPr>
                <w:p w14:paraId="532241AF">
                  <w:pPr>
                    <w:shd w:val="clear" w:color="auto" w:fill="auto"/>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CODcr</w:t>
                  </w:r>
                  <w:r>
                    <w:rPr>
                      <w:rFonts w:hint="eastAsia"/>
                      <w:lang w:eastAsia="zh-CN"/>
                    </w:rPr>
                    <w:t>、</w:t>
                  </w:r>
                  <w:r>
                    <w:rPr>
                      <w:rFonts w:hint="default" w:ascii="Times New Roman" w:hAnsi="Times New Roman" w:cs="Times New Roman"/>
                      <w:color w:val="000000"/>
                      <w:highlight w:val="none"/>
                    </w:rPr>
                    <w:t>BOD</w:t>
                  </w:r>
                  <w:r>
                    <w:rPr>
                      <w:rFonts w:hint="default" w:ascii="Times New Roman" w:hAnsi="Times New Roman" w:cs="Times New Roman"/>
                      <w:color w:val="000000"/>
                      <w:highlight w:val="none"/>
                      <w:vertAlign w:val="subscript"/>
                    </w:rPr>
                    <w:t>5</w:t>
                  </w:r>
                  <w:r>
                    <w:rPr>
                      <w:rFonts w:hint="default" w:ascii="Times New Roman" w:hAnsi="Times New Roman" w:cs="Times New Roman"/>
                      <w:color w:val="000000"/>
                      <w:highlight w:val="none"/>
                    </w:rPr>
                    <w:t>、氨氮、SS</w:t>
                  </w:r>
                </w:p>
              </w:tc>
              <w:tc>
                <w:tcPr>
                  <w:tcW w:w="914" w:type="pct"/>
                  <w:vMerge w:val="continue"/>
                  <w:tcBorders>
                    <w:tl2br w:val="nil"/>
                    <w:tr2bl w:val="nil"/>
                  </w:tcBorders>
                  <w:shd w:val="clear" w:color="auto" w:fill="auto"/>
                  <w:noWrap w:val="0"/>
                  <w:vAlign w:val="center"/>
                </w:tcPr>
                <w:p w14:paraId="28797FB2">
                  <w:pPr>
                    <w:shd w:val="clear" w:color="auto" w:fill="auto"/>
                    <w:jc w:val="center"/>
                    <w:rPr>
                      <w:rFonts w:hint="default" w:ascii="Times New Roman" w:hAnsi="Times New Roman" w:cs="Times New Roman"/>
                      <w:bCs/>
                      <w:color w:val="000000"/>
                      <w:sz w:val="21"/>
                      <w:szCs w:val="21"/>
                      <w:highlight w:val="none"/>
                    </w:rPr>
                  </w:pPr>
                </w:p>
              </w:tc>
              <w:tc>
                <w:tcPr>
                  <w:tcW w:w="715" w:type="pct"/>
                  <w:vMerge w:val="continue"/>
                  <w:tcBorders>
                    <w:tl2br w:val="nil"/>
                    <w:tr2bl w:val="nil"/>
                  </w:tcBorders>
                  <w:shd w:val="clear" w:color="auto" w:fill="auto"/>
                  <w:noWrap w:val="0"/>
                  <w:vAlign w:val="center"/>
                </w:tcPr>
                <w:p w14:paraId="3997266C">
                  <w:pPr>
                    <w:shd w:val="clear" w:color="auto" w:fill="auto"/>
                    <w:jc w:val="center"/>
                    <w:rPr>
                      <w:rFonts w:hint="default" w:ascii="Times New Roman" w:hAnsi="Times New Roman" w:cs="Times New Roman"/>
                      <w:bCs/>
                      <w:color w:val="000000"/>
                      <w:sz w:val="21"/>
                      <w:szCs w:val="21"/>
                      <w:highlight w:val="none"/>
                    </w:rPr>
                  </w:pPr>
                </w:p>
              </w:tc>
            </w:tr>
            <w:tr w14:paraId="6463E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7" w:type="pct"/>
                  <w:vMerge w:val="continue"/>
                  <w:tcBorders>
                    <w:tl2br w:val="nil"/>
                    <w:tr2bl w:val="nil"/>
                  </w:tcBorders>
                  <w:shd w:val="clear" w:color="auto" w:fill="auto"/>
                  <w:noWrap w:val="0"/>
                  <w:vAlign w:val="center"/>
                </w:tcPr>
                <w:p w14:paraId="3B7E45FF">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p>
              </w:tc>
              <w:tc>
                <w:tcPr>
                  <w:tcW w:w="1071" w:type="pct"/>
                  <w:vMerge w:val="restart"/>
                  <w:tcBorders>
                    <w:tl2br w:val="nil"/>
                    <w:tr2bl w:val="nil"/>
                  </w:tcBorders>
                  <w:shd w:val="clear" w:color="auto" w:fill="auto"/>
                  <w:noWrap w:val="0"/>
                  <w:vAlign w:val="center"/>
                </w:tcPr>
                <w:p w14:paraId="757A2EFE">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灌装车间</w:t>
                  </w:r>
                </w:p>
              </w:tc>
              <w:tc>
                <w:tcPr>
                  <w:tcW w:w="902" w:type="pct"/>
                  <w:tcBorders>
                    <w:tl2br w:val="nil"/>
                    <w:tr2bl w:val="nil"/>
                  </w:tcBorders>
                  <w:shd w:val="clear" w:color="auto" w:fill="auto"/>
                  <w:noWrap w:val="0"/>
                  <w:vAlign w:val="center"/>
                </w:tcPr>
                <w:p w14:paraId="3F838771">
                  <w:pPr>
                    <w:shd w:val="clear" w:color="auto" w:fill="auto"/>
                    <w:jc w:val="center"/>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rPr>
                    <w:t>洗瓶废水</w:t>
                  </w:r>
                </w:p>
              </w:tc>
              <w:tc>
                <w:tcPr>
                  <w:tcW w:w="917" w:type="pct"/>
                  <w:tcBorders>
                    <w:tl2br w:val="nil"/>
                    <w:tr2bl w:val="nil"/>
                  </w:tcBorders>
                  <w:shd w:val="clear" w:color="auto" w:fill="auto"/>
                  <w:noWrap w:val="0"/>
                  <w:vAlign w:val="center"/>
                </w:tcPr>
                <w:p w14:paraId="061A7E1E">
                  <w:pPr>
                    <w:shd w:val="clear" w:color="auto" w:fill="auto"/>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CODcr</w:t>
                  </w:r>
                  <w:r>
                    <w:rPr>
                      <w:rFonts w:hint="eastAsia" w:cs="Times New Roman"/>
                      <w:color w:val="000000"/>
                      <w:highlight w:val="none"/>
                      <w:lang w:eastAsia="zh-CN"/>
                    </w:rPr>
                    <w:t>、</w:t>
                  </w:r>
                  <w:r>
                    <w:rPr>
                      <w:rFonts w:hint="default" w:ascii="Times New Roman" w:hAnsi="Times New Roman" w:cs="Times New Roman"/>
                      <w:color w:val="000000"/>
                      <w:highlight w:val="none"/>
                    </w:rPr>
                    <w:t>BOD</w:t>
                  </w:r>
                  <w:r>
                    <w:rPr>
                      <w:rFonts w:hint="default" w:ascii="Times New Roman" w:hAnsi="Times New Roman" w:cs="Times New Roman"/>
                      <w:color w:val="000000"/>
                      <w:highlight w:val="none"/>
                      <w:vertAlign w:val="subscript"/>
                    </w:rPr>
                    <w:t>5</w:t>
                  </w:r>
                  <w:r>
                    <w:rPr>
                      <w:rFonts w:hint="default" w:ascii="Times New Roman" w:hAnsi="Times New Roman" w:cs="Times New Roman"/>
                      <w:color w:val="000000"/>
                      <w:highlight w:val="none"/>
                    </w:rPr>
                    <w:t>、氨氮、SS</w:t>
                  </w:r>
                </w:p>
              </w:tc>
              <w:tc>
                <w:tcPr>
                  <w:tcW w:w="914" w:type="pct"/>
                  <w:vMerge w:val="continue"/>
                  <w:tcBorders>
                    <w:tl2br w:val="nil"/>
                    <w:tr2bl w:val="nil"/>
                  </w:tcBorders>
                  <w:shd w:val="clear" w:color="auto" w:fill="auto"/>
                  <w:noWrap w:val="0"/>
                  <w:vAlign w:val="center"/>
                </w:tcPr>
                <w:p w14:paraId="169458DB">
                  <w:pPr>
                    <w:shd w:val="clear" w:color="auto" w:fill="auto"/>
                    <w:jc w:val="center"/>
                    <w:rPr>
                      <w:rFonts w:hint="default" w:ascii="Times New Roman" w:hAnsi="Times New Roman" w:cs="Times New Roman"/>
                      <w:bCs/>
                      <w:color w:val="000000"/>
                      <w:sz w:val="21"/>
                      <w:szCs w:val="21"/>
                      <w:highlight w:val="none"/>
                    </w:rPr>
                  </w:pPr>
                </w:p>
              </w:tc>
              <w:tc>
                <w:tcPr>
                  <w:tcW w:w="715" w:type="pct"/>
                  <w:vMerge w:val="continue"/>
                  <w:tcBorders>
                    <w:tl2br w:val="nil"/>
                    <w:tr2bl w:val="nil"/>
                  </w:tcBorders>
                  <w:shd w:val="clear" w:color="auto" w:fill="auto"/>
                  <w:noWrap w:val="0"/>
                  <w:vAlign w:val="center"/>
                </w:tcPr>
                <w:p w14:paraId="4A633E29">
                  <w:pPr>
                    <w:shd w:val="clear" w:color="auto" w:fill="auto"/>
                    <w:jc w:val="center"/>
                    <w:rPr>
                      <w:rFonts w:hint="default" w:ascii="Times New Roman" w:hAnsi="Times New Roman" w:cs="Times New Roman"/>
                      <w:bCs/>
                      <w:color w:val="000000"/>
                      <w:sz w:val="21"/>
                      <w:szCs w:val="21"/>
                      <w:highlight w:val="none"/>
                    </w:rPr>
                  </w:pPr>
                </w:p>
              </w:tc>
            </w:tr>
            <w:tr w14:paraId="011C6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7" w:type="pct"/>
                  <w:vMerge w:val="continue"/>
                  <w:tcBorders>
                    <w:tl2br w:val="nil"/>
                    <w:tr2bl w:val="nil"/>
                  </w:tcBorders>
                  <w:shd w:val="clear" w:color="auto" w:fill="auto"/>
                  <w:noWrap w:val="0"/>
                  <w:vAlign w:val="center"/>
                </w:tcPr>
                <w:p w14:paraId="40FF3D44">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p>
              </w:tc>
              <w:tc>
                <w:tcPr>
                  <w:tcW w:w="1071" w:type="pct"/>
                  <w:vMerge w:val="continue"/>
                  <w:tcBorders>
                    <w:tl2br w:val="nil"/>
                    <w:tr2bl w:val="nil"/>
                  </w:tcBorders>
                  <w:shd w:val="clear" w:color="auto" w:fill="auto"/>
                  <w:noWrap w:val="0"/>
                  <w:vAlign w:val="center"/>
                </w:tcPr>
                <w:p w14:paraId="064B6253">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p>
              </w:tc>
              <w:tc>
                <w:tcPr>
                  <w:tcW w:w="902" w:type="pct"/>
                  <w:tcBorders>
                    <w:tl2br w:val="nil"/>
                    <w:tr2bl w:val="nil"/>
                  </w:tcBorders>
                  <w:shd w:val="clear" w:color="auto" w:fill="auto"/>
                  <w:noWrap w:val="0"/>
                  <w:vAlign w:val="center"/>
                </w:tcPr>
                <w:p w14:paraId="3FA5AE19">
                  <w:pPr>
                    <w:shd w:val="clear" w:color="auto" w:fill="auto"/>
                    <w:jc w:val="center"/>
                    <w:rPr>
                      <w:rFonts w:hint="default" w:ascii="Times New Roman" w:hAnsi="Times New Roman" w:cs="Times New Roman"/>
                      <w:color w:val="000000"/>
                      <w:highlight w:val="none"/>
                      <w:lang w:val="en-US" w:eastAsia="zh-CN"/>
                    </w:rPr>
                  </w:pPr>
                  <w:r>
                    <w:rPr>
                      <w:rFonts w:hint="eastAsia" w:ascii="Times New Roman" w:hAnsi="Times New Roman" w:cs="Times New Roman"/>
                      <w:color w:val="000000"/>
                      <w:highlight w:val="none"/>
                      <w:lang w:val="en-US" w:eastAsia="zh-CN"/>
                    </w:rPr>
                    <w:t>纯水制备浓水</w:t>
                  </w:r>
                </w:p>
              </w:tc>
              <w:tc>
                <w:tcPr>
                  <w:tcW w:w="917" w:type="pct"/>
                  <w:tcBorders>
                    <w:tl2br w:val="nil"/>
                    <w:tr2bl w:val="nil"/>
                  </w:tcBorders>
                  <w:shd w:val="clear" w:color="auto" w:fill="auto"/>
                  <w:noWrap w:val="0"/>
                  <w:vAlign w:val="center"/>
                </w:tcPr>
                <w:p w14:paraId="6BBB3AB7">
                  <w:pPr>
                    <w:shd w:val="clear" w:color="auto" w:fill="auto"/>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SS</w:t>
                  </w:r>
                  <w:r>
                    <w:rPr>
                      <w:rFonts w:hint="eastAsia" w:cs="Times New Roman"/>
                      <w:color w:val="000000"/>
                      <w:highlight w:val="none"/>
                      <w:lang w:eastAsia="zh-CN"/>
                    </w:rPr>
                    <w:t>、</w:t>
                  </w:r>
                  <w:r>
                    <w:rPr>
                      <w:rFonts w:hint="eastAsia" w:ascii="Times New Roman" w:hAnsi="Times New Roman" w:cs="Times New Roman"/>
                      <w:color w:val="000000"/>
                      <w:highlight w:val="none"/>
                      <w:lang w:val="en-US" w:eastAsia="zh-CN"/>
                    </w:rPr>
                    <w:t>溶解性总固体（全盐量）</w:t>
                  </w:r>
                </w:p>
              </w:tc>
              <w:tc>
                <w:tcPr>
                  <w:tcW w:w="914" w:type="pct"/>
                  <w:vMerge w:val="continue"/>
                  <w:tcBorders>
                    <w:tl2br w:val="nil"/>
                    <w:tr2bl w:val="nil"/>
                  </w:tcBorders>
                  <w:shd w:val="clear" w:color="auto" w:fill="auto"/>
                  <w:noWrap w:val="0"/>
                  <w:vAlign w:val="center"/>
                </w:tcPr>
                <w:p w14:paraId="02A1DBBB">
                  <w:pPr>
                    <w:shd w:val="clear" w:color="auto" w:fill="auto"/>
                    <w:jc w:val="center"/>
                    <w:rPr>
                      <w:rFonts w:hint="default" w:ascii="Times New Roman" w:hAnsi="Times New Roman" w:cs="Times New Roman"/>
                      <w:bCs/>
                      <w:color w:val="000000"/>
                      <w:sz w:val="21"/>
                      <w:szCs w:val="21"/>
                      <w:highlight w:val="none"/>
                    </w:rPr>
                  </w:pPr>
                </w:p>
              </w:tc>
              <w:tc>
                <w:tcPr>
                  <w:tcW w:w="715" w:type="pct"/>
                  <w:vMerge w:val="continue"/>
                  <w:tcBorders>
                    <w:tl2br w:val="nil"/>
                    <w:tr2bl w:val="nil"/>
                  </w:tcBorders>
                  <w:shd w:val="clear" w:color="auto" w:fill="auto"/>
                  <w:noWrap w:val="0"/>
                  <w:vAlign w:val="center"/>
                </w:tcPr>
                <w:p w14:paraId="311046E2">
                  <w:pPr>
                    <w:shd w:val="clear" w:color="auto" w:fill="auto"/>
                    <w:jc w:val="center"/>
                    <w:rPr>
                      <w:rFonts w:hint="default" w:ascii="Times New Roman" w:hAnsi="Times New Roman" w:cs="Times New Roman"/>
                      <w:bCs/>
                      <w:color w:val="000000"/>
                      <w:sz w:val="21"/>
                      <w:szCs w:val="21"/>
                      <w:highlight w:val="none"/>
                    </w:rPr>
                  </w:pPr>
                </w:p>
              </w:tc>
            </w:tr>
            <w:tr w14:paraId="73734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477" w:type="pct"/>
                  <w:vMerge w:val="continue"/>
                  <w:tcBorders>
                    <w:tl2br w:val="nil"/>
                    <w:tr2bl w:val="nil"/>
                  </w:tcBorders>
                  <w:shd w:val="clear" w:color="auto" w:fill="auto"/>
                  <w:noWrap w:val="0"/>
                  <w:vAlign w:val="center"/>
                </w:tcPr>
                <w:p w14:paraId="46D8E5E1">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p>
              </w:tc>
              <w:tc>
                <w:tcPr>
                  <w:tcW w:w="1071" w:type="pct"/>
                  <w:vMerge w:val="continue"/>
                  <w:tcBorders>
                    <w:tl2br w:val="nil"/>
                    <w:tr2bl w:val="nil"/>
                  </w:tcBorders>
                  <w:shd w:val="clear" w:color="auto" w:fill="auto"/>
                  <w:noWrap w:val="0"/>
                  <w:vAlign w:val="center"/>
                </w:tcPr>
                <w:p w14:paraId="16758641">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p>
              </w:tc>
              <w:tc>
                <w:tcPr>
                  <w:tcW w:w="902" w:type="pct"/>
                  <w:tcBorders>
                    <w:tl2br w:val="nil"/>
                    <w:tr2bl w:val="nil"/>
                  </w:tcBorders>
                  <w:shd w:val="clear" w:color="auto" w:fill="auto"/>
                  <w:noWrap w:val="0"/>
                  <w:vAlign w:val="center"/>
                </w:tcPr>
                <w:p w14:paraId="0A825C0E">
                  <w:pPr>
                    <w:shd w:val="clear" w:color="auto" w:fill="auto"/>
                    <w:jc w:val="center"/>
                    <w:rPr>
                      <w:rFonts w:hint="default" w:ascii="Times New Roman" w:hAnsi="Times New Roman" w:cs="Times New Roman"/>
                      <w:color w:val="000000"/>
                      <w:highlight w:val="none"/>
                      <w:lang w:val="en-US" w:eastAsia="zh-CN"/>
                    </w:rPr>
                  </w:pPr>
                  <w:r>
                    <w:rPr>
                      <w:rFonts w:hint="eastAsia" w:ascii="Times New Roman" w:hAnsi="Times New Roman" w:cs="Times New Roman"/>
                      <w:color w:val="000000"/>
                      <w:highlight w:val="none"/>
                      <w:lang w:val="en-US" w:eastAsia="zh-CN"/>
                    </w:rPr>
                    <w:t>纯水机反冲洗废水</w:t>
                  </w:r>
                </w:p>
              </w:tc>
              <w:tc>
                <w:tcPr>
                  <w:tcW w:w="917" w:type="pct"/>
                  <w:tcBorders>
                    <w:tl2br w:val="nil"/>
                    <w:tr2bl w:val="nil"/>
                  </w:tcBorders>
                  <w:shd w:val="clear" w:color="auto" w:fill="auto"/>
                  <w:noWrap w:val="0"/>
                  <w:vAlign w:val="center"/>
                </w:tcPr>
                <w:p w14:paraId="26901E92">
                  <w:pPr>
                    <w:shd w:val="clear" w:color="auto" w:fill="auto"/>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SS</w:t>
                  </w:r>
                  <w:r>
                    <w:rPr>
                      <w:rFonts w:hint="eastAsia" w:ascii="Times New Roman" w:hAnsi="Times New Roman" w:cs="Times New Roman"/>
                      <w:color w:val="000000"/>
                      <w:highlight w:val="none"/>
                      <w:lang w:eastAsia="zh-CN"/>
                    </w:rPr>
                    <w:t>、</w:t>
                  </w:r>
                  <w:r>
                    <w:rPr>
                      <w:rFonts w:hint="eastAsia" w:ascii="Times New Roman" w:hAnsi="Times New Roman" w:cs="Times New Roman"/>
                      <w:color w:val="000000"/>
                      <w:highlight w:val="none"/>
                      <w:lang w:val="en-US" w:eastAsia="zh-CN"/>
                    </w:rPr>
                    <w:t>溶解性总固体（全盐量）</w:t>
                  </w:r>
                </w:p>
              </w:tc>
              <w:tc>
                <w:tcPr>
                  <w:tcW w:w="914" w:type="pct"/>
                  <w:vMerge w:val="continue"/>
                  <w:tcBorders>
                    <w:tl2br w:val="nil"/>
                    <w:tr2bl w:val="nil"/>
                  </w:tcBorders>
                  <w:shd w:val="clear" w:color="auto" w:fill="auto"/>
                  <w:noWrap w:val="0"/>
                  <w:vAlign w:val="center"/>
                </w:tcPr>
                <w:p w14:paraId="3F34ED01">
                  <w:pPr>
                    <w:shd w:val="clear" w:color="auto" w:fill="auto"/>
                    <w:jc w:val="center"/>
                    <w:rPr>
                      <w:rFonts w:hint="default" w:ascii="Times New Roman" w:hAnsi="Times New Roman" w:cs="Times New Roman"/>
                      <w:bCs/>
                      <w:color w:val="000000"/>
                      <w:sz w:val="21"/>
                      <w:szCs w:val="21"/>
                      <w:highlight w:val="none"/>
                    </w:rPr>
                  </w:pPr>
                </w:p>
              </w:tc>
              <w:tc>
                <w:tcPr>
                  <w:tcW w:w="715" w:type="pct"/>
                  <w:vMerge w:val="continue"/>
                  <w:tcBorders>
                    <w:tl2br w:val="nil"/>
                    <w:tr2bl w:val="nil"/>
                  </w:tcBorders>
                  <w:shd w:val="clear" w:color="auto" w:fill="auto"/>
                  <w:noWrap w:val="0"/>
                  <w:vAlign w:val="center"/>
                </w:tcPr>
                <w:p w14:paraId="767DC61D">
                  <w:pPr>
                    <w:shd w:val="clear" w:color="auto" w:fill="auto"/>
                    <w:jc w:val="center"/>
                    <w:rPr>
                      <w:rFonts w:hint="default" w:ascii="Times New Roman" w:hAnsi="Times New Roman" w:cs="Times New Roman"/>
                      <w:bCs/>
                      <w:color w:val="000000"/>
                      <w:sz w:val="21"/>
                      <w:szCs w:val="21"/>
                      <w:highlight w:val="none"/>
                    </w:rPr>
                  </w:pPr>
                </w:p>
              </w:tc>
            </w:tr>
            <w:tr w14:paraId="588A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477" w:type="pct"/>
                  <w:vMerge w:val="continue"/>
                  <w:tcBorders>
                    <w:tl2br w:val="nil"/>
                    <w:tr2bl w:val="nil"/>
                  </w:tcBorders>
                  <w:shd w:val="clear" w:color="auto" w:fill="auto"/>
                  <w:noWrap w:val="0"/>
                  <w:vAlign w:val="center"/>
                </w:tcPr>
                <w:p w14:paraId="43F06AC5">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p>
              </w:tc>
              <w:tc>
                <w:tcPr>
                  <w:tcW w:w="1071" w:type="pct"/>
                  <w:vMerge w:val="restart"/>
                  <w:tcBorders>
                    <w:tl2br w:val="nil"/>
                    <w:tr2bl w:val="nil"/>
                  </w:tcBorders>
                  <w:shd w:val="clear" w:color="auto" w:fill="auto"/>
                  <w:noWrap w:val="0"/>
                  <w:vAlign w:val="center"/>
                </w:tcPr>
                <w:p w14:paraId="0EC239E8">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锅炉房</w:t>
                  </w:r>
                </w:p>
              </w:tc>
              <w:tc>
                <w:tcPr>
                  <w:tcW w:w="902" w:type="pct"/>
                  <w:tcBorders>
                    <w:tl2br w:val="nil"/>
                    <w:tr2bl w:val="nil"/>
                  </w:tcBorders>
                  <w:shd w:val="clear" w:color="auto" w:fill="auto"/>
                  <w:noWrap w:val="0"/>
                  <w:vAlign w:val="center"/>
                </w:tcPr>
                <w:p w14:paraId="7C1A881A">
                  <w:pPr>
                    <w:shd w:val="clear" w:color="auto" w:fill="auto"/>
                    <w:jc w:val="center"/>
                    <w:rPr>
                      <w:rFonts w:hint="default" w:ascii="Times New Roman" w:hAnsi="Times New Roman" w:cs="Times New Roman"/>
                      <w:color w:val="000000"/>
                      <w:highlight w:val="none"/>
                    </w:rPr>
                  </w:pPr>
                  <w:r>
                    <w:rPr>
                      <w:rFonts w:hint="default" w:ascii="Times New Roman" w:hAnsi="Times New Roman" w:cs="Times New Roman"/>
                      <w:color w:val="000000"/>
                      <w:highlight w:val="none"/>
                    </w:rPr>
                    <w:t>锅炉排水</w:t>
                  </w:r>
                </w:p>
              </w:tc>
              <w:tc>
                <w:tcPr>
                  <w:tcW w:w="917" w:type="pct"/>
                  <w:vMerge w:val="restart"/>
                  <w:tcBorders>
                    <w:tl2br w:val="nil"/>
                    <w:tr2bl w:val="nil"/>
                  </w:tcBorders>
                  <w:shd w:val="clear" w:color="auto" w:fill="auto"/>
                  <w:noWrap w:val="0"/>
                  <w:vAlign w:val="center"/>
                </w:tcPr>
                <w:p w14:paraId="18BB2B51">
                  <w:pPr>
                    <w:shd w:val="clear" w:color="auto" w:fill="auto"/>
                    <w:jc w:val="center"/>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rPr>
                    <w:t>pH</w:t>
                  </w:r>
                  <w:r>
                    <w:rPr>
                      <w:rFonts w:hint="eastAsia" w:cs="Times New Roman"/>
                      <w:color w:val="000000"/>
                      <w:highlight w:val="none"/>
                      <w:lang w:val="en-US" w:eastAsia="zh-CN"/>
                    </w:rPr>
                    <w:t>值</w:t>
                  </w:r>
                  <w:r>
                    <w:rPr>
                      <w:rFonts w:hint="default" w:ascii="Times New Roman" w:hAnsi="Times New Roman" w:cs="Times New Roman"/>
                      <w:color w:val="000000"/>
                      <w:highlight w:val="none"/>
                      <w:lang w:val="en-US" w:eastAsia="zh-CN"/>
                    </w:rPr>
                    <w:t>、化学需氧量</w:t>
                  </w:r>
                  <w:r>
                    <w:rPr>
                      <w:rFonts w:hint="eastAsia" w:ascii="Times New Roman" w:hAnsi="Times New Roman" w:cs="Times New Roman"/>
                      <w:color w:val="000000"/>
                      <w:highlight w:val="none"/>
                      <w:lang w:val="en-US" w:eastAsia="zh-CN"/>
                    </w:rPr>
                    <w:t>、</w:t>
                  </w:r>
                  <w:r>
                    <w:rPr>
                      <w:rFonts w:hint="default" w:ascii="Times New Roman" w:hAnsi="Times New Roman" w:cs="Times New Roman"/>
                      <w:color w:val="000000"/>
                      <w:highlight w:val="none"/>
                    </w:rPr>
                    <w:t>SS</w:t>
                  </w:r>
                  <w:r>
                    <w:rPr>
                      <w:rFonts w:hint="eastAsia" w:ascii="Times New Roman" w:hAnsi="Times New Roman" w:cs="Times New Roman"/>
                      <w:color w:val="000000"/>
                      <w:highlight w:val="none"/>
                      <w:lang w:eastAsia="zh-CN"/>
                    </w:rPr>
                    <w:t>、</w:t>
                  </w:r>
                  <w:r>
                    <w:rPr>
                      <w:rFonts w:hint="eastAsia" w:ascii="Times New Roman" w:hAnsi="Times New Roman" w:cs="Times New Roman"/>
                      <w:color w:val="000000"/>
                      <w:highlight w:val="none"/>
                      <w:lang w:val="en-US" w:eastAsia="zh-CN"/>
                    </w:rPr>
                    <w:t>溶解性总固体（全盐量）</w:t>
                  </w:r>
                </w:p>
              </w:tc>
              <w:tc>
                <w:tcPr>
                  <w:tcW w:w="914" w:type="pct"/>
                  <w:vMerge w:val="continue"/>
                  <w:tcBorders>
                    <w:tl2br w:val="nil"/>
                    <w:tr2bl w:val="nil"/>
                  </w:tcBorders>
                  <w:shd w:val="clear" w:color="auto" w:fill="auto"/>
                  <w:noWrap w:val="0"/>
                  <w:vAlign w:val="center"/>
                </w:tcPr>
                <w:p w14:paraId="34C6DAED">
                  <w:pPr>
                    <w:shd w:val="clear" w:color="auto" w:fill="auto"/>
                    <w:jc w:val="center"/>
                    <w:rPr>
                      <w:rFonts w:hint="default" w:ascii="Times New Roman" w:hAnsi="Times New Roman" w:cs="Times New Roman"/>
                      <w:bCs/>
                      <w:color w:val="000000"/>
                      <w:sz w:val="21"/>
                      <w:szCs w:val="21"/>
                      <w:highlight w:val="none"/>
                    </w:rPr>
                  </w:pPr>
                </w:p>
              </w:tc>
              <w:tc>
                <w:tcPr>
                  <w:tcW w:w="715" w:type="pct"/>
                  <w:vMerge w:val="continue"/>
                  <w:tcBorders>
                    <w:tl2br w:val="nil"/>
                    <w:tr2bl w:val="nil"/>
                  </w:tcBorders>
                  <w:shd w:val="clear" w:color="auto" w:fill="auto"/>
                  <w:noWrap w:val="0"/>
                  <w:vAlign w:val="center"/>
                </w:tcPr>
                <w:p w14:paraId="3F7AA0F4">
                  <w:pPr>
                    <w:shd w:val="clear" w:color="auto" w:fill="auto"/>
                    <w:jc w:val="center"/>
                    <w:rPr>
                      <w:rFonts w:hint="default" w:ascii="Times New Roman" w:hAnsi="Times New Roman" w:cs="Times New Roman"/>
                      <w:bCs/>
                      <w:color w:val="000000"/>
                      <w:sz w:val="21"/>
                      <w:szCs w:val="21"/>
                      <w:highlight w:val="none"/>
                    </w:rPr>
                  </w:pPr>
                </w:p>
              </w:tc>
            </w:tr>
            <w:tr w14:paraId="55A73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7" w:type="pct"/>
                  <w:vMerge w:val="continue"/>
                  <w:tcBorders>
                    <w:tl2br w:val="nil"/>
                    <w:tr2bl w:val="nil"/>
                  </w:tcBorders>
                  <w:shd w:val="clear" w:color="auto" w:fill="auto"/>
                  <w:noWrap w:val="0"/>
                  <w:vAlign w:val="center"/>
                </w:tcPr>
                <w:p w14:paraId="297E0205">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p>
              </w:tc>
              <w:tc>
                <w:tcPr>
                  <w:tcW w:w="1071" w:type="pct"/>
                  <w:vMerge w:val="continue"/>
                  <w:tcBorders>
                    <w:tl2br w:val="nil"/>
                    <w:tr2bl w:val="nil"/>
                  </w:tcBorders>
                  <w:shd w:val="clear" w:color="auto" w:fill="auto"/>
                  <w:noWrap w:val="0"/>
                  <w:vAlign w:val="center"/>
                </w:tcPr>
                <w:p w14:paraId="1F5B9F0B">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p>
              </w:tc>
              <w:tc>
                <w:tcPr>
                  <w:tcW w:w="902" w:type="pct"/>
                  <w:tcBorders>
                    <w:tl2br w:val="nil"/>
                    <w:tr2bl w:val="nil"/>
                  </w:tcBorders>
                  <w:shd w:val="clear" w:color="auto" w:fill="auto"/>
                  <w:noWrap w:val="0"/>
                  <w:vAlign w:val="center"/>
                </w:tcPr>
                <w:p w14:paraId="066DCB77">
                  <w:pPr>
                    <w:shd w:val="clear" w:color="auto" w:fill="auto"/>
                    <w:jc w:val="center"/>
                    <w:rPr>
                      <w:rFonts w:hint="default" w:ascii="Times New Roman" w:hAnsi="Times New Roman" w:eastAsia="宋体" w:cs="Times New Roman"/>
                      <w:color w:val="000000"/>
                      <w:highlight w:val="none"/>
                      <w:lang w:val="en-US" w:eastAsia="zh-CN"/>
                    </w:rPr>
                  </w:pPr>
                  <w:r>
                    <w:rPr>
                      <w:rFonts w:hint="eastAsia" w:ascii="Times New Roman" w:hAnsi="Times New Roman" w:cs="Times New Roman"/>
                      <w:color w:val="000000"/>
                      <w:highlight w:val="none"/>
                      <w:lang w:val="en-US" w:eastAsia="zh-CN"/>
                    </w:rPr>
                    <w:t>锅炉清洗废水</w:t>
                  </w:r>
                </w:p>
              </w:tc>
              <w:tc>
                <w:tcPr>
                  <w:tcW w:w="917" w:type="pct"/>
                  <w:vMerge w:val="continue"/>
                  <w:tcBorders>
                    <w:tl2br w:val="nil"/>
                    <w:tr2bl w:val="nil"/>
                  </w:tcBorders>
                  <w:shd w:val="clear" w:color="auto" w:fill="auto"/>
                  <w:noWrap w:val="0"/>
                  <w:vAlign w:val="center"/>
                </w:tcPr>
                <w:p w14:paraId="6658F7E3">
                  <w:pPr>
                    <w:shd w:val="clear" w:color="auto" w:fill="auto"/>
                    <w:jc w:val="center"/>
                    <w:rPr>
                      <w:rFonts w:hint="default" w:ascii="Times New Roman" w:hAnsi="Times New Roman" w:cs="Times New Roman"/>
                      <w:color w:val="000000"/>
                      <w:highlight w:val="none"/>
                      <w:lang w:val="en-US" w:eastAsia="zh-CN"/>
                    </w:rPr>
                  </w:pPr>
                </w:p>
              </w:tc>
              <w:tc>
                <w:tcPr>
                  <w:tcW w:w="914" w:type="pct"/>
                  <w:vMerge w:val="continue"/>
                  <w:tcBorders>
                    <w:tl2br w:val="nil"/>
                    <w:tr2bl w:val="nil"/>
                  </w:tcBorders>
                  <w:shd w:val="clear" w:color="auto" w:fill="auto"/>
                  <w:noWrap w:val="0"/>
                  <w:vAlign w:val="center"/>
                </w:tcPr>
                <w:p w14:paraId="1A532584">
                  <w:pPr>
                    <w:shd w:val="clear" w:color="auto" w:fill="auto"/>
                    <w:jc w:val="center"/>
                    <w:rPr>
                      <w:rFonts w:hint="default" w:ascii="Times New Roman" w:hAnsi="Times New Roman" w:cs="Times New Roman"/>
                      <w:bCs/>
                      <w:color w:val="000000"/>
                      <w:sz w:val="21"/>
                      <w:szCs w:val="21"/>
                      <w:highlight w:val="none"/>
                    </w:rPr>
                  </w:pPr>
                </w:p>
              </w:tc>
              <w:tc>
                <w:tcPr>
                  <w:tcW w:w="715" w:type="pct"/>
                  <w:vMerge w:val="continue"/>
                  <w:tcBorders>
                    <w:tl2br w:val="nil"/>
                    <w:tr2bl w:val="nil"/>
                  </w:tcBorders>
                  <w:shd w:val="clear" w:color="auto" w:fill="auto"/>
                  <w:noWrap w:val="0"/>
                  <w:vAlign w:val="center"/>
                </w:tcPr>
                <w:p w14:paraId="24320E28">
                  <w:pPr>
                    <w:shd w:val="clear" w:color="auto" w:fill="auto"/>
                    <w:jc w:val="center"/>
                    <w:rPr>
                      <w:rFonts w:hint="default" w:ascii="Times New Roman" w:hAnsi="Times New Roman" w:cs="Times New Roman"/>
                      <w:bCs/>
                      <w:color w:val="000000"/>
                      <w:sz w:val="21"/>
                      <w:szCs w:val="21"/>
                      <w:highlight w:val="none"/>
                    </w:rPr>
                  </w:pPr>
                </w:p>
              </w:tc>
            </w:tr>
            <w:tr w14:paraId="0C7F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477" w:type="pct"/>
                  <w:vMerge w:val="continue"/>
                  <w:tcBorders>
                    <w:tl2br w:val="nil"/>
                    <w:tr2bl w:val="nil"/>
                  </w:tcBorders>
                  <w:shd w:val="clear" w:color="auto" w:fill="auto"/>
                  <w:noWrap w:val="0"/>
                  <w:vAlign w:val="center"/>
                </w:tcPr>
                <w:p w14:paraId="503B9904">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p>
              </w:tc>
              <w:tc>
                <w:tcPr>
                  <w:tcW w:w="1071" w:type="pct"/>
                  <w:vMerge w:val="continue"/>
                  <w:tcBorders>
                    <w:tl2br w:val="nil"/>
                    <w:tr2bl w:val="nil"/>
                  </w:tcBorders>
                  <w:shd w:val="clear" w:color="auto" w:fill="auto"/>
                  <w:noWrap w:val="0"/>
                  <w:vAlign w:val="center"/>
                </w:tcPr>
                <w:p w14:paraId="5003AA9C">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p>
              </w:tc>
              <w:tc>
                <w:tcPr>
                  <w:tcW w:w="902" w:type="pct"/>
                  <w:tcBorders>
                    <w:tl2br w:val="nil"/>
                    <w:tr2bl w:val="nil"/>
                  </w:tcBorders>
                  <w:shd w:val="clear" w:color="auto" w:fill="auto"/>
                  <w:noWrap w:val="0"/>
                  <w:vAlign w:val="center"/>
                </w:tcPr>
                <w:p w14:paraId="251F3FED">
                  <w:pPr>
                    <w:shd w:val="clear" w:color="auto" w:fill="auto"/>
                    <w:jc w:val="center"/>
                    <w:rPr>
                      <w:rFonts w:hint="default" w:ascii="Times New Roman" w:hAnsi="Times New Roman" w:eastAsia="宋体" w:cs="Times New Roman"/>
                      <w:color w:val="000000"/>
                      <w:highlight w:val="none"/>
                      <w:lang w:val="en-US" w:eastAsia="zh-CN"/>
                    </w:rPr>
                  </w:pPr>
                  <w:r>
                    <w:rPr>
                      <w:rFonts w:hint="eastAsia" w:ascii="Times New Roman" w:hAnsi="Times New Roman" w:cs="Times New Roman"/>
                      <w:color w:val="000000"/>
                      <w:highlight w:val="none"/>
                      <w:lang w:val="en-US" w:eastAsia="zh-CN"/>
                    </w:rPr>
                    <w:t>软水制备浓水</w:t>
                  </w:r>
                </w:p>
              </w:tc>
              <w:tc>
                <w:tcPr>
                  <w:tcW w:w="917" w:type="pct"/>
                  <w:vMerge w:val="continue"/>
                  <w:tcBorders>
                    <w:tl2br w:val="nil"/>
                    <w:tr2bl w:val="nil"/>
                  </w:tcBorders>
                  <w:shd w:val="clear" w:color="auto" w:fill="auto"/>
                  <w:noWrap w:val="0"/>
                  <w:vAlign w:val="center"/>
                </w:tcPr>
                <w:p w14:paraId="2C35681B">
                  <w:pPr>
                    <w:shd w:val="clear" w:color="auto" w:fill="auto"/>
                    <w:jc w:val="center"/>
                    <w:rPr>
                      <w:rFonts w:hint="default" w:ascii="Times New Roman" w:hAnsi="Times New Roman" w:cs="Times New Roman"/>
                      <w:color w:val="000000"/>
                      <w:highlight w:val="none"/>
                      <w:lang w:val="en-US" w:eastAsia="zh-CN"/>
                    </w:rPr>
                  </w:pPr>
                </w:p>
              </w:tc>
              <w:tc>
                <w:tcPr>
                  <w:tcW w:w="914" w:type="pct"/>
                  <w:vMerge w:val="continue"/>
                  <w:tcBorders>
                    <w:tl2br w:val="nil"/>
                    <w:tr2bl w:val="nil"/>
                  </w:tcBorders>
                  <w:shd w:val="clear" w:color="auto" w:fill="auto"/>
                  <w:noWrap w:val="0"/>
                  <w:vAlign w:val="center"/>
                </w:tcPr>
                <w:p w14:paraId="632CF00B">
                  <w:pPr>
                    <w:shd w:val="clear" w:color="auto" w:fill="auto"/>
                    <w:jc w:val="center"/>
                    <w:rPr>
                      <w:rFonts w:hint="default" w:ascii="Times New Roman" w:hAnsi="Times New Roman" w:cs="Times New Roman"/>
                      <w:bCs/>
                      <w:color w:val="000000"/>
                      <w:sz w:val="21"/>
                      <w:szCs w:val="21"/>
                      <w:highlight w:val="none"/>
                    </w:rPr>
                  </w:pPr>
                </w:p>
              </w:tc>
              <w:tc>
                <w:tcPr>
                  <w:tcW w:w="715" w:type="pct"/>
                  <w:vMerge w:val="continue"/>
                  <w:tcBorders>
                    <w:tl2br w:val="nil"/>
                    <w:tr2bl w:val="nil"/>
                  </w:tcBorders>
                  <w:shd w:val="clear" w:color="auto" w:fill="auto"/>
                  <w:noWrap w:val="0"/>
                  <w:vAlign w:val="center"/>
                </w:tcPr>
                <w:p w14:paraId="398E8060">
                  <w:pPr>
                    <w:shd w:val="clear" w:color="auto" w:fill="auto"/>
                    <w:jc w:val="center"/>
                    <w:rPr>
                      <w:rFonts w:hint="default" w:ascii="Times New Roman" w:hAnsi="Times New Roman" w:cs="Times New Roman"/>
                      <w:bCs/>
                      <w:color w:val="000000"/>
                      <w:sz w:val="21"/>
                      <w:szCs w:val="21"/>
                      <w:highlight w:val="none"/>
                    </w:rPr>
                  </w:pPr>
                </w:p>
              </w:tc>
            </w:tr>
            <w:tr w14:paraId="128CB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7" w:type="pct"/>
                  <w:vMerge w:val="continue"/>
                  <w:tcBorders>
                    <w:tl2br w:val="nil"/>
                    <w:tr2bl w:val="nil"/>
                  </w:tcBorders>
                  <w:shd w:val="clear" w:color="auto" w:fill="auto"/>
                  <w:noWrap w:val="0"/>
                  <w:vAlign w:val="center"/>
                </w:tcPr>
                <w:p w14:paraId="3C0F7CF6">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p>
              </w:tc>
              <w:tc>
                <w:tcPr>
                  <w:tcW w:w="1071" w:type="pct"/>
                  <w:vMerge w:val="continue"/>
                  <w:tcBorders>
                    <w:tl2br w:val="nil"/>
                    <w:tr2bl w:val="nil"/>
                  </w:tcBorders>
                  <w:shd w:val="clear" w:color="auto" w:fill="auto"/>
                  <w:noWrap w:val="0"/>
                  <w:vAlign w:val="center"/>
                </w:tcPr>
                <w:p w14:paraId="3FD3BE2F">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p>
              </w:tc>
              <w:tc>
                <w:tcPr>
                  <w:tcW w:w="902" w:type="pct"/>
                  <w:tcBorders>
                    <w:tl2br w:val="nil"/>
                    <w:tr2bl w:val="nil"/>
                  </w:tcBorders>
                  <w:shd w:val="clear" w:color="auto" w:fill="auto"/>
                  <w:noWrap w:val="0"/>
                  <w:vAlign w:val="center"/>
                </w:tcPr>
                <w:p w14:paraId="56596EE7">
                  <w:pPr>
                    <w:shd w:val="clear" w:color="auto" w:fill="auto"/>
                    <w:jc w:val="center"/>
                    <w:rPr>
                      <w:rFonts w:hint="default" w:ascii="Times New Roman" w:hAnsi="Times New Roman" w:eastAsia="宋体" w:cs="Times New Roman"/>
                      <w:color w:val="000000"/>
                      <w:highlight w:val="none"/>
                      <w:lang w:val="en-US" w:eastAsia="zh-CN"/>
                    </w:rPr>
                  </w:pPr>
                  <w:r>
                    <w:rPr>
                      <w:rFonts w:hint="eastAsia" w:ascii="Times New Roman" w:hAnsi="Times New Roman" w:cs="Times New Roman"/>
                      <w:color w:val="000000"/>
                      <w:highlight w:val="none"/>
                      <w:lang w:val="en-US" w:eastAsia="zh-CN"/>
                    </w:rPr>
                    <w:t>反冲洗废水</w:t>
                  </w:r>
                </w:p>
              </w:tc>
              <w:tc>
                <w:tcPr>
                  <w:tcW w:w="917" w:type="pct"/>
                  <w:vMerge w:val="continue"/>
                  <w:tcBorders>
                    <w:tl2br w:val="nil"/>
                    <w:tr2bl w:val="nil"/>
                  </w:tcBorders>
                  <w:shd w:val="clear" w:color="auto" w:fill="auto"/>
                  <w:noWrap w:val="0"/>
                  <w:vAlign w:val="center"/>
                </w:tcPr>
                <w:p w14:paraId="1E885370">
                  <w:pPr>
                    <w:shd w:val="clear" w:color="auto" w:fill="auto"/>
                    <w:jc w:val="center"/>
                    <w:rPr>
                      <w:rFonts w:hint="default" w:ascii="Times New Roman" w:hAnsi="Times New Roman" w:cs="Times New Roman"/>
                      <w:color w:val="000000"/>
                      <w:highlight w:val="none"/>
                    </w:rPr>
                  </w:pPr>
                </w:p>
              </w:tc>
              <w:tc>
                <w:tcPr>
                  <w:tcW w:w="914" w:type="pct"/>
                  <w:vMerge w:val="continue"/>
                  <w:tcBorders>
                    <w:tl2br w:val="nil"/>
                    <w:tr2bl w:val="nil"/>
                  </w:tcBorders>
                  <w:shd w:val="clear" w:color="auto" w:fill="auto"/>
                  <w:noWrap w:val="0"/>
                  <w:vAlign w:val="center"/>
                </w:tcPr>
                <w:p w14:paraId="051DC483">
                  <w:pPr>
                    <w:shd w:val="clear" w:color="auto" w:fill="auto"/>
                    <w:jc w:val="center"/>
                    <w:rPr>
                      <w:rFonts w:hint="default" w:ascii="Times New Roman" w:hAnsi="Times New Roman" w:cs="Times New Roman"/>
                      <w:bCs/>
                      <w:color w:val="000000"/>
                      <w:sz w:val="21"/>
                      <w:szCs w:val="21"/>
                      <w:highlight w:val="none"/>
                    </w:rPr>
                  </w:pPr>
                </w:p>
              </w:tc>
              <w:tc>
                <w:tcPr>
                  <w:tcW w:w="715" w:type="pct"/>
                  <w:vMerge w:val="continue"/>
                  <w:tcBorders>
                    <w:tl2br w:val="nil"/>
                    <w:tr2bl w:val="nil"/>
                  </w:tcBorders>
                  <w:shd w:val="clear" w:color="auto" w:fill="auto"/>
                  <w:noWrap w:val="0"/>
                  <w:vAlign w:val="center"/>
                </w:tcPr>
                <w:p w14:paraId="13FE7D9C">
                  <w:pPr>
                    <w:shd w:val="clear" w:color="auto" w:fill="auto"/>
                    <w:jc w:val="center"/>
                    <w:rPr>
                      <w:rFonts w:hint="default" w:ascii="Times New Roman" w:hAnsi="Times New Roman" w:cs="Times New Roman"/>
                      <w:bCs/>
                      <w:color w:val="000000"/>
                      <w:sz w:val="21"/>
                      <w:szCs w:val="21"/>
                      <w:highlight w:val="none"/>
                    </w:rPr>
                  </w:pPr>
                </w:p>
              </w:tc>
            </w:tr>
            <w:tr w14:paraId="5F1A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477" w:type="pct"/>
                  <w:vMerge w:val="continue"/>
                  <w:tcBorders>
                    <w:tl2br w:val="nil"/>
                    <w:tr2bl w:val="nil"/>
                  </w:tcBorders>
                  <w:shd w:val="clear" w:color="auto" w:fill="auto"/>
                  <w:noWrap w:val="0"/>
                  <w:vAlign w:val="center"/>
                </w:tcPr>
                <w:p w14:paraId="764B40DA">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p>
              </w:tc>
              <w:tc>
                <w:tcPr>
                  <w:tcW w:w="1071" w:type="pct"/>
                  <w:tcBorders>
                    <w:tl2br w:val="nil"/>
                    <w:tr2bl w:val="nil"/>
                  </w:tcBorders>
                  <w:shd w:val="clear" w:color="auto" w:fill="auto"/>
                  <w:noWrap w:val="0"/>
                  <w:vAlign w:val="center"/>
                </w:tcPr>
                <w:p w14:paraId="3FCC0E18">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实验室</w:t>
                  </w:r>
                </w:p>
              </w:tc>
              <w:tc>
                <w:tcPr>
                  <w:tcW w:w="902" w:type="pct"/>
                  <w:tcBorders>
                    <w:tl2br w:val="nil"/>
                    <w:tr2bl w:val="nil"/>
                  </w:tcBorders>
                  <w:shd w:val="clear" w:color="auto" w:fill="auto"/>
                  <w:noWrap w:val="0"/>
                  <w:vAlign w:val="center"/>
                </w:tcPr>
                <w:p w14:paraId="6FE35FCD">
                  <w:pPr>
                    <w:shd w:val="clear" w:color="auto" w:fill="auto"/>
                    <w:jc w:val="center"/>
                    <w:rPr>
                      <w:rFonts w:hint="default" w:ascii="Times New Roman" w:hAnsi="Times New Roman" w:cs="Times New Roman"/>
                      <w:color w:val="000000"/>
                      <w:highlight w:val="none"/>
                      <w:lang w:val="en-US" w:eastAsia="zh-CN"/>
                    </w:rPr>
                  </w:pPr>
                  <w:r>
                    <w:rPr>
                      <w:rFonts w:hint="eastAsia" w:ascii="Times New Roman" w:hAnsi="Times New Roman" w:cs="Times New Roman"/>
                      <w:color w:val="000000"/>
                      <w:highlight w:val="none"/>
                      <w:lang w:val="en-US" w:eastAsia="zh-CN"/>
                    </w:rPr>
                    <w:t>实验器皿冲洗废水</w:t>
                  </w:r>
                </w:p>
              </w:tc>
              <w:tc>
                <w:tcPr>
                  <w:tcW w:w="917" w:type="pct"/>
                  <w:tcBorders>
                    <w:tl2br w:val="nil"/>
                    <w:tr2bl w:val="nil"/>
                  </w:tcBorders>
                  <w:shd w:val="clear" w:color="auto" w:fill="auto"/>
                  <w:noWrap w:val="0"/>
                  <w:vAlign w:val="center"/>
                </w:tcPr>
                <w:p w14:paraId="71F85F3B">
                  <w:pPr>
                    <w:shd w:val="clear" w:color="auto" w:fill="auto"/>
                    <w:jc w:val="center"/>
                    <w:rPr>
                      <w:rFonts w:hint="default" w:ascii="Times New Roman" w:hAnsi="Times New Roman" w:cs="Times New Roman"/>
                      <w:color w:val="000000"/>
                      <w:highlight w:val="none"/>
                    </w:rPr>
                  </w:pPr>
                  <w:r>
                    <w:rPr>
                      <w:rFonts w:hint="eastAsia" w:cs="Times New Roman"/>
                      <w:color w:val="000000"/>
                      <w:highlight w:val="none"/>
                      <w:lang w:val="en-US" w:eastAsia="zh-CN"/>
                    </w:rPr>
                    <w:t>pH值、</w:t>
                  </w:r>
                  <w:r>
                    <w:rPr>
                      <w:rFonts w:hint="default" w:ascii="Times New Roman" w:hAnsi="Times New Roman" w:cs="Times New Roman"/>
                      <w:color w:val="000000"/>
                      <w:highlight w:val="none"/>
                    </w:rPr>
                    <w:t>CODcr、</w:t>
                  </w:r>
                  <w:r>
                    <w:rPr>
                      <w:rFonts w:hint="default" w:ascii="Times New Roman" w:hAnsi="Times New Roman" w:cs="Times New Roman"/>
                      <w:color w:val="000000"/>
                      <w:highlight w:val="none"/>
                      <w:lang w:val="en-US" w:eastAsia="zh-CN"/>
                    </w:rPr>
                    <w:t>总磷、</w:t>
                  </w:r>
                  <w:r>
                    <w:rPr>
                      <w:rFonts w:hint="eastAsia" w:ascii="Times New Roman" w:hAnsi="Times New Roman" w:cs="Times New Roman"/>
                      <w:color w:val="000000"/>
                      <w:highlight w:val="none"/>
                      <w:lang w:val="en-US" w:eastAsia="zh-CN"/>
                    </w:rPr>
                    <w:t>总氮</w:t>
                  </w:r>
                </w:p>
              </w:tc>
              <w:tc>
                <w:tcPr>
                  <w:tcW w:w="914" w:type="pct"/>
                  <w:vMerge w:val="continue"/>
                  <w:tcBorders>
                    <w:tl2br w:val="nil"/>
                    <w:tr2bl w:val="nil"/>
                  </w:tcBorders>
                  <w:shd w:val="clear" w:color="auto" w:fill="auto"/>
                  <w:noWrap w:val="0"/>
                  <w:vAlign w:val="center"/>
                </w:tcPr>
                <w:p w14:paraId="547F35B6">
                  <w:pPr>
                    <w:shd w:val="clear" w:color="auto" w:fill="auto"/>
                    <w:jc w:val="center"/>
                    <w:rPr>
                      <w:rFonts w:hint="default" w:ascii="Times New Roman" w:hAnsi="Times New Roman" w:cs="Times New Roman"/>
                      <w:bCs/>
                      <w:color w:val="000000"/>
                      <w:sz w:val="21"/>
                      <w:szCs w:val="21"/>
                      <w:highlight w:val="none"/>
                    </w:rPr>
                  </w:pPr>
                </w:p>
              </w:tc>
              <w:tc>
                <w:tcPr>
                  <w:tcW w:w="715" w:type="pct"/>
                  <w:vMerge w:val="continue"/>
                  <w:tcBorders>
                    <w:tl2br w:val="nil"/>
                    <w:tr2bl w:val="nil"/>
                  </w:tcBorders>
                  <w:shd w:val="clear" w:color="auto" w:fill="auto"/>
                  <w:noWrap w:val="0"/>
                  <w:vAlign w:val="center"/>
                </w:tcPr>
                <w:p w14:paraId="0712BB41">
                  <w:pPr>
                    <w:shd w:val="clear" w:color="auto" w:fill="auto"/>
                    <w:jc w:val="center"/>
                    <w:rPr>
                      <w:rFonts w:hint="default" w:ascii="Times New Roman" w:hAnsi="Times New Roman" w:cs="Times New Roman"/>
                      <w:bCs/>
                      <w:color w:val="000000"/>
                      <w:sz w:val="21"/>
                      <w:szCs w:val="21"/>
                      <w:highlight w:val="none"/>
                    </w:rPr>
                  </w:pPr>
                </w:p>
              </w:tc>
            </w:tr>
            <w:tr w14:paraId="5AE78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7" w:type="pct"/>
                  <w:vMerge w:val="continue"/>
                  <w:tcBorders>
                    <w:tl2br w:val="nil"/>
                    <w:tr2bl w:val="nil"/>
                  </w:tcBorders>
                  <w:shd w:val="clear" w:color="auto" w:fill="auto"/>
                  <w:noWrap w:val="0"/>
                  <w:vAlign w:val="center"/>
                </w:tcPr>
                <w:p w14:paraId="357A4C82">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p>
              </w:tc>
              <w:tc>
                <w:tcPr>
                  <w:tcW w:w="1071" w:type="pct"/>
                  <w:tcBorders>
                    <w:tl2br w:val="nil"/>
                    <w:tr2bl w:val="nil"/>
                  </w:tcBorders>
                  <w:shd w:val="clear" w:color="auto" w:fill="auto"/>
                  <w:noWrap w:val="0"/>
                  <w:vAlign w:val="center"/>
                </w:tcPr>
                <w:p w14:paraId="11E64A34">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办公</w:t>
                  </w:r>
                  <w:r>
                    <w:rPr>
                      <w:rFonts w:hint="eastAsia" w:ascii="Times New Roman" w:hAnsi="Times New Roman" w:cs="Times New Roman"/>
                      <w:color w:val="000000"/>
                      <w:sz w:val="21"/>
                      <w:szCs w:val="21"/>
                      <w:highlight w:val="none"/>
                      <w:lang w:val="en-US" w:eastAsia="zh-CN"/>
                    </w:rPr>
                    <w:t>区</w:t>
                  </w:r>
                  <w:r>
                    <w:rPr>
                      <w:rFonts w:hint="default" w:ascii="Times New Roman" w:hAnsi="Times New Roman" w:cs="Times New Roman"/>
                      <w:color w:val="000000"/>
                      <w:sz w:val="21"/>
                      <w:szCs w:val="21"/>
                      <w:highlight w:val="none"/>
                      <w:lang w:val="en-US" w:eastAsia="zh-CN"/>
                    </w:rPr>
                    <w:t>、生活区</w:t>
                  </w:r>
                </w:p>
              </w:tc>
              <w:tc>
                <w:tcPr>
                  <w:tcW w:w="902" w:type="pct"/>
                  <w:tcBorders>
                    <w:tl2br w:val="nil"/>
                    <w:tr2bl w:val="nil"/>
                  </w:tcBorders>
                  <w:shd w:val="clear" w:color="auto" w:fill="auto"/>
                  <w:noWrap w:val="0"/>
                  <w:vAlign w:val="center"/>
                </w:tcPr>
                <w:p w14:paraId="6741FCF5">
                  <w:pPr>
                    <w:shd w:val="clear" w:color="auto" w:fill="auto"/>
                    <w:jc w:val="center"/>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rPr>
                    <w:t>生活污水</w:t>
                  </w:r>
                </w:p>
              </w:tc>
              <w:tc>
                <w:tcPr>
                  <w:tcW w:w="917" w:type="pct"/>
                  <w:tcBorders>
                    <w:tl2br w:val="nil"/>
                    <w:tr2bl w:val="nil"/>
                  </w:tcBorders>
                  <w:shd w:val="clear" w:color="auto" w:fill="auto"/>
                  <w:noWrap w:val="0"/>
                  <w:vAlign w:val="center"/>
                </w:tcPr>
                <w:p w14:paraId="390B020B">
                  <w:pPr>
                    <w:shd w:val="clear" w:color="auto" w:fill="auto"/>
                    <w:jc w:val="center"/>
                    <w:rPr>
                      <w:rFonts w:hint="default" w:ascii="Times New Roman" w:hAnsi="Times New Roman" w:eastAsia="宋体" w:cs="Times New Roman"/>
                      <w:color w:val="000000"/>
                      <w:highlight w:val="none"/>
                      <w:lang w:val="en-US" w:eastAsia="zh-CN"/>
                    </w:rPr>
                  </w:pPr>
                  <w:r>
                    <w:rPr>
                      <w:rFonts w:hint="eastAsia" w:cs="Times New Roman"/>
                      <w:color w:val="000000"/>
                      <w:highlight w:val="none"/>
                      <w:lang w:val="en-US" w:eastAsia="zh-CN"/>
                    </w:rPr>
                    <w:t>pH值、</w:t>
                  </w:r>
                  <w:r>
                    <w:rPr>
                      <w:rFonts w:hint="default" w:ascii="Times New Roman" w:hAnsi="Times New Roman" w:cs="Times New Roman"/>
                      <w:color w:val="000000"/>
                      <w:highlight w:val="none"/>
                    </w:rPr>
                    <w:t>CODcr、BOD</w:t>
                  </w:r>
                  <w:r>
                    <w:rPr>
                      <w:rFonts w:hint="default" w:ascii="Times New Roman" w:hAnsi="Times New Roman" w:cs="Times New Roman"/>
                      <w:color w:val="000000"/>
                      <w:highlight w:val="none"/>
                      <w:vertAlign w:val="subscript"/>
                    </w:rPr>
                    <w:t>5</w:t>
                  </w:r>
                  <w:r>
                    <w:rPr>
                      <w:rFonts w:hint="default" w:ascii="Times New Roman" w:hAnsi="Times New Roman" w:cs="Times New Roman"/>
                      <w:color w:val="000000"/>
                      <w:highlight w:val="none"/>
                    </w:rPr>
                    <w:t>、氨氮、</w:t>
                  </w:r>
                  <w:r>
                    <w:rPr>
                      <w:rFonts w:hint="default" w:ascii="Times New Roman" w:hAnsi="Times New Roman" w:cs="Times New Roman"/>
                      <w:color w:val="000000"/>
                      <w:highlight w:val="none"/>
                      <w:lang w:val="en-US" w:eastAsia="zh-CN"/>
                    </w:rPr>
                    <w:t>总磷、</w:t>
                  </w:r>
                  <w:r>
                    <w:rPr>
                      <w:rFonts w:hint="default" w:ascii="Times New Roman" w:hAnsi="Times New Roman" w:cs="Times New Roman"/>
                      <w:color w:val="000000"/>
                      <w:highlight w:val="none"/>
                    </w:rPr>
                    <w:t>SS</w:t>
                  </w:r>
                </w:p>
              </w:tc>
              <w:tc>
                <w:tcPr>
                  <w:tcW w:w="914" w:type="pct"/>
                  <w:vMerge w:val="continue"/>
                  <w:tcBorders>
                    <w:tl2br w:val="nil"/>
                    <w:tr2bl w:val="nil"/>
                  </w:tcBorders>
                  <w:shd w:val="clear" w:color="auto" w:fill="auto"/>
                  <w:noWrap w:val="0"/>
                  <w:vAlign w:val="center"/>
                </w:tcPr>
                <w:p w14:paraId="64A2DBED">
                  <w:pPr>
                    <w:shd w:val="clear" w:color="auto" w:fill="auto"/>
                    <w:jc w:val="center"/>
                    <w:rPr>
                      <w:rFonts w:hint="eastAsia" w:ascii="Times New Roman" w:hAnsi="Times New Roman" w:eastAsia="宋体" w:cs="Times New Roman"/>
                      <w:bCs/>
                      <w:color w:val="000000"/>
                      <w:sz w:val="21"/>
                      <w:szCs w:val="21"/>
                      <w:highlight w:val="none"/>
                      <w:lang w:val="en-US" w:eastAsia="zh-CN"/>
                    </w:rPr>
                  </w:pPr>
                </w:p>
              </w:tc>
              <w:tc>
                <w:tcPr>
                  <w:tcW w:w="715" w:type="pct"/>
                  <w:vMerge w:val="continue"/>
                  <w:tcBorders>
                    <w:tl2br w:val="nil"/>
                    <w:tr2bl w:val="nil"/>
                  </w:tcBorders>
                  <w:shd w:val="clear" w:color="auto" w:fill="auto"/>
                  <w:noWrap w:val="0"/>
                  <w:vAlign w:val="center"/>
                </w:tcPr>
                <w:p w14:paraId="5365ABA2">
                  <w:pPr>
                    <w:shd w:val="clear" w:color="auto" w:fill="auto"/>
                    <w:jc w:val="center"/>
                    <w:rPr>
                      <w:rFonts w:hint="default" w:ascii="Times New Roman" w:hAnsi="Times New Roman" w:cs="Times New Roman"/>
                      <w:bCs/>
                      <w:color w:val="000000"/>
                      <w:sz w:val="21"/>
                      <w:szCs w:val="21"/>
                      <w:highlight w:val="none"/>
                    </w:rPr>
                  </w:pPr>
                </w:p>
              </w:tc>
            </w:tr>
            <w:tr w14:paraId="74210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477" w:type="pct"/>
                  <w:vMerge w:val="restart"/>
                  <w:tcBorders>
                    <w:tl2br w:val="nil"/>
                    <w:tr2bl w:val="nil"/>
                  </w:tcBorders>
                  <w:shd w:val="clear" w:color="auto" w:fill="auto"/>
                  <w:noWrap w:val="0"/>
                  <w:vAlign w:val="center"/>
                </w:tcPr>
                <w:p w14:paraId="0F7BB771">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rPr>
                    <w:t>固废</w:t>
                  </w:r>
                </w:p>
              </w:tc>
              <w:tc>
                <w:tcPr>
                  <w:tcW w:w="1071" w:type="pct"/>
                  <w:tcBorders>
                    <w:tl2br w:val="nil"/>
                    <w:tr2bl w:val="nil"/>
                  </w:tcBorders>
                  <w:shd w:val="clear" w:color="auto" w:fill="auto"/>
                  <w:noWrap w:val="0"/>
                  <w:vAlign w:val="center"/>
                </w:tcPr>
                <w:p w14:paraId="3319B575">
                  <w:pPr>
                    <w:shd w:val="clear" w:color="auto" w:fill="auto"/>
                    <w:jc w:val="center"/>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制酒</w:t>
                  </w:r>
                  <w:r>
                    <w:rPr>
                      <w:rFonts w:hint="default" w:ascii="Times New Roman" w:hAnsi="Times New Roman" w:cs="Times New Roman"/>
                      <w:color w:val="000000"/>
                      <w:sz w:val="21"/>
                      <w:szCs w:val="21"/>
                      <w:highlight w:val="none"/>
                      <w:lang w:val="en-US" w:eastAsia="zh-CN"/>
                    </w:rPr>
                    <w:t>车间</w:t>
                  </w:r>
                </w:p>
              </w:tc>
              <w:tc>
                <w:tcPr>
                  <w:tcW w:w="902" w:type="pct"/>
                  <w:tcBorders>
                    <w:tl2br w:val="nil"/>
                    <w:tr2bl w:val="nil"/>
                  </w:tcBorders>
                  <w:shd w:val="clear" w:color="auto" w:fill="auto"/>
                  <w:noWrap w:val="0"/>
                  <w:vAlign w:val="center"/>
                </w:tcPr>
                <w:p w14:paraId="73757B63">
                  <w:pPr>
                    <w:shd w:val="clear" w:color="auto" w:fill="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蒸馏</w:t>
                  </w:r>
                </w:p>
              </w:tc>
              <w:tc>
                <w:tcPr>
                  <w:tcW w:w="917" w:type="pct"/>
                  <w:tcBorders>
                    <w:tl2br w:val="nil"/>
                    <w:tr2bl w:val="nil"/>
                  </w:tcBorders>
                  <w:shd w:val="clear" w:color="auto" w:fill="auto"/>
                  <w:noWrap w:val="0"/>
                  <w:vAlign w:val="center"/>
                </w:tcPr>
                <w:p w14:paraId="0A88E0E0">
                  <w:pPr>
                    <w:shd w:val="clear" w:color="auto" w:fill="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酒糟</w:t>
                  </w:r>
                </w:p>
              </w:tc>
              <w:tc>
                <w:tcPr>
                  <w:tcW w:w="914" w:type="pct"/>
                  <w:tcBorders>
                    <w:tl2br w:val="nil"/>
                    <w:tr2bl w:val="nil"/>
                  </w:tcBorders>
                  <w:shd w:val="clear" w:color="auto" w:fill="auto"/>
                  <w:noWrap w:val="0"/>
                  <w:vAlign w:val="center"/>
                </w:tcPr>
                <w:p w14:paraId="608B6687">
                  <w:pPr>
                    <w:shd w:val="clear" w:color="auto" w:fill="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外售饲料厂综合利用</w:t>
                  </w:r>
                </w:p>
              </w:tc>
              <w:tc>
                <w:tcPr>
                  <w:tcW w:w="715" w:type="pct"/>
                  <w:vMerge w:val="restart"/>
                  <w:tcBorders>
                    <w:tl2br w:val="nil"/>
                    <w:tr2bl w:val="nil"/>
                  </w:tcBorders>
                  <w:shd w:val="clear" w:color="auto" w:fill="auto"/>
                  <w:noWrap w:val="0"/>
                  <w:vAlign w:val="center"/>
                </w:tcPr>
                <w:p w14:paraId="3DAE3C35">
                  <w:pPr>
                    <w:shd w:val="clear" w:color="auto" w:fill="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妥善处置</w:t>
                  </w:r>
                </w:p>
              </w:tc>
            </w:tr>
            <w:tr w14:paraId="6952B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jc w:val="center"/>
              </w:trPr>
              <w:tc>
                <w:tcPr>
                  <w:tcW w:w="477" w:type="pct"/>
                  <w:vMerge w:val="continue"/>
                  <w:tcBorders>
                    <w:tl2br w:val="nil"/>
                    <w:tr2bl w:val="nil"/>
                  </w:tcBorders>
                  <w:shd w:val="clear" w:color="auto" w:fill="auto"/>
                  <w:noWrap w:val="0"/>
                  <w:vAlign w:val="center"/>
                </w:tcPr>
                <w:p w14:paraId="2A6777E4">
                  <w:pPr>
                    <w:pStyle w:val="143"/>
                    <w:shd w:val="clear" w:color="auto" w:fill="auto"/>
                    <w:kinsoku w:val="0"/>
                    <w:overflowPunct w:val="0"/>
                    <w:rPr>
                      <w:rFonts w:hint="default" w:ascii="Times New Roman" w:hAnsi="Times New Roman" w:cs="Times New Roman"/>
                      <w:color w:val="000000"/>
                      <w:sz w:val="21"/>
                      <w:szCs w:val="21"/>
                      <w:highlight w:val="none"/>
                      <w:lang w:eastAsia="zh-CN"/>
                    </w:rPr>
                  </w:pPr>
                </w:p>
              </w:tc>
              <w:tc>
                <w:tcPr>
                  <w:tcW w:w="1071" w:type="pct"/>
                  <w:tcBorders>
                    <w:tl2br w:val="nil"/>
                    <w:tr2bl w:val="nil"/>
                  </w:tcBorders>
                  <w:shd w:val="clear" w:color="auto" w:fill="auto"/>
                  <w:noWrap w:val="0"/>
                  <w:vAlign w:val="center"/>
                </w:tcPr>
                <w:p w14:paraId="5B8C5A6F">
                  <w:pPr>
                    <w:shd w:val="clear" w:color="auto" w:fill="auto"/>
                    <w:jc w:val="center"/>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制酒</w:t>
                  </w:r>
                  <w:r>
                    <w:rPr>
                      <w:rFonts w:hint="default" w:ascii="Times New Roman" w:hAnsi="Times New Roman" w:cs="Times New Roman"/>
                      <w:color w:val="000000"/>
                      <w:sz w:val="21"/>
                      <w:szCs w:val="21"/>
                      <w:highlight w:val="none"/>
                      <w:lang w:val="en-US" w:eastAsia="zh-CN"/>
                    </w:rPr>
                    <w:t>车间</w:t>
                  </w:r>
                </w:p>
              </w:tc>
              <w:tc>
                <w:tcPr>
                  <w:tcW w:w="902" w:type="pct"/>
                  <w:tcBorders>
                    <w:tl2br w:val="nil"/>
                    <w:tr2bl w:val="nil"/>
                  </w:tcBorders>
                  <w:shd w:val="clear" w:color="auto" w:fill="auto"/>
                  <w:noWrap w:val="0"/>
                  <w:vAlign w:val="center"/>
                </w:tcPr>
                <w:p w14:paraId="7FCC0F22">
                  <w:pPr>
                    <w:shd w:val="clear" w:color="auto" w:fill="auto"/>
                    <w:jc w:val="center"/>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发酵</w:t>
                  </w:r>
                </w:p>
              </w:tc>
              <w:tc>
                <w:tcPr>
                  <w:tcW w:w="917" w:type="pct"/>
                  <w:tcBorders>
                    <w:tl2br w:val="nil"/>
                    <w:tr2bl w:val="nil"/>
                  </w:tcBorders>
                  <w:shd w:val="clear" w:color="auto" w:fill="auto"/>
                  <w:noWrap w:val="0"/>
                  <w:vAlign w:val="center"/>
                </w:tcPr>
                <w:p w14:paraId="035F7E61">
                  <w:pPr>
                    <w:shd w:val="clear" w:color="auto" w:fill="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窖泥（缺乏生物活性的窖泥）</w:t>
                  </w:r>
                </w:p>
              </w:tc>
              <w:tc>
                <w:tcPr>
                  <w:tcW w:w="914" w:type="pct"/>
                  <w:tcBorders>
                    <w:tl2br w:val="nil"/>
                    <w:tr2bl w:val="nil"/>
                  </w:tcBorders>
                  <w:shd w:val="clear" w:color="auto" w:fill="auto"/>
                  <w:noWrap w:val="0"/>
                  <w:vAlign w:val="center"/>
                </w:tcPr>
                <w:p w14:paraId="1355764E">
                  <w:pPr>
                    <w:shd w:val="clear" w:color="auto" w:fill="auto"/>
                    <w:jc w:val="center"/>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由附近村民拉运肥田</w:t>
                  </w:r>
                </w:p>
              </w:tc>
              <w:tc>
                <w:tcPr>
                  <w:tcW w:w="715" w:type="pct"/>
                  <w:vMerge w:val="continue"/>
                  <w:tcBorders>
                    <w:tl2br w:val="nil"/>
                    <w:tr2bl w:val="nil"/>
                  </w:tcBorders>
                  <w:shd w:val="clear" w:color="auto" w:fill="auto"/>
                  <w:noWrap w:val="0"/>
                  <w:vAlign w:val="center"/>
                </w:tcPr>
                <w:p w14:paraId="762CD76D">
                  <w:pPr>
                    <w:shd w:val="clear" w:color="auto" w:fill="auto"/>
                    <w:jc w:val="center"/>
                    <w:rPr>
                      <w:rFonts w:hint="default" w:ascii="Times New Roman" w:hAnsi="Times New Roman" w:cs="Times New Roman"/>
                      <w:color w:val="000000"/>
                      <w:sz w:val="21"/>
                      <w:szCs w:val="21"/>
                      <w:highlight w:val="none"/>
                      <w:lang w:val="en-US" w:eastAsia="zh-CN"/>
                    </w:rPr>
                  </w:pPr>
                </w:p>
              </w:tc>
            </w:tr>
            <w:tr w14:paraId="63D6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jc w:val="center"/>
              </w:trPr>
              <w:tc>
                <w:tcPr>
                  <w:tcW w:w="477" w:type="pct"/>
                  <w:vMerge w:val="continue"/>
                  <w:tcBorders>
                    <w:tl2br w:val="nil"/>
                    <w:tr2bl w:val="nil"/>
                  </w:tcBorders>
                  <w:shd w:val="clear" w:color="auto" w:fill="auto"/>
                  <w:noWrap w:val="0"/>
                  <w:vAlign w:val="center"/>
                </w:tcPr>
                <w:p w14:paraId="5CAC989F">
                  <w:pPr>
                    <w:pStyle w:val="143"/>
                    <w:shd w:val="clear" w:color="auto" w:fill="auto"/>
                    <w:kinsoku w:val="0"/>
                    <w:overflowPunct w:val="0"/>
                    <w:rPr>
                      <w:rFonts w:hint="default" w:ascii="Times New Roman" w:hAnsi="Times New Roman" w:cs="Times New Roman"/>
                      <w:color w:val="000000"/>
                      <w:sz w:val="21"/>
                      <w:szCs w:val="21"/>
                      <w:highlight w:val="none"/>
                      <w:lang w:eastAsia="zh-CN"/>
                    </w:rPr>
                  </w:pPr>
                </w:p>
              </w:tc>
              <w:tc>
                <w:tcPr>
                  <w:tcW w:w="1071" w:type="pct"/>
                  <w:tcBorders>
                    <w:tl2br w:val="nil"/>
                    <w:tr2bl w:val="nil"/>
                  </w:tcBorders>
                  <w:shd w:val="clear" w:color="auto" w:fill="auto"/>
                  <w:noWrap w:val="0"/>
                  <w:vAlign w:val="center"/>
                </w:tcPr>
                <w:p w14:paraId="33EA6B39">
                  <w:pPr>
                    <w:shd w:val="clear" w:color="auto" w:fill="auto"/>
                    <w:jc w:val="center"/>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曲块及原粮储存粉碎车间</w:t>
                  </w:r>
                </w:p>
              </w:tc>
              <w:tc>
                <w:tcPr>
                  <w:tcW w:w="902" w:type="pct"/>
                  <w:tcBorders>
                    <w:tl2br w:val="nil"/>
                    <w:tr2bl w:val="nil"/>
                  </w:tcBorders>
                  <w:shd w:val="clear" w:color="auto" w:fill="auto"/>
                  <w:noWrap w:val="0"/>
                  <w:vAlign w:val="center"/>
                </w:tcPr>
                <w:p w14:paraId="52FEDB48">
                  <w:pPr>
                    <w:shd w:val="clear" w:color="auto" w:fill="auto"/>
                    <w:jc w:val="center"/>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粮食、大曲粉碎</w:t>
                  </w:r>
                </w:p>
              </w:tc>
              <w:tc>
                <w:tcPr>
                  <w:tcW w:w="917" w:type="pct"/>
                  <w:tcBorders>
                    <w:tl2br w:val="nil"/>
                    <w:tr2bl w:val="nil"/>
                  </w:tcBorders>
                  <w:shd w:val="clear" w:color="auto" w:fill="auto"/>
                  <w:noWrap w:val="0"/>
                  <w:vAlign w:val="center"/>
                </w:tcPr>
                <w:p w14:paraId="170CC4C2">
                  <w:pPr>
                    <w:shd w:val="clear" w:color="auto" w:fill="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布袋除尘器收集的粉尘</w:t>
                  </w:r>
                </w:p>
              </w:tc>
              <w:tc>
                <w:tcPr>
                  <w:tcW w:w="914" w:type="pct"/>
                  <w:tcBorders>
                    <w:tl2br w:val="nil"/>
                    <w:tr2bl w:val="nil"/>
                  </w:tcBorders>
                  <w:shd w:val="clear" w:color="auto" w:fill="auto"/>
                  <w:noWrap w:val="0"/>
                  <w:vAlign w:val="center"/>
                </w:tcPr>
                <w:p w14:paraId="554CDFD0">
                  <w:pPr>
                    <w:shd w:val="clear" w:color="auto" w:fill="auto"/>
                    <w:jc w:val="center"/>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外售饲料厂综合利用</w:t>
                  </w:r>
                </w:p>
              </w:tc>
              <w:tc>
                <w:tcPr>
                  <w:tcW w:w="715" w:type="pct"/>
                  <w:vMerge w:val="continue"/>
                  <w:tcBorders>
                    <w:tl2br w:val="nil"/>
                    <w:tr2bl w:val="nil"/>
                  </w:tcBorders>
                  <w:shd w:val="clear" w:color="auto" w:fill="auto"/>
                  <w:noWrap w:val="0"/>
                  <w:vAlign w:val="center"/>
                </w:tcPr>
                <w:p w14:paraId="5926273D">
                  <w:pPr>
                    <w:shd w:val="clear" w:color="auto" w:fill="auto"/>
                    <w:jc w:val="center"/>
                    <w:rPr>
                      <w:rFonts w:hint="default" w:ascii="Times New Roman" w:hAnsi="Times New Roman" w:cs="Times New Roman"/>
                      <w:color w:val="000000"/>
                      <w:sz w:val="21"/>
                      <w:szCs w:val="21"/>
                      <w:highlight w:val="none"/>
                      <w:lang w:val="en-US" w:eastAsia="zh-CN"/>
                    </w:rPr>
                  </w:pPr>
                </w:p>
              </w:tc>
            </w:tr>
            <w:tr w14:paraId="773A9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477" w:type="pct"/>
                  <w:vMerge w:val="continue"/>
                  <w:tcBorders>
                    <w:tl2br w:val="nil"/>
                    <w:tr2bl w:val="nil"/>
                  </w:tcBorders>
                  <w:shd w:val="clear" w:color="auto" w:fill="auto"/>
                  <w:noWrap w:val="0"/>
                  <w:vAlign w:val="center"/>
                </w:tcPr>
                <w:p w14:paraId="61633C0B">
                  <w:pPr>
                    <w:pStyle w:val="143"/>
                    <w:shd w:val="clear" w:color="auto" w:fill="auto"/>
                    <w:kinsoku w:val="0"/>
                    <w:overflowPunct w:val="0"/>
                    <w:rPr>
                      <w:rFonts w:hint="default" w:ascii="Times New Roman" w:hAnsi="Times New Roman" w:cs="Times New Roman"/>
                      <w:color w:val="000000"/>
                      <w:sz w:val="21"/>
                      <w:szCs w:val="21"/>
                      <w:highlight w:val="none"/>
                      <w:lang w:eastAsia="zh-CN"/>
                    </w:rPr>
                  </w:pPr>
                </w:p>
              </w:tc>
              <w:tc>
                <w:tcPr>
                  <w:tcW w:w="1071" w:type="pct"/>
                  <w:tcBorders>
                    <w:tl2br w:val="nil"/>
                    <w:tr2bl w:val="nil"/>
                  </w:tcBorders>
                  <w:shd w:val="clear" w:color="auto" w:fill="auto"/>
                  <w:noWrap w:val="0"/>
                  <w:vAlign w:val="center"/>
                </w:tcPr>
                <w:p w14:paraId="33D88D94">
                  <w:pPr>
                    <w:shd w:val="clear" w:color="auto" w:fill="auto"/>
                    <w:jc w:val="center"/>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成装车间</w:t>
                  </w:r>
                </w:p>
              </w:tc>
              <w:tc>
                <w:tcPr>
                  <w:tcW w:w="902" w:type="pct"/>
                  <w:tcBorders>
                    <w:tl2br w:val="nil"/>
                    <w:tr2bl w:val="nil"/>
                  </w:tcBorders>
                  <w:shd w:val="clear" w:color="auto" w:fill="auto"/>
                  <w:noWrap w:val="0"/>
                  <w:vAlign w:val="center"/>
                </w:tcPr>
                <w:p w14:paraId="0B97E6A3">
                  <w:pPr>
                    <w:shd w:val="clear" w:color="auto" w:fill="auto"/>
                    <w:jc w:val="center"/>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包装</w:t>
                  </w:r>
                </w:p>
              </w:tc>
              <w:tc>
                <w:tcPr>
                  <w:tcW w:w="917" w:type="pct"/>
                  <w:tcBorders>
                    <w:tl2br w:val="nil"/>
                    <w:tr2bl w:val="nil"/>
                  </w:tcBorders>
                  <w:shd w:val="clear" w:color="auto" w:fill="auto"/>
                  <w:noWrap w:val="0"/>
                  <w:vAlign w:val="center"/>
                </w:tcPr>
                <w:p w14:paraId="5176ADB3">
                  <w:pPr>
                    <w:shd w:val="clear" w:color="auto" w:fill="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废包装材料</w:t>
                  </w:r>
                </w:p>
              </w:tc>
              <w:tc>
                <w:tcPr>
                  <w:tcW w:w="914" w:type="pct"/>
                  <w:tcBorders>
                    <w:tl2br w:val="nil"/>
                    <w:tr2bl w:val="nil"/>
                  </w:tcBorders>
                  <w:shd w:val="clear" w:color="auto" w:fill="auto"/>
                  <w:noWrap w:val="0"/>
                  <w:vAlign w:val="center"/>
                </w:tcPr>
                <w:p w14:paraId="1479E5CC">
                  <w:pPr>
                    <w:shd w:val="clear" w:color="auto" w:fill="auto"/>
                    <w:jc w:val="center"/>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外售综合利用</w:t>
                  </w:r>
                </w:p>
              </w:tc>
              <w:tc>
                <w:tcPr>
                  <w:tcW w:w="715" w:type="pct"/>
                  <w:vMerge w:val="continue"/>
                  <w:tcBorders>
                    <w:tl2br w:val="nil"/>
                    <w:tr2bl w:val="nil"/>
                  </w:tcBorders>
                  <w:shd w:val="clear" w:color="auto" w:fill="auto"/>
                  <w:noWrap w:val="0"/>
                  <w:vAlign w:val="center"/>
                </w:tcPr>
                <w:p w14:paraId="1B0275A5">
                  <w:pPr>
                    <w:shd w:val="clear" w:color="auto" w:fill="auto"/>
                    <w:jc w:val="center"/>
                    <w:rPr>
                      <w:rFonts w:hint="default" w:ascii="Times New Roman" w:hAnsi="Times New Roman" w:cs="Times New Roman"/>
                      <w:color w:val="000000"/>
                      <w:sz w:val="21"/>
                      <w:szCs w:val="21"/>
                      <w:highlight w:val="none"/>
                      <w:lang w:val="en-US" w:eastAsia="zh-CN"/>
                    </w:rPr>
                  </w:pPr>
                </w:p>
              </w:tc>
            </w:tr>
            <w:tr w14:paraId="0881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477" w:type="pct"/>
                  <w:vMerge w:val="continue"/>
                  <w:tcBorders>
                    <w:tl2br w:val="nil"/>
                    <w:tr2bl w:val="nil"/>
                  </w:tcBorders>
                  <w:shd w:val="clear" w:color="auto" w:fill="auto"/>
                  <w:noWrap w:val="0"/>
                  <w:vAlign w:val="center"/>
                </w:tcPr>
                <w:p w14:paraId="7850D905">
                  <w:pPr>
                    <w:pStyle w:val="143"/>
                    <w:shd w:val="clear" w:color="auto" w:fill="auto"/>
                    <w:kinsoku w:val="0"/>
                    <w:overflowPunct w:val="0"/>
                    <w:rPr>
                      <w:rFonts w:hint="default" w:ascii="Times New Roman" w:hAnsi="Times New Roman" w:cs="Times New Roman"/>
                      <w:color w:val="000000"/>
                      <w:sz w:val="21"/>
                      <w:szCs w:val="21"/>
                      <w:highlight w:val="none"/>
                      <w:lang w:eastAsia="zh-CN"/>
                    </w:rPr>
                  </w:pPr>
                </w:p>
              </w:tc>
              <w:tc>
                <w:tcPr>
                  <w:tcW w:w="1071" w:type="pct"/>
                  <w:tcBorders>
                    <w:tl2br w:val="nil"/>
                    <w:tr2bl w:val="nil"/>
                  </w:tcBorders>
                  <w:shd w:val="clear" w:color="auto" w:fill="auto"/>
                  <w:noWrap w:val="0"/>
                  <w:vAlign w:val="center"/>
                </w:tcPr>
                <w:p w14:paraId="574E1E04">
                  <w:pPr>
                    <w:shd w:val="clear" w:color="auto" w:fill="auto"/>
                    <w:jc w:val="center"/>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锅炉房</w:t>
                  </w:r>
                </w:p>
              </w:tc>
              <w:tc>
                <w:tcPr>
                  <w:tcW w:w="902" w:type="pct"/>
                  <w:tcBorders>
                    <w:tl2br w:val="nil"/>
                    <w:tr2bl w:val="nil"/>
                  </w:tcBorders>
                  <w:shd w:val="clear" w:color="auto" w:fill="auto"/>
                  <w:noWrap w:val="0"/>
                  <w:vAlign w:val="center"/>
                </w:tcPr>
                <w:p w14:paraId="002E6DE5">
                  <w:pPr>
                    <w:shd w:val="clear" w:color="auto" w:fill="auto"/>
                    <w:jc w:val="center"/>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软水制备</w:t>
                  </w:r>
                </w:p>
              </w:tc>
              <w:tc>
                <w:tcPr>
                  <w:tcW w:w="917" w:type="pct"/>
                  <w:tcBorders>
                    <w:tl2br w:val="nil"/>
                    <w:tr2bl w:val="nil"/>
                  </w:tcBorders>
                  <w:shd w:val="clear" w:color="auto" w:fill="auto"/>
                  <w:noWrap w:val="0"/>
                  <w:vAlign w:val="center"/>
                </w:tcPr>
                <w:p w14:paraId="0DEEF04A">
                  <w:pPr>
                    <w:shd w:val="clear" w:color="auto" w:fill="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废离子交换树脂</w:t>
                  </w:r>
                </w:p>
              </w:tc>
              <w:tc>
                <w:tcPr>
                  <w:tcW w:w="914" w:type="pct"/>
                  <w:tcBorders>
                    <w:tl2br w:val="nil"/>
                    <w:tr2bl w:val="nil"/>
                  </w:tcBorders>
                  <w:shd w:val="clear" w:color="auto" w:fill="auto"/>
                  <w:noWrap w:val="0"/>
                  <w:vAlign w:val="center"/>
                </w:tcPr>
                <w:p w14:paraId="7615F436">
                  <w:pPr>
                    <w:shd w:val="clear" w:color="auto" w:fill="auto"/>
                    <w:jc w:val="center"/>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由厂家更换回收综合利用</w:t>
                  </w:r>
                </w:p>
              </w:tc>
              <w:tc>
                <w:tcPr>
                  <w:tcW w:w="715" w:type="pct"/>
                  <w:vMerge w:val="continue"/>
                  <w:tcBorders>
                    <w:tl2br w:val="nil"/>
                    <w:tr2bl w:val="nil"/>
                  </w:tcBorders>
                  <w:shd w:val="clear" w:color="auto" w:fill="auto"/>
                  <w:noWrap w:val="0"/>
                  <w:vAlign w:val="center"/>
                </w:tcPr>
                <w:p w14:paraId="7BF141EC">
                  <w:pPr>
                    <w:shd w:val="clear" w:color="auto" w:fill="auto"/>
                    <w:jc w:val="center"/>
                    <w:rPr>
                      <w:rFonts w:hint="default" w:ascii="Times New Roman" w:hAnsi="Times New Roman" w:cs="Times New Roman"/>
                      <w:color w:val="000000"/>
                      <w:sz w:val="21"/>
                      <w:szCs w:val="21"/>
                      <w:highlight w:val="none"/>
                      <w:lang w:val="en-US" w:eastAsia="zh-CN"/>
                    </w:rPr>
                  </w:pPr>
                </w:p>
              </w:tc>
            </w:tr>
            <w:tr w14:paraId="2BB60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477" w:type="pct"/>
                  <w:vMerge w:val="continue"/>
                  <w:tcBorders>
                    <w:tl2br w:val="nil"/>
                    <w:tr2bl w:val="nil"/>
                  </w:tcBorders>
                  <w:shd w:val="clear" w:color="auto" w:fill="auto"/>
                  <w:noWrap w:val="0"/>
                  <w:vAlign w:val="center"/>
                </w:tcPr>
                <w:p w14:paraId="289C423B">
                  <w:pPr>
                    <w:pStyle w:val="143"/>
                    <w:shd w:val="clear" w:color="auto" w:fill="auto"/>
                    <w:kinsoku w:val="0"/>
                    <w:overflowPunct w:val="0"/>
                    <w:rPr>
                      <w:rFonts w:hint="default" w:ascii="Times New Roman" w:hAnsi="Times New Roman" w:cs="Times New Roman"/>
                      <w:color w:val="000000"/>
                      <w:sz w:val="21"/>
                      <w:szCs w:val="21"/>
                      <w:highlight w:val="none"/>
                      <w:lang w:eastAsia="zh-CN"/>
                    </w:rPr>
                  </w:pPr>
                </w:p>
              </w:tc>
              <w:tc>
                <w:tcPr>
                  <w:tcW w:w="1071" w:type="pct"/>
                  <w:tcBorders>
                    <w:tl2br w:val="nil"/>
                    <w:tr2bl w:val="nil"/>
                  </w:tcBorders>
                  <w:shd w:val="clear" w:color="auto" w:fill="auto"/>
                  <w:noWrap w:val="0"/>
                  <w:vAlign w:val="center"/>
                </w:tcPr>
                <w:p w14:paraId="797CEAC2">
                  <w:pPr>
                    <w:shd w:val="clear" w:color="auto" w:fill="auto"/>
                    <w:jc w:val="center"/>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成装车间</w:t>
                  </w:r>
                </w:p>
              </w:tc>
              <w:tc>
                <w:tcPr>
                  <w:tcW w:w="902" w:type="pct"/>
                  <w:tcBorders>
                    <w:tl2br w:val="nil"/>
                    <w:tr2bl w:val="nil"/>
                  </w:tcBorders>
                  <w:shd w:val="clear" w:color="auto" w:fill="auto"/>
                  <w:noWrap w:val="0"/>
                  <w:vAlign w:val="center"/>
                </w:tcPr>
                <w:p w14:paraId="134E4A91">
                  <w:pPr>
                    <w:shd w:val="clear" w:color="auto" w:fill="auto"/>
                    <w:jc w:val="center"/>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纯水制备</w:t>
                  </w:r>
                </w:p>
              </w:tc>
              <w:tc>
                <w:tcPr>
                  <w:tcW w:w="917" w:type="pct"/>
                  <w:tcBorders>
                    <w:tl2br w:val="nil"/>
                    <w:tr2bl w:val="nil"/>
                  </w:tcBorders>
                  <w:shd w:val="clear" w:color="auto" w:fill="auto"/>
                  <w:noWrap w:val="0"/>
                  <w:vAlign w:val="center"/>
                </w:tcPr>
                <w:p w14:paraId="284FEF32">
                  <w:pPr>
                    <w:shd w:val="clear" w:color="auto" w:fill="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废滤芯（PP棉滤芯、活性炭滤芯及RO反渗透膜）</w:t>
                  </w:r>
                </w:p>
              </w:tc>
              <w:tc>
                <w:tcPr>
                  <w:tcW w:w="914" w:type="pct"/>
                  <w:tcBorders>
                    <w:tl2br w:val="nil"/>
                    <w:tr2bl w:val="nil"/>
                  </w:tcBorders>
                  <w:shd w:val="clear" w:color="auto" w:fill="auto"/>
                  <w:noWrap w:val="0"/>
                  <w:vAlign w:val="center"/>
                </w:tcPr>
                <w:p w14:paraId="7CADAFBA">
                  <w:pPr>
                    <w:shd w:val="clear" w:color="auto" w:fill="auto"/>
                    <w:jc w:val="center"/>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由厂家更换回收综合利用</w:t>
                  </w:r>
                </w:p>
              </w:tc>
              <w:tc>
                <w:tcPr>
                  <w:tcW w:w="715" w:type="pct"/>
                  <w:vMerge w:val="continue"/>
                  <w:tcBorders>
                    <w:tl2br w:val="nil"/>
                    <w:tr2bl w:val="nil"/>
                  </w:tcBorders>
                  <w:shd w:val="clear" w:color="auto" w:fill="auto"/>
                  <w:noWrap w:val="0"/>
                  <w:vAlign w:val="center"/>
                </w:tcPr>
                <w:p w14:paraId="5BFA7C9E">
                  <w:pPr>
                    <w:shd w:val="clear" w:color="auto" w:fill="auto"/>
                    <w:jc w:val="center"/>
                    <w:rPr>
                      <w:rFonts w:hint="default" w:ascii="Times New Roman" w:hAnsi="Times New Roman" w:cs="Times New Roman"/>
                      <w:color w:val="000000"/>
                      <w:sz w:val="21"/>
                      <w:szCs w:val="21"/>
                      <w:highlight w:val="none"/>
                      <w:lang w:val="en-US" w:eastAsia="zh-CN"/>
                    </w:rPr>
                  </w:pPr>
                </w:p>
              </w:tc>
            </w:tr>
            <w:tr w14:paraId="6FCF7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7" w:type="pct"/>
                  <w:vMerge w:val="continue"/>
                  <w:tcBorders>
                    <w:tl2br w:val="nil"/>
                    <w:tr2bl w:val="nil"/>
                  </w:tcBorders>
                  <w:shd w:val="clear" w:color="auto" w:fill="auto"/>
                  <w:noWrap w:val="0"/>
                  <w:vAlign w:val="center"/>
                </w:tcPr>
                <w:p w14:paraId="7906FAE6">
                  <w:pPr>
                    <w:pStyle w:val="143"/>
                    <w:shd w:val="clear" w:color="auto" w:fill="auto"/>
                    <w:kinsoku w:val="0"/>
                    <w:overflowPunct w:val="0"/>
                    <w:rPr>
                      <w:rFonts w:hint="default" w:ascii="Times New Roman" w:hAnsi="Times New Roman" w:cs="Times New Roman"/>
                      <w:color w:val="000000"/>
                      <w:sz w:val="21"/>
                      <w:szCs w:val="21"/>
                      <w:highlight w:val="none"/>
                      <w:lang w:eastAsia="zh-CN"/>
                    </w:rPr>
                  </w:pPr>
                </w:p>
              </w:tc>
              <w:tc>
                <w:tcPr>
                  <w:tcW w:w="1071" w:type="pct"/>
                  <w:vMerge w:val="restart"/>
                  <w:tcBorders>
                    <w:tl2br w:val="nil"/>
                    <w:tr2bl w:val="nil"/>
                  </w:tcBorders>
                  <w:shd w:val="clear" w:color="auto" w:fill="auto"/>
                  <w:noWrap w:val="0"/>
                  <w:vAlign w:val="center"/>
                </w:tcPr>
                <w:p w14:paraId="5FAC3413">
                  <w:pPr>
                    <w:shd w:val="clear" w:color="auto" w:fill="auto"/>
                    <w:jc w:val="center"/>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污水处理站</w:t>
                  </w:r>
                </w:p>
              </w:tc>
              <w:tc>
                <w:tcPr>
                  <w:tcW w:w="902" w:type="pct"/>
                  <w:tcBorders>
                    <w:tl2br w:val="nil"/>
                    <w:tr2bl w:val="nil"/>
                  </w:tcBorders>
                  <w:shd w:val="clear" w:color="auto" w:fill="auto"/>
                  <w:noWrap w:val="0"/>
                  <w:vAlign w:val="center"/>
                </w:tcPr>
                <w:p w14:paraId="1FFFCF5F">
                  <w:pPr>
                    <w:shd w:val="clear" w:color="auto" w:fill="auto"/>
                    <w:jc w:val="center"/>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废水处理</w:t>
                  </w:r>
                </w:p>
              </w:tc>
              <w:tc>
                <w:tcPr>
                  <w:tcW w:w="917" w:type="pct"/>
                  <w:tcBorders>
                    <w:tl2br w:val="nil"/>
                    <w:tr2bl w:val="nil"/>
                  </w:tcBorders>
                  <w:shd w:val="clear" w:color="auto" w:fill="auto"/>
                  <w:noWrap w:val="0"/>
                  <w:vAlign w:val="center"/>
                </w:tcPr>
                <w:p w14:paraId="1291A069">
                  <w:pPr>
                    <w:shd w:val="clear" w:color="auto" w:fill="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压滤污泥</w:t>
                  </w:r>
                </w:p>
              </w:tc>
              <w:tc>
                <w:tcPr>
                  <w:tcW w:w="914" w:type="pct"/>
                  <w:tcBorders>
                    <w:tl2br w:val="nil"/>
                    <w:tr2bl w:val="nil"/>
                  </w:tcBorders>
                  <w:shd w:val="clear" w:color="auto" w:fill="auto"/>
                  <w:noWrap w:val="0"/>
                  <w:vAlign w:val="center"/>
                </w:tcPr>
                <w:p w14:paraId="6C7CCE3B">
                  <w:pPr>
                    <w:shd w:val="clear" w:color="auto" w:fill="auto"/>
                    <w:jc w:val="center"/>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由附近村民拉运肥田</w:t>
                  </w:r>
                </w:p>
              </w:tc>
              <w:tc>
                <w:tcPr>
                  <w:tcW w:w="715" w:type="pct"/>
                  <w:vMerge w:val="continue"/>
                  <w:tcBorders>
                    <w:tl2br w:val="nil"/>
                    <w:tr2bl w:val="nil"/>
                  </w:tcBorders>
                  <w:shd w:val="clear" w:color="auto" w:fill="auto"/>
                  <w:noWrap w:val="0"/>
                  <w:vAlign w:val="center"/>
                </w:tcPr>
                <w:p w14:paraId="534059FE">
                  <w:pPr>
                    <w:shd w:val="clear" w:color="auto" w:fill="auto"/>
                    <w:jc w:val="center"/>
                    <w:rPr>
                      <w:rFonts w:hint="default" w:ascii="Times New Roman" w:hAnsi="Times New Roman" w:cs="Times New Roman"/>
                      <w:color w:val="000000"/>
                      <w:sz w:val="21"/>
                      <w:szCs w:val="21"/>
                      <w:highlight w:val="none"/>
                      <w:lang w:val="en-US" w:eastAsia="zh-CN"/>
                    </w:rPr>
                  </w:pPr>
                </w:p>
              </w:tc>
            </w:tr>
            <w:tr w14:paraId="6150F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477" w:type="pct"/>
                  <w:vMerge w:val="continue"/>
                  <w:tcBorders>
                    <w:tl2br w:val="nil"/>
                    <w:tr2bl w:val="nil"/>
                  </w:tcBorders>
                  <w:shd w:val="clear" w:color="auto" w:fill="auto"/>
                  <w:noWrap w:val="0"/>
                  <w:vAlign w:val="center"/>
                </w:tcPr>
                <w:p w14:paraId="602A1B70">
                  <w:pPr>
                    <w:pStyle w:val="143"/>
                    <w:shd w:val="clear" w:color="auto" w:fill="auto"/>
                    <w:kinsoku w:val="0"/>
                    <w:overflowPunct w:val="0"/>
                    <w:rPr>
                      <w:rFonts w:hint="default" w:ascii="Times New Roman" w:hAnsi="Times New Roman" w:cs="Times New Roman"/>
                      <w:color w:val="000000"/>
                      <w:sz w:val="21"/>
                      <w:szCs w:val="21"/>
                      <w:highlight w:val="none"/>
                      <w:lang w:eastAsia="zh-CN"/>
                    </w:rPr>
                  </w:pPr>
                </w:p>
              </w:tc>
              <w:tc>
                <w:tcPr>
                  <w:tcW w:w="1071" w:type="pct"/>
                  <w:vMerge w:val="continue"/>
                  <w:tcBorders>
                    <w:tl2br w:val="nil"/>
                    <w:tr2bl w:val="nil"/>
                  </w:tcBorders>
                  <w:shd w:val="clear" w:color="auto" w:fill="auto"/>
                  <w:noWrap w:val="0"/>
                  <w:vAlign w:val="center"/>
                </w:tcPr>
                <w:p w14:paraId="1847B1D9">
                  <w:pPr>
                    <w:shd w:val="clear" w:color="auto" w:fill="auto"/>
                    <w:jc w:val="center"/>
                    <w:rPr>
                      <w:rFonts w:hint="default" w:ascii="Times New Roman" w:hAnsi="Times New Roman" w:cs="Times New Roman"/>
                      <w:color w:val="000000"/>
                      <w:sz w:val="21"/>
                      <w:szCs w:val="21"/>
                      <w:highlight w:val="none"/>
                      <w:lang w:val="en-US" w:eastAsia="zh-CN"/>
                    </w:rPr>
                  </w:pPr>
                </w:p>
              </w:tc>
              <w:tc>
                <w:tcPr>
                  <w:tcW w:w="902" w:type="pct"/>
                  <w:tcBorders>
                    <w:tl2br w:val="nil"/>
                    <w:tr2bl w:val="nil"/>
                  </w:tcBorders>
                  <w:shd w:val="clear" w:color="auto" w:fill="auto"/>
                  <w:noWrap w:val="0"/>
                  <w:vAlign w:val="center"/>
                </w:tcPr>
                <w:p w14:paraId="73B586EF">
                  <w:pPr>
                    <w:shd w:val="clear" w:color="auto" w:fill="auto"/>
                    <w:jc w:val="center"/>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恶臭净化</w:t>
                  </w:r>
                </w:p>
              </w:tc>
              <w:tc>
                <w:tcPr>
                  <w:tcW w:w="917" w:type="pct"/>
                  <w:tcBorders>
                    <w:tl2br w:val="nil"/>
                    <w:tr2bl w:val="nil"/>
                  </w:tcBorders>
                  <w:shd w:val="clear" w:color="auto" w:fill="auto"/>
                  <w:noWrap w:val="0"/>
                  <w:vAlign w:val="center"/>
                </w:tcPr>
                <w:p w14:paraId="25C423E8">
                  <w:pPr>
                    <w:shd w:val="clear" w:color="auto" w:fill="auto"/>
                    <w:jc w:val="center"/>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highlight w:val="none"/>
                    </w:rPr>
                    <w:t>废活性炭</w:t>
                  </w:r>
                </w:p>
              </w:tc>
              <w:tc>
                <w:tcPr>
                  <w:tcW w:w="914" w:type="pct"/>
                  <w:vMerge w:val="restart"/>
                  <w:tcBorders>
                    <w:tl2br w:val="nil"/>
                    <w:tr2bl w:val="nil"/>
                  </w:tcBorders>
                  <w:shd w:val="clear" w:color="auto" w:fill="auto"/>
                  <w:noWrap w:val="0"/>
                  <w:vAlign w:val="center"/>
                </w:tcPr>
                <w:p w14:paraId="2D1D0219">
                  <w:pPr>
                    <w:shd w:val="clear" w:color="auto" w:fill="auto"/>
                    <w:jc w:val="center"/>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暂存于</w:t>
                  </w:r>
                  <w:r>
                    <w:rPr>
                      <w:rFonts w:hint="eastAsia" w:cs="Times New Roman"/>
                      <w:color w:val="000000"/>
                      <w:sz w:val="21"/>
                      <w:szCs w:val="21"/>
                      <w:highlight w:val="none"/>
                      <w:lang w:val="en-US" w:eastAsia="zh-CN"/>
                    </w:rPr>
                    <w:t>危险废物贮存间</w:t>
                  </w:r>
                  <w:r>
                    <w:rPr>
                      <w:rFonts w:hint="default" w:ascii="Times New Roman" w:hAnsi="Times New Roman" w:cs="Times New Roman"/>
                      <w:color w:val="000000"/>
                      <w:sz w:val="21"/>
                      <w:szCs w:val="21"/>
                      <w:highlight w:val="none"/>
                      <w:lang w:val="en-US" w:eastAsia="zh-CN"/>
                    </w:rPr>
                    <w:t>，定期交有资质单位处置</w:t>
                  </w:r>
                </w:p>
              </w:tc>
              <w:tc>
                <w:tcPr>
                  <w:tcW w:w="715" w:type="pct"/>
                  <w:vMerge w:val="continue"/>
                  <w:tcBorders>
                    <w:tl2br w:val="nil"/>
                    <w:tr2bl w:val="nil"/>
                  </w:tcBorders>
                  <w:shd w:val="clear" w:color="auto" w:fill="auto"/>
                  <w:noWrap w:val="0"/>
                  <w:vAlign w:val="center"/>
                </w:tcPr>
                <w:p w14:paraId="5B98D47D">
                  <w:pPr>
                    <w:shd w:val="clear" w:color="auto" w:fill="auto"/>
                    <w:jc w:val="center"/>
                    <w:rPr>
                      <w:rFonts w:hint="default" w:ascii="Times New Roman" w:hAnsi="Times New Roman" w:cs="Times New Roman"/>
                      <w:color w:val="000000"/>
                      <w:sz w:val="21"/>
                      <w:szCs w:val="21"/>
                      <w:highlight w:val="none"/>
                      <w:lang w:val="en-US" w:eastAsia="zh-CN"/>
                    </w:rPr>
                  </w:pPr>
                </w:p>
              </w:tc>
            </w:tr>
            <w:tr w14:paraId="60507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7" w:type="pct"/>
                  <w:vMerge w:val="continue"/>
                  <w:tcBorders>
                    <w:tl2br w:val="nil"/>
                    <w:tr2bl w:val="nil"/>
                  </w:tcBorders>
                  <w:shd w:val="clear" w:color="auto" w:fill="auto"/>
                  <w:noWrap w:val="0"/>
                  <w:vAlign w:val="center"/>
                </w:tcPr>
                <w:p w14:paraId="085AE38A">
                  <w:pPr>
                    <w:pStyle w:val="143"/>
                    <w:shd w:val="clear" w:color="auto" w:fill="auto"/>
                    <w:kinsoku w:val="0"/>
                    <w:overflowPunct w:val="0"/>
                    <w:rPr>
                      <w:rFonts w:hint="default" w:ascii="Times New Roman" w:hAnsi="Times New Roman" w:cs="Times New Roman"/>
                      <w:color w:val="000000"/>
                      <w:sz w:val="21"/>
                      <w:szCs w:val="21"/>
                      <w:highlight w:val="none"/>
                      <w:lang w:eastAsia="zh-CN"/>
                    </w:rPr>
                  </w:pPr>
                </w:p>
              </w:tc>
              <w:tc>
                <w:tcPr>
                  <w:tcW w:w="1071" w:type="pct"/>
                  <w:tcBorders>
                    <w:tl2br w:val="nil"/>
                    <w:tr2bl w:val="nil"/>
                  </w:tcBorders>
                  <w:shd w:val="clear" w:color="auto" w:fill="auto"/>
                  <w:noWrap w:val="0"/>
                  <w:vAlign w:val="center"/>
                </w:tcPr>
                <w:p w14:paraId="3885BC87">
                  <w:pPr>
                    <w:shd w:val="clear" w:color="auto" w:fill="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生产设备</w:t>
                  </w:r>
                </w:p>
              </w:tc>
              <w:tc>
                <w:tcPr>
                  <w:tcW w:w="902" w:type="pct"/>
                  <w:tcBorders>
                    <w:tl2br w:val="nil"/>
                    <w:tr2bl w:val="nil"/>
                  </w:tcBorders>
                  <w:shd w:val="clear" w:color="auto" w:fill="auto"/>
                  <w:noWrap w:val="0"/>
                  <w:vAlign w:val="center"/>
                </w:tcPr>
                <w:p w14:paraId="6C471D02">
                  <w:pPr>
                    <w:shd w:val="clear" w:color="auto" w:fill="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设备维护</w:t>
                  </w:r>
                </w:p>
              </w:tc>
              <w:tc>
                <w:tcPr>
                  <w:tcW w:w="917" w:type="pct"/>
                  <w:tcBorders>
                    <w:tl2br w:val="nil"/>
                    <w:tr2bl w:val="nil"/>
                  </w:tcBorders>
                  <w:shd w:val="clear" w:color="auto" w:fill="auto"/>
                  <w:noWrap w:val="0"/>
                  <w:vAlign w:val="center"/>
                </w:tcPr>
                <w:p w14:paraId="527599C0">
                  <w:pPr>
                    <w:shd w:val="clear" w:color="auto" w:fill="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废机油</w:t>
                  </w:r>
                  <w:r>
                    <w:rPr>
                      <w:rFonts w:hint="eastAsia" w:ascii="Times New Roman" w:hAnsi="Times New Roman" w:eastAsia="宋体" w:cs="Times New Roman"/>
                      <w:color w:val="000000"/>
                      <w:sz w:val="21"/>
                      <w:szCs w:val="21"/>
                      <w:highlight w:val="none"/>
                      <w:lang w:val="en-US" w:eastAsia="zh-CN"/>
                    </w:rPr>
                    <w:t>、废油桶、废含油抹布</w:t>
                  </w:r>
                  <w:r>
                    <w:rPr>
                      <w:rFonts w:hint="eastAsia" w:cs="Times New Roman"/>
                      <w:color w:val="000000"/>
                      <w:sz w:val="21"/>
                      <w:szCs w:val="21"/>
                      <w:highlight w:val="none"/>
                      <w:lang w:val="en-US" w:eastAsia="zh-CN"/>
                    </w:rPr>
                    <w:t>和</w:t>
                  </w:r>
                  <w:r>
                    <w:rPr>
                      <w:rFonts w:hint="eastAsia" w:ascii="Times New Roman" w:hAnsi="Times New Roman" w:eastAsia="宋体" w:cs="Times New Roman"/>
                      <w:color w:val="000000"/>
                      <w:sz w:val="21"/>
                      <w:szCs w:val="21"/>
                      <w:highlight w:val="none"/>
                      <w:lang w:val="en-US" w:eastAsia="zh-CN"/>
                    </w:rPr>
                    <w:t>手套</w:t>
                  </w:r>
                </w:p>
              </w:tc>
              <w:tc>
                <w:tcPr>
                  <w:tcW w:w="914" w:type="pct"/>
                  <w:vMerge w:val="continue"/>
                  <w:tcBorders>
                    <w:tl2br w:val="nil"/>
                    <w:tr2bl w:val="nil"/>
                  </w:tcBorders>
                  <w:shd w:val="clear" w:color="auto" w:fill="auto"/>
                  <w:noWrap w:val="0"/>
                  <w:vAlign w:val="center"/>
                </w:tcPr>
                <w:p w14:paraId="6C5FF0D9">
                  <w:pPr>
                    <w:pStyle w:val="143"/>
                    <w:shd w:val="clear" w:color="auto" w:fill="auto"/>
                    <w:kinsoku w:val="0"/>
                    <w:overflowPunct w:val="0"/>
                    <w:rPr>
                      <w:rFonts w:hint="default" w:ascii="Times New Roman" w:hAnsi="Times New Roman" w:eastAsia="宋体" w:cs="Times New Roman"/>
                      <w:color w:val="000000"/>
                      <w:sz w:val="21"/>
                      <w:szCs w:val="21"/>
                      <w:highlight w:val="none"/>
                      <w:lang w:val="en-US" w:eastAsia="zh-CN"/>
                    </w:rPr>
                  </w:pPr>
                </w:p>
              </w:tc>
              <w:tc>
                <w:tcPr>
                  <w:tcW w:w="715" w:type="pct"/>
                  <w:vMerge w:val="continue"/>
                  <w:tcBorders>
                    <w:tl2br w:val="nil"/>
                    <w:tr2bl w:val="nil"/>
                  </w:tcBorders>
                  <w:shd w:val="clear" w:color="auto" w:fill="auto"/>
                  <w:noWrap w:val="0"/>
                  <w:vAlign w:val="center"/>
                </w:tcPr>
                <w:p w14:paraId="7C18276A">
                  <w:pPr>
                    <w:pStyle w:val="143"/>
                    <w:shd w:val="clear" w:color="auto" w:fill="auto"/>
                    <w:kinsoku w:val="0"/>
                    <w:overflowPunct w:val="0"/>
                    <w:rPr>
                      <w:rFonts w:hint="default" w:ascii="Times New Roman" w:hAnsi="Times New Roman" w:eastAsia="宋体" w:cs="Times New Roman"/>
                      <w:color w:val="000000"/>
                      <w:sz w:val="21"/>
                      <w:szCs w:val="21"/>
                      <w:highlight w:val="none"/>
                      <w:lang w:val="en-US" w:eastAsia="zh-CN"/>
                    </w:rPr>
                  </w:pPr>
                </w:p>
              </w:tc>
            </w:tr>
            <w:tr w14:paraId="6574E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477" w:type="pct"/>
                  <w:vMerge w:val="continue"/>
                  <w:tcBorders>
                    <w:tl2br w:val="nil"/>
                    <w:tr2bl w:val="nil"/>
                  </w:tcBorders>
                  <w:shd w:val="clear" w:color="auto" w:fill="auto"/>
                  <w:noWrap w:val="0"/>
                  <w:vAlign w:val="center"/>
                </w:tcPr>
                <w:p w14:paraId="28D0F95E">
                  <w:pPr>
                    <w:pStyle w:val="143"/>
                    <w:shd w:val="clear" w:color="auto" w:fill="auto"/>
                    <w:kinsoku w:val="0"/>
                    <w:overflowPunct w:val="0"/>
                    <w:rPr>
                      <w:rFonts w:hint="default" w:ascii="Times New Roman" w:hAnsi="Times New Roman" w:cs="Times New Roman"/>
                      <w:color w:val="000000"/>
                      <w:sz w:val="21"/>
                      <w:szCs w:val="21"/>
                      <w:highlight w:val="none"/>
                      <w:lang w:eastAsia="zh-CN"/>
                    </w:rPr>
                  </w:pPr>
                </w:p>
              </w:tc>
              <w:tc>
                <w:tcPr>
                  <w:tcW w:w="1071" w:type="pct"/>
                  <w:tcBorders>
                    <w:tl2br w:val="nil"/>
                    <w:tr2bl w:val="nil"/>
                  </w:tcBorders>
                  <w:shd w:val="clear" w:color="auto" w:fill="auto"/>
                  <w:noWrap w:val="0"/>
                  <w:vAlign w:val="center"/>
                </w:tcPr>
                <w:p w14:paraId="623E2AD2">
                  <w:pPr>
                    <w:shd w:val="clear" w:color="auto" w:fill="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化验室</w:t>
                  </w:r>
                </w:p>
              </w:tc>
              <w:tc>
                <w:tcPr>
                  <w:tcW w:w="902" w:type="pct"/>
                  <w:tcBorders>
                    <w:tl2br w:val="nil"/>
                    <w:tr2bl w:val="nil"/>
                  </w:tcBorders>
                  <w:shd w:val="clear" w:color="auto" w:fill="auto"/>
                  <w:noWrap w:val="0"/>
                  <w:vAlign w:val="center"/>
                </w:tcPr>
                <w:p w14:paraId="142288D6">
                  <w:pPr>
                    <w:shd w:val="clear" w:color="auto" w:fill="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产品检验</w:t>
                  </w:r>
                </w:p>
              </w:tc>
              <w:tc>
                <w:tcPr>
                  <w:tcW w:w="917" w:type="pct"/>
                  <w:tcBorders>
                    <w:tl2br w:val="nil"/>
                    <w:tr2bl w:val="nil"/>
                  </w:tcBorders>
                  <w:shd w:val="clear" w:color="auto" w:fill="auto"/>
                  <w:noWrap w:val="0"/>
                  <w:vAlign w:val="center"/>
                </w:tcPr>
                <w:p w14:paraId="75FD7DE6">
                  <w:pPr>
                    <w:shd w:val="clear" w:color="auto" w:fill="auto"/>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实验室废液</w:t>
                  </w:r>
                </w:p>
              </w:tc>
              <w:tc>
                <w:tcPr>
                  <w:tcW w:w="914" w:type="pct"/>
                  <w:vMerge w:val="continue"/>
                  <w:tcBorders>
                    <w:tl2br w:val="nil"/>
                    <w:tr2bl w:val="nil"/>
                  </w:tcBorders>
                  <w:shd w:val="clear" w:color="auto" w:fill="auto"/>
                  <w:noWrap w:val="0"/>
                  <w:vAlign w:val="center"/>
                </w:tcPr>
                <w:p w14:paraId="7F398673">
                  <w:pPr>
                    <w:pStyle w:val="143"/>
                    <w:shd w:val="clear" w:color="auto" w:fill="auto"/>
                    <w:kinsoku w:val="0"/>
                    <w:overflowPunct w:val="0"/>
                    <w:rPr>
                      <w:rFonts w:hint="default" w:ascii="Times New Roman" w:hAnsi="Times New Roman" w:eastAsia="宋体" w:cs="Times New Roman"/>
                      <w:color w:val="000000"/>
                      <w:sz w:val="21"/>
                      <w:szCs w:val="21"/>
                      <w:highlight w:val="none"/>
                      <w:lang w:val="en-US" w:eastAsia="zh-CN"/>
                    </w:rPr>
                  </w:pPr>
                </w:p>
              </w:tc>
              <w:tc>
                <w:tcPr>
                  <w:tcW w:w="715" w:type="pct"/>
                  <w:vMerge w:val="continue"/>
                  <w:tcBorders>
                    <w:tl2br w:val="nil"/>
                    <w:tr2bl w:val="nil"/>
                  </w:tcBorders>
                  <w:shd w:val="clear" w:color="auto" w:fill="auto"/>
                  <w:noWrap w:val="0"/>
                  <w:vAlign w:val="center"/>
                </w:tcPr>
                <w:p w14:paraId="4692E065">
                  <w:pPr>
                    <w:pStyle w:val="143"/>
                    <w:shd w:val="clear" w:color="auto" w:fill="auto"/>
                    <w:kinsoku w:val="0"/>
                    <w:overflowPunct w:val="0"/>
                    <w:rPr>
                      <w:rFonts w:hint="default" w:ascii="Times New Roman" w:hAnsi="Times New Roman" w:eastAsia="宋体" w:cs="Times New Roman"/>
                      <w:color w:val="000000"/>
                      <w:sz w:val="21"/>
                      <w:szCs w:val="21"/>
                      <w:highlight w:val="none"/>
                      <w:lang w:val="en-US" w:eastAsia="zh-CN"/>
                    </w:rPr>
                  </w:pPr>
                </w:p>
              </w:tc>
            </w:tr>
            <w:tr w14:paraId="517DD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477" w:type="pct"/>
                  <w:vMerge w:val="continue"/>
                  <w:tcBorders>
                    <w:tl2br w:val="nil"/>
                    <w:tr2bl w:val="nil"/>
                  </w:tcBorders>
                  <w:shd w:val="clear" w:color="auto" w:fill="auto"/>
                  <w:noWrap w:val="0"/>
                  <w:vAlign w:val="center"/>
                </w:tcPr>
                <w:p w14:paraId="59014357">
                  <w:pPr>
                    <w:pStyle w:val="143"/>
                    <w:shd w:val="clear" w:color="auto" w:fill="auto"/>
                    <w:kinsoku w:val="0"/>
                    <w:overflowPunct w:val="0"/>
                    <w:rPr>
                      <w:rFonts w:hint="default" w:ascii="Times New Roman" w:hAnsi="Times New Roman" w:cs="Times New Roman"/>
                      <w:color w:val="000000"/>
                      <w:sz w:val="21"/>
                      <w:szCs w:val="21"/>
                      <w:highlight w:val="none"/>
                      <w:lang w:eastAsia="zh-CN"/>
                    </w:rPr>
                  </w:pPr>
                </w:p>
              </w:tc>
              <w:tc>
                <w:tcPr>
                  <w:tcW w:w="1071" w:type="pct"/>
                  <w:tcBorders>
                    <w:tl2br w:val="nil"/>
                    <w:tr2bl w:val="nil"/>
                  </w:tcBorders>
                  <w:shd w:val="clear" w:color="auto" w:fill="auto"/>
                  <w:noWrap w:val="0"/>
                  <w:vAlign w:val="center"/>
                </w:tcPr>
                <w:p w14:paraId="18B6D95E">
                  <w:pPr>
                    <w:shd w:val="clear" w:color="auto" w:fill="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办公</w:t>
                  </w:r>
                  <w:r>
                    <w:rPr>
                      <w:rFonts w:hint="eastAsia"/>
                      <w:lang w:val="en-US" w:eastAsia="zh-CN"/>
                    </w:rPr>
                    <w:t>区</w:t>
                  </w:r>
                  <w:r>
                    <w:rPr>
                      <w:rFonts w:hint="default" w:ascii="Times New Roman" w:hAnsi="Times New Roman" w:eastAsia="宋体" w:cs="Times New Roman"/>
                      <w:color w:val="000000"/>
                      <w:sz w:val="21"/>
                      <w:szCs w:val="21"/>
                      <w:highlight w:val="none"/>
                      <w:lang w:val="en-US" w:eastAsia="zh-CN"/>
                    </w:rPr>
                    <w:t>、生活区</w:t>
                  </w:r>
                </w:p>
              </w:tc>
              <w:tc>
                <w:tcPr>
                  <w:tcW w:w="902" w:type="pct"/>
                  <w:tcBorders>
                    <w:tl2br w:val="nil"/>
                    <w:tr2bl w:val="nil"/>
                  </w:tcBorders>
                  <w:shd w:val="clear" w:color="auto" w:fill="auto"/>
                  <w:noWrap w:val="0"/>
                  <w:vAlign w:val="center"/>
                </w:tcPr>
                <w:p w14:paraId="59B7CD91">
                  <w:pPr>
                    <w:shd w:val="clear" w:color="auto" w:fill="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职工生活</w:t>
                  </w:r>
                </w:p>
              </w:tc>
              <w:tc>
                <w:tcPr>
                  <w:tcW w:w="917" w:type="pct"/>
                  <w:tcBorders>
                    <w:tl2br w:val="nil"/>
                    <w:tr2bl w:val="nil"/>
                  </w:tcBorders>
                  <w:shd w:val="clear" w:color="auto" w:fill="auto"/>
                  <w:noWrap w:val="0"/>
                  <w:vAlign w:val="center"/>
                </w:tcPr>
                <w:p w14:paraId="31612A66">
                  <w:pPr>
                    <w:shd w:val="clear" w:color="auto" w:fill="auto"/>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生活垃圾</w:t>
                  </w:r>
                </w:p>
              </w:tc>
              <w:tc>
                <w:tcPr>
                  <w:tcW w:w="914" w:type="pct"/>
                  <w:tcBorders>
                    <w:tl2br w:val="nil"/>
                    <w:tr2bl w:val="nil"/>
                  </w:tcBorders>
                  <w:shd w:val="clear" w:color="auto" w:fill="auto"/>
                  <w:noWrap w:val="0"/>
                  <w:vAlign w:val="center"/>
                </w:tcPr>
                <w:p w14:paraId="2C34A7B1">
                  <w:pPr>
                    <w:pStyle w:val="143"/>
                    <w:shd w:val="clear" w:color="auto" w:fill="auto"/>
                    <w:kinsoku w:val="0"/>
                    <w:overflowPunct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交环卫部门拉运处置</w:t>
                  </w:r>
                </w:p>
              </w:tc>
              <w:tc>
                <w:tcPr>
                  <w:tcW w:w="715" w:type="pct"/>
                  <w:vMerge w:val="continue"/>
                  <w:tcBorders>
                    <w:tl2br w:val="nil"/>
                    <w:tr2bl w:val="nil"/>
                  </w:tcBorders>
                  <w:shd w:val="clear" w:color="auto" w:fill="auto"/>
                  <w:noWrap w:val="0"/>
                  <w:vAlign w:val="center"/>
                </w:tcPr>
                <w:p w14:paraId="2D51B617">
                  <w:pPr>
                    <w:pStyle w:val="143"/>
                    <w:shd w:val="clear" w:color="auto" w:fill="auto"/>
                    <w:kinsoku w:val="0"/>
                    <w:overflowPunct w:val="0"/>
                    <w:rPr>
                      <w:rFonts w:hint="default" w:ascii="Times New Roman" w:hAnsi="Times New Roman" w:eastAsia="宋体" w:cs="Times New Roman"/>
                      <w:color w:val="000000"/>
                      <w:sz w:val="21"/>
                      <w:szCs w:val="21"/>
                      <w:highlight w:val="none"/>
                      <w:lang w:val="en-US" w:eastAsia="zh-CN"/>
                    </w:rPr>
                  </w:pPr>
                </w:p>
              </w:tc>
            </w:tr>
            <w:tr w14:paraId="0DA9C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jc w:val="center"/>
              </w:trPr>
              <w:tc>
                <w:tcPr>
                  <w:tcW w:w="477" w:type="pct"/>
                  <w:tcBorders>
                    <w:tl2br w:val="nil"/>
                    <w:tr2bl w:val="nil"/>
                  </w:tcBorders>
                  <w:shd w:val="clear" w:color="auto" w:fill="auto"/>
                  <w:noWrap w:val="0"/>
                  <w:vAlign w:val="center"/>
                </w:tcPr>
                <w:p w14:paraId="78BC03C3">
                  <w:pPr>
                    <w:pStyle w:val="143"/>
                    <w:shd w:val="clear" w:color="auto" w:fill="auto"/>
                    <w:kinsoku w:val="0"/>
                    <w:overflowPunct w:val="0"/>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噪声</w:t>
                  </w:r>
                </w:p>
              </w:tc>
              <w:tc>
                <w:tcPr>
                  <w:tcW w:w="1071" w:type="pct"/>
                  <w:tcBorders>
                    <w:tl2br w:val="nil"/>
                    <w:tr2bl w:val="nil"/>
                  </w:tcBorders>
                  <w:shd w:val="clear" w:color="auto" w:fill="auto"/>
                  <w:noWrap w:val="0"/>
                  <w:vAlign w:val="center"/>
                </w:tcPr>
                <w:p w14:paraId="7CFC0981">
                  <w:pPr>
                    <w:pStyle w:val="143"/>
                    <w:shd w:val="clear" w:color="auto" w:fill="auto"/>
                    <w:kinsoku w:val="0"/>
                    <w:overflowPunct w:val="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生产设备</w:t>
                  </w:r>
                </w:p>
              </w:tc>
              <w:tc>
                <w:tcPr>
                  <w:tcW w:w="902" w:type="pct"/>
                  <w:tcBorders>
                    <w:tl2br w:val="nil"/>
                    <w:tr2bl w:val="nil"/>
                  </w:tcBorders>
                  <w:shd w:val="clear" w:color="auto" w:fill="auto"/>
                  <w:noWrap w:val="0"/>
                  <w:vAlign w:val="center"/>
                </w:tcPr>
                <w:p w14:paraId="7746A579">
                  <w:pPr>
                    <w:pStyle w:val="143"/>
                    <w:shd w:val="clear" w:color="auto" w:fill="auto"/>
                    <w:kinsoku w:val="0"/>
                    <w:overflowPunct w:val="0"/>
                    <w:rPr>
                      <w:rFonts w:hint="default" w:ascii="Times New Roman" w:hAnsi="Times New Roman" w:cs="Times New Roman"/>
                      <w:color w:val="000000"/>
                      <w:sz w:val="21"/>
                      <w:szCs w:val="21"/>
                      <w:highlight w:val="none"/>
                      <w:lang w:val="en-US"/>
                    </w:rPr>
                  </w:pPr>
                  <w:r>
                    <w:rPr>
                      <w:rFonts w:hint="default" w:ascii="Times New Roman" w:hAnsi="Times New Roman" w:cs="Times New Roman"/>
                      <w:color w:val="000000"/>
                      <w:sz w:val="21"/>
                      <w:szCs w:val="21"/>
                      <w:highlight w:val="none"/>
                      <w:lang w:val="en-US" w:eastAsia="zh-CN"/>
                    </w:rPr>
                    <w:t>设备运行</w:t>
                  </w:r>
                </w:p>
              </w:tc>
              <w:tc>
                <w:tcPr>
                  <w:tcW w:w="917" w:type="pct"/>
                  <w:tcBorders>
                    <w:tl2br w:val="nil"/>
                    <w:tr2bl w:val="nil"/>
                  </w:tcBorders>
                  <w:shd w:val="clear" w:color="auto" w:fill="auto"/>
                  <w:noWrap w:val="0"/>
                  <w:vAlign w:val="center"/>
                </w:tcPr>
                <w:p w14:paraId="65BAC89B">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噪声</w:t>
                  </w:r>
                </w:p>
              </w:tc>
              <w:tc>
                <w:tcPr>
                  <w:tcW w:w="914" w:type="pct"/>
                  <w:tcBorders>
                    <w:tl2br w:val="nil"/>
                    <w:tr2bl w:val="nil"/>
                  </w:tcBorders>
                  <w:shd w:val="clear" w:color="auto" w:fill="auto"/>
                  <w:noWrap w:val="0"/>
                  <w:vAlign w:val="center"/>
                </w:tcPr>
                <w:p w14:paraId="6BEB7458">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厂房隔声、基础减振、高噪声设备加装隔声罩</w:t>
                  </w:r>
                </w:p>
              </w:tc>
              <w:tc>
                <w:tcPr>
                  <w:tcW w:w="715" w:type="pct"/>
                  <w:tcBorders>
                    <w:tl2br w:val="nil"/>
                    <w:tr2bl w:val="nil"/>
                  </w:tcBorders>
                  <w:shd w:val="clear" w:color="auto" w:fill="auto"/>
                  <w:noWrap w:val="0"/>
                  <w:vAlign w:val="center"/>
                </w:tcPr>
                <w:p w14:paraId="7C3F6326">
                  <w:pPr>
                    <w:pStyle w:val="143"/>
                    <w:shd w:val="clear" w:color="auto" w:fill="auto"/>
                    <w:kinsoku w:val="0"/>
                    <w:overflowPunct w:val="0"/>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厂界达标</w:t>
                  </w:r>
                </w:p>
              </w:tc>
            </w:tr>
          </w:tbl>
          <w:p w14:paraId="5CEFD053">
            <w:pPr>
              <w:shd w:val="clear" w:color="auto" w:fill="auto"/>
              <w:adjustRightInd w:val="0"/>
              <w:snapToGrid w:val="0"/>
              <w:rPr>
                <w:rFonts w:hint="default" w:ascii="Times New Roman" w:hAnsi="Times New Roman" w:cs="Times New Roman"/>
                <w:bCs/>
                <w:color w:val="000000"/>
                <w:sz w:val="21"/>
                <w:szCs w:val="21"/>
                <w:highlight w:val="none"/>
              </w:rPr>
            </w:pPr>
          </w:p>
        </w:tc>
      </w:tr>
      <w:tr w14:paraId="633AAB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91" w:hRule="atLeast"/>
          <w:jc w:val="center"/>
        </w:trPr>
        <w:tc>
          <w:tcPr>
            <w:tcW w:w="537" w:type="pct"/>
            <w:shd w:val="clear" w:color="auto" w:fill="auto"/>
            <w:noWrap w:val="0"/>
            <w:vAlign w:val="center"/>
          </w:tcPr>
          <w:p w14:paraId="64D57FA1">
            <w:pPr>
              <w:pStyle w:val="66"/>
              <w:shd w:val="clear" w:color="auto" w:fill="auto"/>
              <w:adjustRightInd w:val="0"/>
              <w:snapToGrid w:val="0"/>
              <w:spacing w:before="0" w:beforeAutospacing="0" w:after="0" w:afterAutospacing="0"/>
              <w:jc w:val="center"/>
              <w:rPr>
                <w:rFonts w:hint="default" w:ascii="Times New Roman" w:hAnsi="Times New Roman" w:cs="Times New Roman"/>
                <w:color w:val="000000"/>
                <w:sz w:val="21"/>
                <w:szCs w:val="21"/>
                <w:highlight w:val="none"/>
              </w:rPr>
            </w:pPr>
            <w:r>
              <w:rPr>
                <w:rFonts w:hint="default" w:ascii="Times New Roman" w:hAnsi="Times New Roman" w:cs="Times New Roman"/>
                <w:bCs/>
                <w:color w:val="000000"/>
                <w:kern w:val="2"/>
                <w:sz w:val="21"/>
                <w:szCs w:val="21"/>
                <w:highlight w:val="none"/>
              </w:rPr>
              <w:t>与项目有关的原有环境污染问题</w:t>
            </w:r>
          </w:p>
        </w:tc>
        <w:tc>
          <w:tcPr>
            <w:tcW w:w="4462" w:type="pct"/>
            <w:shd w:val="clear" w:color="auto" w:fill="auto"/>
            <w:noWrap w:val="0"/>
            <w:vAlign w:val="center"/>
          </w:tcPr>
          <w:p w14:paraId="5D1A53F8">
            <w:pPr>
              <w:shd w:val="clear" w:color="auto" w:fill="auto"/>
              <w:bidi w:val="0"/>
              <w:spacing w:line="360" w:lineRule="auto"/>
              <w:ind w:firstLine="420" w:firstLineChars="200"/>
              <w:rPr>
                <w:rFonts w:hint="eastAsia"/>
                <w:color w:val="000000"/>
                <w:highlight w:val="none"/>
                <w:lang w:eastAsia="zh-CN"/>
              </w:rPr>
            </w:pPr>
            <w:r>
              <w:rPr>
                <w:rFonts w:hint="eastAsia"/>
                <w:color w:val="000000"/>
                <w:highlight w:val="none"/>
                <w:lang w:val="en-US" w:eastAsia="zh-CN"/>
              </w:rPr>
              <w:t>本项目位于宝鸡市凤翔区陈村镇尹家务供销社院内，为原供销社办公场所，无</w:t>
            </w:r>
            <w:r>
              <w:rPr>
                <w:rFonts w:hint="default"/>
                <w:color w:val="000000"/>
                <w:highlight w:val="none"/>
              </w:rPr>
              <w:t>与项目有关的原有环境污染问题</w:t>
            </w:r>
            <w:r>
              <w:rPr>
                <w:rFonts w:hint="eastAsia"/>
                <w:color w:val="000000"/>
                <w:highlight w:val="none"/>
                <w:lang w:eastAsia="zh-CN"/>
              </w:rPr>
              <w:t>。</w:t>
            </w:r>
          </w:p>
          <w:p w14:paraId="1E037E9A">
            <w:pPr>
              <w:rPr>
                <w:rFonts w:hint="default"/>
                <w:lang w:val="en-US" w:eastAsia="zh-CN"/>
              </w:rPr>
            </w:pPr>
          </w:p>
        </w:tc>
      </w:tr>
    </w:tbl>
    <w:p w14:paraId="5F532A10">
      <w:pPr>
        <w:pStyle w:val="66"/>
        <w:shd w:val="clear" w:color="auto" w:fill="auto"/>
        <w:jc w:val="center"/>
        <w:rPr>
          <w:rFonts w:ascii="黑体" w:hAnsi="黑体" w:eastAsia="黑体"/>
          <w:snapToGrid w:val="0"/>
          <w:color w:val="000000"/>
          <w:sz w:val="21"/>
          <w:szCs w:val="21"/>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7B84284">
      <w:pPr>
        <w:pStyle w:val="66"/>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ascii="黑体" w:hAnsi="黑体" w:eastAsia="黑体"/>
          <w:snapToGrid w:val="0"/>
          <w:color w:val="000000"/>
          <w:sz w:val="30"/>
          <w:szCs w:val="30"/>
          <w:highlight w:val="none"/>
        </w:rPr>
      </w:pPr>
      <w:r>
        <w:rPr>
          <w:rFonts w:hint="eastAsia" w:ascii="黑体" w:hAnsi="黑体" w:eastAsia="黑体"/>
          <w:snapToGrid w:val="0"/>
          <w:color w:val="000000"/>
          <w:sz w:val="30"/>
          <w:szCs w:val="30"/>
          <w:highlight w:val="none"/>
        </w:rPr>
        <w:t>三、区域环境质量现状、环境保护目标及评价标准</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00"/>
        <w:gridCol w:w="8190"/>
      </w:tblGrid>
      <w:tr w14:paraId="0E4F39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6" w:hRule="atLeast"/>
          <w:jc w:val="center"/>
        </w:trPr>
        <w:tc>
          <w:tcPr>
            <w:tcW w:w="800" w:type="dxa"/>
            <w:shd w:val="clear" w:color="auto" w:fill="auto"/>
            <w:noWrap w:val="0"/>
            <w:vAlign w:val="center"/>
          </w:tcPr>
          <w:p w14:paraId="727B6CA9">
            <w:pPr>
              <w:shd w:val="clear" w:color="auto" w:fill="auto"/>
              <w:adjustRightInd w:val="0"/>
              <w:snapToGrid w:val="0"/>
              <w:jc w:val="center"/>
              <w:rPr>
                <w:rFonts w:hint="eastAsia" w:ascii="宋体" w:hAnsi="宋体" w:cs="宋体"/>
                <w:color w:val="000000"/>
                <w:kern w:val="0"/>
                <w:sz w:val="21"/>
                <w:szCs w:val="21"/>
                <w:highlight w:val="none"/>
              </w:rPr>
            </w:pPr>
            <w:r>
              <w:rPr>
                <w:rFonts w:hint="eastAsia" w:ascii="宋体" w:hAnsi="宋体" w:cs="宋体"/>
                <w:color w:val="000000"/>
                <w:kern w:val="0"/>
                <w:sz w:val="21"/>
                <w:szCs w:val="21"/>
                <w:highlight w:val="none"/>
              </w:rPr>
              <w:t>区域</w:t>
            </w:r>
          </w:p>
          <w:p w14:paraId="1FD1FD03">
            <w:pPr>
              <w:shd w:val="clear" w:color="auto" w:fill="auto"/>
              <w:adjustRightInd w:val="0"/>
              <w:snapToGrid w:val="0"/>
              <w:jc w:val="center"/>
              <w:rPr>
                <w:rFonts w:hint="eastAsia" w:ascii="宋体" w:hAnsi="宋体" w:cs="宋体"/>
                <w:color w:val="000000"/>
                <w:kern w:val="0"/>
                <w:sz w:val="21"/>
                <w:szCs w:val="21"/>
                <w:highlight w:val="none"/>
              </w:rPr>
            </w:pPr>
            <w:r>
              <w:rPr>
                <w:rFonts w:hint="eastAsia" w:ascii="宋体" w:hAnsi="宋体" w:cs="宋体"/>
                <w:color w:val="000000"/>
                <w:kern w:val="0"/>
                <w:sz w:val="21"/>
                <w:szCs w:val="21"/>
                <w:highlight w:val="none"/>
              </w:rPr>
              <w:t>环境</w:t>
            </w:r>
          </w:p>
          <w:p w14:paraId="10EDFCCA">
            <w:pPr>
              <w:shd w:val="clear" w:color="auto" w:fill="auto"/>
              <w:adjustRightInd w:val="0"/>
              <w:snapToGrid w:val="0"/>
              <w:jc w:val="center"/>
              <w:rPr>
                <w:rFonts w:hint="eastAsia" w:ascii="宋体" w:hAnsi="宋体" w:cs="宋体"/>
                <w:color w:val="000000"/>
                <w:kern w:val="0"/>
                <w:sz w:val="21"/>
                <w:szCs w:val="21"/>
                <w:highlight w:val="none"/>
              </w:rPr>
            </w:pPr>
            <w:r>
              <w:rPr>
                <w:rFonts w:hint="eastAsia" w:ascii="宋体" w:hAnsi="宋体" w:cs="宋体"/>
                <w:color w:val="000000"/>
                <w:kern w:val="0"/>
                <w:sz w:val="21"/>
                <w:szCs w:val="21"/>
                <w:highlight w:val="none"/>
              </w:rPr>
              <w:t>质量</w:t>
            </w:r>
          </w:p>
          <w:p w14:paraId="2853A600">
            <w:pPr>
              <w:shd w:val="clear" w:color="auto" w:fill="auto"/>
              <w:adjustRightInd w:val="0"/>
              <w:snapToGrid w:val="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现状</w:t>
            </w:r>
          </w:p>
        </w:tc>
        <w:tc>
          <w:tcPr>
            <w:tcW w:w="8190" w:type="dxa"/>
            <w:shd w:val="clear" w:color="auto" w:fill="auto"/>
            <w:noWrap w:val="0"/>
            <w:vAlign w:val="center"/>
          </w:tcPr>
          <w:p w14:paraId="0CF43B3D">
            <w:pPr>
              <w:keepNext/>
              <w:keepLines/>
              <w:pageBreakBefore w:val="0"/>
              <w:widowControl/>
              <w:shd w:val="clear" w:color="auto" w:fill="auto"/>
              <w:kinsoku/>
              <w:wordWrap/>
              <w:overflowPunct/>
              <w:topLinePunct w:val="0"/>
              <w:autoSpaceDE/>
              <w:autoSpaceDN/>
              <w:bidi w:val="0"/>
              <w:adjustRightInd w:val="0"/>
              <w:snapToGrid w:val="0"/>
              <w:spacing w:line="360" w:lineRule="auto"/>
              <w:ind w:firstLine="422" w:firstLineChars="200"/>
              <w:jc w:val="left"/>
              <w:textAlignment w:val="auto"/>
              <w:outlineLvl w:val="1"/>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一、区域环境质量现状</w:t>
            </w:r>
          </w:p>
          <w:p w14:paraId="2883DA8B">
            <w:pPr>
              <w:keepNext/>
              <w:keepLines/>
              <w:pageBreakBefore w:val="0"/>
              <w:widowControl/>
              <w:shd w:val="clear" w:color="auto" w:fill="auto"/>
              <w:kinsoku/>
              <w:wordWrap/>
              <w:overflowPunct/>
              <w:topLinePunct w:val="0"/>
              <w:autoSpaceDE/>
              <w:autoSpaceDN/>
              <w:bidi w:val="0"/>
              <w:adjustRightInd w:val="0"/>
              <w:snapToGrid w:val="0"/>
              <w:spacing w:line="360" w:lineRule="auto"/>
              <w:ind w:firstLine="422" w:firstLineChars="200"/>
              <w:jc w:val="left"/>
              <w:textAlignment w:val="auto"/>
              <w:outlineLvl w:val="1"/>
              <w:rPr>
                <w:rFonts w:hint="default" w:ascii="Times New Roman" w:hAnsi="Times New Roman" w:eastAsia="宋体" w:cs="Times New Roman"/>
                <w:b/>
                <w:bCs/>
                <w:color w:val="000000"/>
                <w:sz w:val="21"/>
                <w:szCs w:val="21"/>
                <w:highlight w:val="none"/>
              </w:rPr>
            </w:pPr>
            <w:r>
              <w:rPr>
                <w:rFonts w:hint="eastAsia" w:cs="Times New Roman"/>
                <w:b/>
                <w:bCs/>
                <w:color w:val="000000"/>
                <w:sz w:val="21"/>
                <w:szCs w:val="21"/>
                <w:highlight w:val="none"/>
                <w:lang w:eastAsia="zh-CN"/>
              </w:rPr>
              <w:t>1.</w:t>
            </w:r>
            <w:r>
              <w:rPr>
                <w:rFonts w:hint="default" w:ascii="Times New Roman" w:hAnsi="Times New Roman" w:eastAsia="宋体" w:cs="Times New Roman"/>
                <w:b/>
                <w:bCs/>
                <w:color w:val="000000"/>
                <w:sz w:val="21"/>
                <w:szCs w:val="21"/>
                <w:highlight w:val="none"/>
              </w:rPr>
              <w:t>环境空气质量现状</w:t>
            </w:r>
          </w:p>
          <w:p w14:paraId="1A5F9329">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eastAsia="zh-CN"/>
              </w:rPr>
              <w:t>（1）</w:t>
            </w:r>
            <w:r>
              <w:rPr>
                <w:rFonts w:hint="default" w:ascii="Times New Roman" w:hAnsi="Times New Roman" w:cs="Times New Roman"/>
                <w:color w:val="000000"/>
                <w:sz w:val="21"/>
                <w:szCs w:val="21"/>
                <w:highlight w:val="none"/>
              </w:rPr>
              <w:t>基本污染物</w:t>
            </w:r>
          </w:p>
          <w:p w14:paraId="7D3E5460">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为了查明项目所在地附近的环境空气质量现状，本项目</w:t>
            </w:r>
            <w:r>
              <w:rPr>
                <w:rFonts w:hint="eastAsia" w:ascii="Times New Roman" w:hAnsi="Times New Roman" w:eastAsia="宋体" w:cs="Times New Roman"/>
                <w:color w:val="000000"/>
                <w:sz w:val="21"/>
                <w:szCs w:val="21"/>
                <w:highlight w:val="none"/>
                <w:lang w:val="en-US" w:eastAsia="zh-CN"/>
              </w:rPr>
              <w:t>环境质量现状引用宝鸡市生态环境局凤翔分局2024年6月13日发布的</w:t>
            </w:r>
            <w:r>
              <w:rPr>
                <w:rFonts w:hint="default" w:ascii="Times New Roman" w:hAnsi="Times New Roman" w:eastAsia="宋体" w:cs="Times New Roman"/>
                <w:color w:val="000000"/>
                <w:sz w:val="21"/>
                <w:szCs w:val="21"/>
                <w:highlight w:val="none"/>
              </w:rPr>
              <w:t>《</w:t>
            </w:r>
            <w:r>
              <w:rPr>
                <w:rFonts w:hint="eastAsia" w:ascii="Times New Roman" w:hAnsi="Times New Roman" w:eastAsia="宋体" w:cs="Times New Roman"/>
                <w:color w:val="000000"/>
                <w:sz w:val="21"/>
                <w:szCs w:val="21"/>
                <w:highlight w:val="none"/>
                <w:lang w:val="en-US" w:eastAsia="zh-CN"/>
              </w:rPr>
              <w:t>宝鸡市凤翔区2023年环境质量公报</w:t>
            </w:r>
            <w:r>
              <w:rPr>
                <w:rFonts w:hint="default" w:ascii="Times New Roman" w:hAnsi="Times New Roman" w:eastAsia="宋体" w:cs="Times New Roman"/>
                <w:color w:val="000000"/>
                <w:sz w:val="21"/>
                <w:szCs w:val="21"/>
                <w:highlight w:val="none"/>
              </w:rPr>
              <w:t>》中数据进行评价。</w:t>
            </w:r>
          </w:p>
          <w:p w14:paraId="4765ADFF">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rPr>
              <w:t>本项目选用</w:t>
            </w:r>
            <w:r>
              <w:rPr>
                <w:rFonts w:hint="default" w:ascii="Times New Roman" w:hAnsi="Times New Roman" w:eastAsia="宋体" w:cs="Times New Roman"/>
                <w:color w:val="000000"/>
                <w:sz w:val="21"/>
                <w:szCs w:val="21"/>
                <w:highlight w:val="none"/>
                <w:lang w:val="en-US" w:eastAsia="zh-CN"/>
              </w:rPr>
              <w:t>宝鸡市</w:t>
            </w:r>
            <w:r>
              <w:rPr>
                <w:rFonts w:hint="eastAsia" w:ascii="Times New Roman" w:hAnsi="Times New Roman" w:eastAsia="宋体" w:cs="Times New Roman"/>
                <w:color w:val="000000"/>
                <w:sz w:val="21"/>
                <w:szCs w:val="21"/>
                <w:highlight w:val="none"/>
                <w:lang w:val="en-US" w:eastAsia="zh-CN"/>
              </w:rPr>
              <w:t>凤翔区</w:t>
            </w:r>
            <w:r>
              <w:rPr>
                <w:rFonts w:hint="default" w:ascii="Times New Roman" w:hAnsi="Times New Roman" w:eastAsia="宋体" w:cs="Times New Roman"/>
                <w:color w:val="000000"/>
                <w:sz w:val="21"/>
                <w:szCs w:val="21"/>
                <w:highlight w:val="none"/>
              </w:rPr>
              <w:t>数据</w:t>
            </w:r>
            <w:r>
              <w:rPr>
                <w:rFonts w:hint="default" w:ascii="Times New Roman" w:hAnsi="Times New Roman" w:eastAsia="宋体" w:cs="Times New Roman"/>
                <w:color w:val="000000"/>
                <w:sz w:val="21"/>
                <w:szCs w:val="21"/>
                <w:highlight w:val="none"/>
                <w:lang w:eastAsia="zh-CN"/>
              </w:rPr>
              <w:t>，</w:t>
            </w:r>
            <w:r>
              <w:rPr>
                <w:rFonts w:hint="default" w:ascii="Times New Roman" w:hAnsi="Times New Roman" w:eastAsia="宋体" w:cs="Times New Roman"/>
                <w:color w:val="000000"/>
                <w:sz w:val="21"/>
                <w:szCs w:val="21"/>
                <w:highlight w:val="none"/>
              </w:rPr>
              <w:t>引用数据符合时效性要求，监测结果见下表</w:t>
            </w:r>
            <w:r>
              <w:rPr>
                <w:rFonts w:hint="default" w:ascii="Times New Roman" w:hAnsi="Times New Roman" w:eastAsia="宋体" w:cs="Times New Roman"/>
                <w:color w:val="000000"/>
                <w:sz w:val="21"/>
                <w:szCs w:val="21"/>
                <w:highlight w:val="none"/>
                <w:lang w:eastAsia="zh-CN"/>
              </w:rPr>
              <w:t>。</w:t>
            </w:r>
          </w:p>
          <w:p w14:paraId="457C86B1">
            <w:pPr>
              <w:pageBreakBefore w:val="0"/>
              <w:widowControl/>
              <w:shd w:val="clear" w:color="auto" w:fill="auto"/>
              <w:kinsoku/>
              <w:wordWrap/>
              <w:overflowPunct/>
              <w:topLinePunct w:val="0"/>
              <w:bidi w:val="0"/>
              <w:spacing w:line="240" w:lineRule="auto"/>
              <w:ind w:firstLine="422" w:firstLineChars="200"/>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表3-1  区域空气质量现状评价表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2" w:space="0"/>
              </w:tblBorders>
              <w:shd w:val="clear" w:color="auto" w:fill="auto"/>
              <w:tblLayout w:type="fixed"/>
              <w:tblCellMar>
                <w:top w:w="0" w:type="dxa"/>
                <w:left w:w="108" w:type="dxa"/>
                <w:bottom w:w="0" w:type="dxa"/>
                <w:right w:w="108" w:type="dxa"/>
              </w:tblCellMar>
            </w:tblPr>
            <w:tblGrid>
              <w:gridCol w:w="926"/>
              <w:gridCol w:w="1775"/>
              <w:gridCol w:w="1121"/>
              <w:gridCol w:w="1206"/>
              <w:gridCol w:w="1044"/>
              <w:gridCol w:w="1006"/>
              <w:gridCol w:w="884"/>
            </w:tblGrid>
            <w:tr w14:paraId="377FB4E0">
              <w:tblPrEx>
                <w:tblBorders>
                  <w:top w:val="single" w:color="auto" w:sz="4" w:space="0"/>
                  <w:left w:val="single" w:color="auto" w:sz="4" w:space="0"/>
                  <w:bottom w:val="single" w:color="auto" w:sz="4" w:space="0"/>
                  <w:right w:val="single" w:color="auto" w:sz="4" w:space="0"/>
                  <w:insideH w:val="single" w:color="auto" w:sz="6" w:space="0"/>
                  <w:insideV w:val="single" w:color="auto" w:sz="2" w:space="0"/>
                </w:tblBorders>
                <w:tblCellMar>
                  <w:top w:w="0" w:type="dxa"/>
                  <w:left w:w="108" w:type="dxa"/>
                  <w:bottom w:w="0" w:type="dxa"/>
                  <w:right w:w="108" w:type="dxa"/>
                </w:tblCellMar>
              </w:tblPrEx>
              <w:trPr>
                <w:trHeight w:val="90" w:hRule="atLeast"/>
              </w:trPr>
              <w:tc>
                <w:tcPr>
                  <w:tcW w:w="581" w:type="pct"/>
                  <w:tcBorders>
                    <w:tl2br w:val="nil"/>
                    <w:tr2bl w:val="nil"/>
                  </w:tcBorders>
                  <w:shd w:val="clear" w:color="auto" w:fill="auto"/>
                  <w:noWrap w:val="0"/>
                  <w:vAlign w:val="center"/>
                </w:tcPr>
                <w:p w14:paraId="4760C6E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污染物</w:t>
                  </w:r>
                </w:p>
              </w:tc>
              <w:tc>
                <w:tcPr>
                  <w:tcW w:w="1114" w:type="pct"/>
                  <w:tcBorders>
                    <w:tl2br w:val="nil"/>
                    <w:tr2bl w:val="nil"/>
                  </w:tcBorders>
                  <w:shd w:val="clear" w:color="auto" w:fill="auto"/>
                  <w:noWrap w:val="0"/>
                  <w:vAlign w:val="center"/>
                </w:tcPr>
                <w:p w14:paraId="63EAE66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评价指标</w:t>
                  </w:r>
                </w:p>
              </w:tc>
              <w:tc>
                <w:tcPr>
                  <w:tcW w:w="703" w:type="pct"/>
                  <w:tcBorders>
                    <w:tl2br w:val="nil"/>
                    <w:tr2bl w:val="nil"/>
                  </w:tcBorders>
                  <w:shd w:val="clear" w:color="auto" w:fill="auto"/>
                  <w:noWrap w:val="0"/>
                  <w:vAlign w:val="center"/>
                </w:tcPr>
                <w:p w14:paraId="169EB45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现状浓度/（µg/</w:t>
                  </w:r>
                  <w:r>
                    <w:rPr>
                      <w:rFonts w:hint="eastAsia" w:ascii="Times New Roman" w:hAnsi="Times New Roman" w:eastAsia="宋体" w:cs="Times New Roman"/>
                      <w:b/>
                      <w:bCs/>
                      <w:color w:val="000000"/>
                      <w:sz w:val="21"/>
                      <w:szCs w:val="21"/>
                      <w:highlight w:val="none"/>
                      <w:lang w:eastAsia="zh-CN"/>
                    </w:rPr>
                    <w:t>m³</w:t>
                  </w:r>
                  <w:r>
                    <w:rPr>
                      <w:rFonts w:hint="default" w:ascii="Times New Roman" w:hAnsi="Times New Roman" w:eastAsia="宋体" w:cs="Times New Roman"/>
                      <w:b/>
                      <w:bCs/>
                      <w:color w:val="000000"/>
                      <w:sz w:val="21"/>
                      <w:szCs w:val="21"/>
                      <w:highlight w:val="none"/>
                    </w:rPr>
                    <w:t>）</w:t>
                  </w:r>
                </w:p>
              </w:tc>
              <w:tc>
                <w:tcPr>
                  <w:tcW w:w="757" w:type="pct"/>
                  <w:tcBorders>
                    <w:tl2br w:val="nil"/>
                    <w:tr2bl w:val="nil"/>
                  </w:tcBorders>
                  <w:shd w:val="clear" w:color="auto" w:fill="auto"/>
                  <w:noWrap w:val="0"/>
                  <w:vAlign w:val="center"/>
                </w:tcPr>
                <w:p w14:paraId="7ABA2C1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标准值/（µg/</w:t>
                  </w:r>
                  <w:r>
                    <w:rPr>
                      <w:rFonts w:hint="eastAsia" w:ascii="Times New Roman" w:hAnsi="Times New Roman" w:eastAsia="宋体" w:cs="Times New Roman"/>
                      <w:b/>
                      <w:bCs/>
                      <w:color w:val="000000"/>
                      <w:sz w:val="21"/>
                      <w:szCs w:val="21"/>
                      <w:highlight w:val="none"/>
                      <w:lang w:eastAsia="zh-CN"/>
                    </w:rPr>
                    <w:t>m³</w:t>
                  </w:r>
                  <w:r>
                    <w:rPr>
                      <w:rFonts w:hint="default" w:ascii="Times New Roman" w:hAnsi="Times New Roman" w:eastAsia="宋体" w:cs="Times New Roman"/>
                      <w:b/>
                      <w:bCs/>
                      <w:color w:val="000000"/>
                      <w:sz w:val="21"/>
                      <w:szCs w:val="21"/>
                      <w:highlight w:val="none"/>
                    </w:rPr>
                    <w:t>）</w:t>
                  </w:r>
                </w:p>
              </w:tc>
              <w:tc>
                <w:tcPr>
                  <w:tcW w:w="655" w:type="pct"/>
                  <w:tcBorders>
                    <w:tl2br w:val="nil"/>
                    <w:tr2bl w:val="nil"/>
                  </w:tcBorders>
                  <w:shd w:val="clear" w:color="auto" w:fill="auto"/>
                  <w:noWrap w:val="0"/>
                  <w:vAlign w:val="center"/>
                </w:tcPr>
                <w:p w14:paraId="3E87AB7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highlight w:val="none"/>
                      <w:lang w:val="en-US" w:eastAsia="zh-CN"/>
                    </w:rPr>
                  </w:pPr>
                  <w:r>
                    <w:rPr>
                      <w:rFonts w:hint="default" w:ascii="Times New Roman" w:hAnsi="Times New Roman" w:eastAsia="宋体" w:cs="Times New Roman"/>
                      <w:b/>
                      <w:bCs/>
                      <w:color w:val="000000"/>
                      <w:sz w:val="21"/>
                      <w:szCs w:val="21"/>
                      <w:highlight w:val="none"/>
                      <w:lang w:val="en-US" w:eastAsia="zh-CN"/>
                    </w:rPr>
                    <w:t>占标率%</w:t>
                  </w:r>
                </w:p>
              </w:tc>
              <w:tc>
                <w:tcPr>
                  <w:tcW w:w="631" w:type="pct"/>
                  <w:tcBorders>
                    <w:tl2br w:val="nil"/>
                    <w:tr2bl w:val="nil"/>
                  </w:tcBorders>
                  <w:shd w:val="clear" w:color="auto" w:fill="auto"/>
                  <w:noWrap w:val="0"/>
                  <w:vAlign w:val="center"/>
                </w:tcPr>
                <w:p w14:paraId="16AEA60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highlight w:val="none"/>
                      <w:lang w:val="en-US" w:eastAsia="zh-CN"/>
                    </w:rPr>
                  </w:pPr>
                  <w:r>
                    <w:rPr>
                      <w:rFonts w:hint="default" w:ascii="Times New Roman" w:hAnsi="Times New Roman" w:eastAsia="宋体" w:cs="Times New Roman"/>
                      <w:b/>
                      <w:bCs/>
                      <w:color w:val="000000"/>
                      <w:sz w:val="21"/>
                      <w:szCs w:val="21"/>
                      <w:highlight w:val="none"/>
                      <w:lang w:val="en-US" w:eastAsia="zh-CN"/>
                    </w:rPr>
                    <w:t>超标率%</w:t>
                  </w:r>
                </w:p>
              </w:tc>
              <w:tc>
                <w:tcPr>
                  <w:tcW w:w="555" w:type="pct"/>
                  <w:tcBorders>
                    <w:tl2br w:val="nil"/>
                    <w:tr2bl w:val="nil"/>
                  </w:tcBorders>
                  <w:shd w:val="clear" w:color="auto" w:fill="auto"/>
                  <w:noWrap w:val="0"/>
                  <w:vAlign w:val="center"/>
                </w:tcPr>
                <w:p w14:paraId="5F0A705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达标</w:t>
                  </w:r>
                </w:p>
                <w:p w14:paraId="2A04B3A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情况</w:t>
                  </w:r>
                </w:p>
              </w:tc>
            </w:tr>
            <w:tr w14:paraId="7B3334FB">
              <w:tblPrEx>
                <w:tblBorders>
                  <w:top w:val="single" w:color="auto" w:sz="4" w:space="0"/>
                  <w:left w:val="single" w:color="auto" w:sz="4" w:space="0"/>
                  <w:bottom w:val="single" w:color="auto" w:sz="4" w:space="0"/>
                  <w:right w:val="single" w:color="auto" w:sz="4" w:space="0"/>
                  <w:insideH w:val="single" w:color="auto" w:sz="6" w:space="0"/>
                  <w:insideV w:val="single" w:color="auto" w:sz="2" w:space="0"/>
                </w:tblBorders>
                <w:tblCellMar>
                  <w:top w:w="0" w:type="dxa"/>
                  <w:left w:w="108" w:type="dxa"/>
                  <w:bottom w:w="0" w:type="dxa"/>
                  <w:right w:w="108" w:type="dxa"/>
                </w:tblCellMar>
              </w:tblPrEx>
              <w:trPr>
                <w:trHeight w:val="340" w:hRule="atLeast"/>
              </w:trPr>
              <w:tc>
                <w:tcPr>
                  <w:tcW w:w="581" w:type="pct"/>
                  <w:tcBorders>
                    <w:tl2br w:val="nil"/>
                    <w:tr2bl w:val="nil"/>
                  </w:tcBorders>
                  <w:shd w:val="clear" w:color="auto" w:fill="auto"/>
                  <w:noWrap w:val="0"/>
                  <w:vAlign w:val="center"/>
                </w:tcPr>
                <w:p w14:paraId="1279A91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rPr>
                    <w:t>P</w:t>
                  </w:r>
                  <w:r>
                    <w:rPr>
                      <w:rFonts w:hint="eastAsia" w:ascii="Times New Roman" w:hAnsi="Times New Roman" w:eastAsia="宋体" w:cs="Times New Roman"/>
                      <w:color w:val="000000"/>
                      <w:sz w:val="21"/>
                      <w:szCs w:val="21"/>
                      <w:highlight w:val="none"/>
                      <w:lang w:val="en-US" w:eastAsia="zh-CN"/>
                    </w:rPr>
                    <w:t>M</w:t>
                  </w:r>
                  <w:r>
                    <w:rPr>
                      <w:rFonts w:hint="eastAsia" w:ascii="Times New Roman" w:hAnsi="Times New Roman" w:eastAsia="宋体" w:cs="Times New Roman"/>
                      <w:color w:val="000000"/>
                      <w:sz w:val="21"/>
                      <w:szCs w:val="21"/>
                      <w:highlight w:val="none"/>
                      <w:vertAlign w:val="subscript"/>
                      <w:lang w:val="en-US" w:eastAsia="zh-CN"/>
                    </w:rPr>
                    <w:t>2.5</w:t>
                  </w:r>
                </w:p>
              </w:tc>
              <w:tc>
                <w:tcPr>
                  <w:tcW w:w="1114" w:type="pct"/>
                  <w:tcBorders>
                    <w:tl2br w:val="nil"/>
                    <w:tr2bl w:val="nil"/>
                  </w:tcBorders>
                  <w:shd w:val="clear" w:color="auto" w:fill="auto"/>
                  <w:noWrap w:val="0"/>
                  <w:vAlign w:val="center"/>
                </w:tcPr>
                <w:p w14:paraId="5423167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年均值</w:t>
                  </w:r>
                </w:p>
              </w:tc>
              <w:tc>
                <w:tcPr>
                  <w:tcW w:w="703" w:type="pct"/>
                  <w:tcBorders>
                    <w:tl2br w:val="nil"/>
                    <w:tr2bl w:val="nil"/>
                  </w:tcBorders>
                  <w:shd w:val="clear" w:color="auto" w:fill="auto"/>
                  <w:noWrap w:val="0"/>
                  <w:vAlign w:val="center"/>
                </w:tcPr>
                <w:p w14:paraId="66D235C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34</w:t>
                  </w:r>
                </w:p>
              </w:tc>
              <w:tc>
                <w:tcPr>
                  <w:tcW w:w="757" w:type="pct"/>
                  <w:tcBorders>
                    <w:tl2br w:val="nil"/>
                    <w:tr2bl w:val="nil"/>
                  </w:tcBorders>
                  <w:shd w:val="clear" w:color="auto" w:fill="auto"/>
                  <w:noWrap w:val="0"/>
                  <w:vAlign w:val="center"/>
                </w:tcPr>
                <w:p w14:paraId="263051E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35</w:t>
                  </w:r>
                </w:p>
              </w:tc>
              <w:tc>
                <w:tcPr>
                  <w:tcW w:w="655" w:type="pct"/>
                  <w:tcBorders>
                    <w:tl2br w:val="nil"/>
                    <w:tr2bl w:val="nil"/>
                  </w:tcBorders>
                  <w:shd w:val="clear" w:color="auto" w:fill="auto"/>
                  <w:noWrap w:val="0"/>
                  <w:vAlign w:val="center"/>
                </w:tcPr>
                <w:p w14:paraId="4CEABA1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97</w:t>
                  </w:r>
                </w:p>
              </w:tc>
              <w:tc>
                <w:tcPr>
                  <w:tcW w:w="631" w:type="pct"/>
                  <w:tcBorders>
                    <w:tl2br w:val="nil"/>
                    <w:tr2bl w:val="nil"/>
                  </w:tcBorders>
                  <w:shd w:val="clear" w:color="auto" w:fill="auto"/>
                  <w:noWrap w:val="0"/>
                  <w:vAlign w:val="center"/>
                </w:tcPr>
                <w:p w14:paraId="258749A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w:t>
                  </w:r>
                </w:p>
              </w:tc>
              <w:tc>
                <w:tcPr>
                  <w:tcW w:w="555" w:type="pct"/>
                  <w:tcBorders>
                    <w:tl2br w:val="nil"/>
                    <w:tr2bl w:val="nil"/>
                  </w:tcBorders>
                  <w:shd w:val="clear" w:color="auto" w:fill="auto"/>
                  <w:noWrap w:val="0"/>
                  <w:vAlign w:val="center"/>
                </w:tcPr>
                <w:p w14:paraId="0A68572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rPr>
                    <w:t>达标</w:t>
                  </w:r>
                </w:p>
              </w:tc>
            </w:tr>
            <w:tr w14:paraId="11D319C4">
              <w:tblPrEx>
                <w:tblBorders>
                  <w:top w:val="single" w:color="auto" w:sz="4" w:space="0"/>
                  <w:left w:val="single" w:color="auto" w:sz="4" w:space="0"/>
                  <w:bottom w:val="single" w:color="auto" w:sz="4" w:space="0"/>
                  <w:right w:val="single" w:color="auto" w:sz="4" w:space="0"/>
                  <w:insideH w:val="single" w:color="auto" w:sz="6" w:space="0"/>
                  <w:insideV w:val="single" w:color="auto" w:sz="2" w:space="0"/>
                </w:tblBorders>
                <w:tblCellMar>
                  <w:top w:w="0" w:type="dxa"/>
                  <w:left w:w="108" w:type="dxa"/>
                  <w:bottom w:w="0" w:type="dxa"/>
                  <w:right w:w="108" w:type="dxa"/>
                </w:tblCellMar>
              </w:tblPrEx>
              <w:trPr>
                <w:trHeight w:val="340" w:hRule="atLeast"/>
              </w:trPr>
              <w:tc>
                <w:tcPr>
                  <w:tcW w:w="581" w:type="pct"/>
                  <w:tcBorders>
                    <w:tl2br w:val="nil"/>
                    <w:tr2bl w:val="nil"/>
                  </w:tcBorders>
                  <w:shd w:val="clear" w:color="auto" w:fill="auto"/>
                  <w:noWrap w:val="0"/>
                  <w:vAlign w:val="center"/>
                </w:tcPr>
                <w:p w14:paraId="63B0502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PM</w:t>
                  </w:r>
                  <w:r>
                    <w:rPr>
                      <w:rFonts w:hint="default" w:ascii="Times New Roman" w:hAnsi="Times New Roman" w:eastAsia="宋体" w:cs="Times New Roman"/>
                      <w:color w:val="000000"/>
                      <w:sz w:val="21"/>
                      <w:szCs w:val="21"/>
                      <w:highlight w:val="none"/>
                      <w:vertAlign w:val="subscript"/>
                    </w:rPr>
                    <w:t>10</w:t>
                  </w:r>
                </w:p>
              </w:tc>
              <w:tc>
                <w:tcPr>
                  <w:tcW w:w="1114" w:type="pct"/>
                  <w:tcBorders>
                    <w:tl2br w:val="nil"/>
                    <w:tr2bl w:val="nil"/>
                  </w:tcBorders>
                  <w:shd w:val="clear" w:color="auto" w:fill="auto"/>
                  <w:noWrap w:val="0"/>
                  <w:vAlign w:val="center"/>
                </w:tcPr>
                <w:p w14:paraId="279F285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年均值</w:t>
                  </w:r>
                </w:p>
              </w:tc>
              <w:tc>
                <w:tcPr>
                  <w:tcW w:w="703" w:type="pct"/>
                  <w:tcBorders>
                    <w:tl2br w:val="nil"/>
                    <w:tr2bl w:val="nil"/>
                  </w:tcBorders>
                  <w:shd w:val="clear" w:color="auto" w:fill="auto"/>
                  <w:noWrap w:val="0"/>
                  <w:vAlign w:val="center"/>
                </w:tcPr>
                <w:p w14:paraId="6C5CB95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62</w:t>
                  </w:r>
                </w:p>
              </w:tc>
              <w:tc>
                <w:tcPr>
                  <w:tcW w:w="757" w:type="pct"/>
                  <w:tcBorders>
                    <w:tl2br w:val="nil"/>
                    <w:tr2bl w:val="nil"/>
                  </w:tcBorders>
                  <w:shd w:val="clear" w:color="auto" w:fill="auto"/>
                  <w:noWrap w:val="0"/>
                  <w:vAlign w:val="center"/>
                </w:tcPr>
                <w:p w14:paraId="1B327E3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70</w:t>
                  </w:r>
                </w:p>
              </w:tc>
              <w:tc>
                <w:tcPr>
                  <w:tcW w:w="655" w:type="pct"/>
                  <w:tcBorders>
                    <w:tl2br w:val="nil"/>
                    <w:tr2bl w:val="nil"/>
                  </w:tcBorders>
                  <w:shd w:val="clear" w:color="auto" w:fill="auto"/>
                  <w:noWrap w:val="0"/>
                  <w:vAlign w:val="center"/>
                </w:tcPr>
                <w:p w14:paraId="7975C74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89</w:t>
                  </w:r>
                </w:p>
              </w:tc>
              <w:tc>
                <w:tcPr>
                  <w:tcW w:w="631" w:type="pct"/>
                  <w:tcBorders>
                    <w:tl2br w:val="nil"/>
                    <w:tr2bl w:val="nil"/>
                  </w:tcBorders>
                  <w:shd w:val="clear" w:color="auto" w:fill="auto"/>
                  <w:noWrap w:val="0"/>
                  <w:vAlign w:val="center"/>
                </w:tcPr>
                <w:p w14:paraId="6F72A17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w:t>
                  </w:r>
                </w:p>
              </w:tc>
              <w:tc>
                <w:tcPr>
                  <w:tcW w:w="555" w:type="pct"/>
                  <w:tcBorders>
                    <w:tl2br w:val="nil"/>
                    <w:tr2bl w:val="nil"/>
                  </w:tcBorders>
                  <w:shd w:val="clear" w:color="auto" w:fill="auto"/>
                  <w:noWrap w:val="0"/>
                  <w:vAlign w:val="center"/>
                </w:tcPr>
                <w:p w14:paraId="395DE24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达标</w:t>
                  </w:r>
                </w:p>
              </w:tc>
            </w:tr>
            <w:tr w14:paraId="6813CC8C">
              <w:tblPrEx>
                <w:tblBorders>
                  <w:top w:val="single" w:color="auto" w:sz="4" w:space="0"/>
                  <w:left w:val="single" w:color="auto" w:sz="4" w:space="0"/>
                  <w:bottom w:val="single" w:color="auto" w:sz="4" w:space="0"/>
                  <w:right w:val="single" w:color="auto" w:sz="4" w:space="0"/>
                  <w:insideH w:val="single" w:color="auto" w:sz="6" w:space="0"/>
                  <w:insideV w:val="single" w:color="auto" w:sz="2" w:space="0"/>
                </w:tblBorders>
                <w:tblCellMar>
                  <w:top w:w="0" w:type="dxa"/>
                  <w:left w:w="108" w:type="dxa"/>
                  <w:bottom w:w="0" w:type="dxa"/>
                  <w:right w:w="108" w:type="dxa"/>
                </w:tblCellMar>
              </w:tblPrEx>
              <w:trPr>
                <w:trHeight w:val="340" w:hRule="atLeast"/>
              </w:trPr>
              <w:tc>
                <w:tcPr>
                  <w:tcW w:w="581" w:type="pct"/>
                  <w:tcBorders>
                    <w:tl2br w:val="nil"/>
                    <w:tr2bl w:val="nil"/>
                  </w:tcBorders>
                  <w:shd w:val="clear" w:color="auto" w:fill="auto"/>
                  <w:noWrap w:val="0"/>
                  <w:vAlign w:val="center"/>
                </w:tcPr>
                <w:p w14:paraId="1CEEB7A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SO</w:t>
                  </w:r>
                  <w:r>
                    <w:rPr>
                      <w:rFonts w:hint="default" w:ascii="Times New Roman" w:hAnsi="Times New Roman" w:eastAsia="宋体" w:cs="Times New Roman"/>
                      <w:color w:val="000000"/>
                      <w:sz w:val="21"/>
                      <w:szCs w:val="21"/>
                      <w:highlight w:val="none"/>
                      <w:vertAlign w:val="subscript"/>
                    </w:rPr>
                    <w:t>2</w:t>
                  </w:r>
                </w:p>
              </w:tc>
              <w:tc>
                <w:tcPr>
                  <w:tcW w:w="1114" w:type="pct"/>
                  <w:tcBorders>
                    <w:tl2br w:val="nil"/>
                    <w:tr2bl w:val="nil"/>
                  </w:tcBorders>
                  <w:shd w:val="clear" w:color="auto" w:fill="auto"/>
                  <w:noWrap w:val="0"/>
                  <w:vAlign w:val="center"/>
                </w:tcPr>
                <w:p w14:paraId="030177E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年均值</w:t>
                  </w:r>
                </w:p>
              </w:tc>
              <w:tc>
                <w:tcPr>
                  <w:tcW w:w="703" w:type="pct"/>
                  <w:tcBorders>
                    <w:tl2br w:val="nil"/>
                    <w:tr2bl w:val="nil"/>
                  </w:tcBorders>
                  <w:shd w:val="clear" w:color="auto" w:fill="auto"/>
                  <w:noWrap w:val="0"/>
                  <w:vAlign w:val="center"/>
                </w:tcPr>
                <w:p w14:paraId="4D1C7CD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8</w:t>
                  </w:r>
                </w:p>
              </w:tc>
              <w:tc>
                <w:tcPr>
                  <w:tcW w:w="757" w:type="pct"/>
                  <w:tcBorders>
                    <w:tl2br w:val="nil"/>
                    <w:tr2bl w:val="nil"/>
                  </w:tcBorders>
                  <w:shd w:val="clear" w:color="auto" w:fill="auto"/>
                  <w:noWrap w:val="0"/>
                  <w:vAlign w:val="center"/>
                </w:tcPr>
                <w:p w14:paraId="60CF603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60</w:t>
                  </w:r>
                </w:p>
              </w:tc>
              <w:tc>
                <w:tcPr>
                  <w:tcW w:w="655" w:type="pct"/>
                  <w:tcBorders>
                    <w:tl2br w:val="nil"/>
                    <w:tr2bl w:val="nil"/>
                  </w:tcBorders>
                  <w:shd w:val="clear" w:color="auto" w:fill="auto"/>
                  <w:noWrap w:val="0"/>
                  <w:vAlign w:val="center"/>
                </w:tcPr>
                <w:p w14:paraId="14D7D65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13</w:t>
                  </w:r>
                </w:p>
              </w:tc>
              <w:tc>
                <w:tcPr>
                  <w:tcW w:w="631" w:type="pct"/>
                  <w:tcBorders>
                    <w:tl2br w:val="nil"/>
                    <w:tr2bl w:val="nil"/>
                  </w:tcBorders>
                  <w:shd w:val="clear" w:color="auto" w:fill="auto"/>
                  <w:noWrap w:val="0"/>
                  <w:vAlign w:val="center"/>
                </w:tcPr>
                <w:p w14:paraId="24AD398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w:t>
                  </w:r>
                </w:p>
              </w:tc>
              <w:tc>
                <w:tcPr>
                  <w:tcW w:w="555" w:type="pct"/>
                  <w:tcBorders>
                    <w:tl2br w:val="nil"/>
                    <w:tr2bl w:val="nil"/>
                  </w:tcBorders>
                  <w:shd w:val="clear" w:color="auto" w:fill="auto"/>
                  <w:noWrap w:val="0"/>
                  <w:vAlign w:val="center"/>
                </w:tcPr>
                <w:p w14:paraId="2BA4B1F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达标</w:t>
                  </w:r>
                </w:p>
              </w:tc>
            </w:tr>
            <w:tr w14:paraId="6DAF3827">
              <w:tblPrEx>
                <w:tblBorders>
                  <w:top w:val="single" w:color="auto" w:sz="4" w:space="0"/>
                  <w:left w:val="single" w:color="auto" w:sz="4" w:space="0"/>
                  <w:bottom w:val="single" w:color="auto" w:sz="4" w:space="0"/>
                  <w:right w:val="single" w:color="auto" w:sz="4" w:space="0"/>
                  <w:insideH w:val="single" w:color="auto" w:sz="6" w:space="0"/>
                  <w:insideV w:val="single" w:color="auto" w:sz="2" w:space="0"/>
                </w:tblBorders>
                <w:shd w:val="clear" w:color="auto" w:fill="auto"/>
                <w:tblCellMar>
                  <w:top w:w="0" w:type="dxa"/>
                  <w:left w:w="108" w:type="dxa"/>
                  <w:bottom w:w="0" w:type="dxa"/>
                  <w:right w:w="108" w:type="dxa"/>
                </w:tblCellMar>
              </w:tblPrEx>
              <w:trPr>
                <w:trHeight w:val="340" w:hRule="atLeast"/>
              </w:trPr>
              <w:tc>
                <w:tcPr>
                  <w:tcW w:w="581" w:type="pct"/>
                  <w:tcBorders>
                    <w:tl2br w:val="nil"/>
                    <w:tr2bl w:val="nil"/>
                  </w:tcBorders>
                  <w:shd w:val="clear" w:color="auto" w:fill="auto"/>
                  <w:noWrap w:val="0"/>
                  <w:vAlign w:val="center"/>
                </w:tcPr>
                <w:p w14:paraId="101E232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NO</w:t>
                  </w:r>
                  <w:r>
                    <w:rPr>
                      <w:rFonts w:hint="default" w:ascii="Times New Roman" w:hAnsi="Times New Roman" w:eastAsia="宋体" w:cs="Times New Roman"/>
                      <w:color w:val="000000"/>
                      <w:sz w:val="21"/>
                      <w:szCs w:val="21"/>
                      <w:highlight w:val="none"/>
                      <w:vertAlign w:val="subscript"/>
                    </w:rPr>
                    <w:t>2</w:t>
                  </w:r>
                </w:p>
              </w:tc>
              <w:tc>
                <w:tcPr>
                  <w:tcW w:w="1114" w:type="pct"/>
                  <w:tcBorders>
                    <w:tl2br w:val="nil"/>
                    <w:tr2bl w:val="nil"/>
                  </w:tcBorders>
                  <w:shd w:val="clear" w:color="auto" w:fill="auto"/>
                  <w:noWrap w:val="0"/>
                  <w:vAlign w:val="center"/>
                </w:tcPr>
                <w:p w14:paraId="4196B01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年均值</w:t>
                  </w:r>
                </w:p>
              </w:tc>
              <w:tc>
                <w:tcPr>
                  <w:tcW w:w="703" w:type="pct"/>
                  <w:tcBorders>
                    <w:tl2br w:val="nil"/>
                    <w:tr2bl w:val="nil"/>
                  </w:tcBorders>
                  <w:shd w:val="clear" w:color="auto" w:fill="auto"/>
                  <w:noWrap w:val="0"/>
                  <w:vAlign w:val="center"/>
                </w:tcPr>
                <w:p w14:paraId="359B59C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18</w:t>
                  </w:r>
                </w:p>
              </w:tc>
              <w:tc>
                <w:tcPr>
                  <w:tcW w:w="757" w:type="pct"/>
                  <w:tcBorders>
                    <w:tl2br w:val="nil"/>
                    <w:tr2bl w:val="nil"/>
                  </w:tcBorders>
                  <w:shd w:val="clear" w:color="auto" w:fill="auto"/>
                  <w:noWrap w:val="0"/>
                  <w:vAlign w:val="center"/>
                </w:tcPr>
                <w:p w14:paraId="23775AD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40</w:t>
                  </w:r>
                </w:p>
              </w:tc>
              <w:tc>
                <w:tcPr>
                  <w:tcW w:w="655" w:type="pct"/>
                  <w:tcBorders>
                    <w:tl2br w:val="nil"/>
                    <w:tr2bl w:val="nil"/>
                  </w:tcBorders>
                  <w:shd w:val="clear" w:color="auto" w:fill="auto"/>
                  <w:noWrap w:val="0"/>
                  <w:vAlign w:val="center"/>
                </w:tcPr>
                <w:p w14:paraId="7AEEC8C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45</w:t>
                  </w:r>
                </w:p>
              </w:tc>
              <w:tc>
                <w:tcPr>
                  <w:tcW w:w="631" w:type="pct"/>
                  <w:tcBorders>
                    <w:tl2br w:val="nil"/>
                    <w:tr2bl w:val="nil"/>
                  </w:tcBorders>
                  <w:shd w:val="clear" w:color="auto" w:fill="auto"/>
                  <w:noWrap w:val="0"/>
                  <w:vAlign w:val="center"/>
                </w:tcPr>
                <w:p w14:paraId="4517CDA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w:t>
                  </w:r>
                </w:p>
              </w:tc>
              <w:tc>
                <w:tcPr>
                  <w:tcW w:w="555" w:type="pct"/>
                  <w:tcBorders>
                    <w:tl2br w:val="nil"/>
                    <w:tr2bl w:val="nil"/>
                  </w:tcBorders>
                  <w:shd w:val="clear" w:color="auto" w:fill="auto"/>
                  <w:noWrap w:val="0"/>
                  <w:vAlign w:val="center"/>
                </w:tcPr>
                <w:p w14:paraId="4678A63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达标</w:t>
                  </w:r>
                </w:p>
              </w:tc>
            </w:tr>
            <w:tr w14:paraId="49EA0CF3">
              <w:tblPrEx>
                <w:tblBorders>
                  <w:top w:val="single" w:color="auto" w:sz="4" w:space="0"/>
                  <w:left w:val="single" w:color="auto" w:sz="4" w:space="0"/>
                  <w:bottom w:val="single" w:color="auto" w:sz="4" w:space="0"/>
                  <w:right w:val="single" w:color="auto" w:sz="4" w:space="0"/>
                  <w:insideH w:val="single" w:color="auto" w:sz="6" w:space="0"/>
                  <w:insideV w:val="single" w:color="auto" w:sz="2" w:space="0"/>
                </w:tblBorders>
                <w:tblCellMar>
                  <w:top w:w="0" w:type="dxa"/>
                  <w:left w:w="108" w:type="dxa"/>
                  <w:bottom w:w="0" w:type="dxa"/>
                  <w:right w:w="108" w:type="dxa"/>
                </w:tblCellMar>
              </w:tblPrEx>
              <w:trPr>
                <w:trHeight w:val="340" w:hRule="atLeast"/>
              </w:trPr>
              <w:tc>
                <w:tcPr>
                  <w:tcW w:w="581" w:type="pct"/>
                  <w:tcBorders>
                    <w:tl2br w:val="nil"/>
                    <w:tr2bl w:val="nil"/>
                  </w:tcBorders>
                  <w:shd w:val="clear" w:color="auto" w:fill="auto"/>
                  <w:noWrap w:val="0"/>
                  <w:vAlign w:val="center"/>
                </w:tcPr>
                <w:p w14:paraId="5569DBA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CO</w:t>
                  </w:r>
                </w:p>
              </w:tc>
              <w:tc>
                <w:tcPr>
                  <w:tcW w:w="1114" w:type="pct"/>
                  <w:tcBorders>
                    <w:tl2br w:val="nil"/>
                    <w:tr2bl w:val="nil"/>
                  </w:tcBorders>
                  <w:shd w:val="clear" w:color="auto" w:fill="auto"/>
                  <w:noWrap w:val="0"/>
                  <w:vAlign w:val="center"/>
                </w:tcPr>
                <w:p w14:paraId="438653A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24小时平均浓度第95百分位数</w:t>
                  </w:r>
                </w:p>
              </w:tc>
              <w:tc>
                <w:tcPr>
                  <w:tcW w:w="703" w:type="pct"/>
                  <w:tcBorders>
                    <w:tl2br w:val="nil"/>
                    <w:tr2bl w:val="nil"/>
                  </w:tcBorders>
                  <w:shd w:val="clear" w:color="auto" w:fill="auto"/>
                  <w:noWrap w:val="0"/>
                  <w:vAlign w:val="center"/>
                </w:tcPr>
                <w:p w14:paraId="0E1391B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1400</w:t>
                  </w:r>
                </w:p>
              </w:tc>
              <w:tc>
                <w:tcPr>
                  <w:tcW w:w="757" w:type="pct"/>
                  <w:tcBorders>
                    <w:tl2br w:val="nil"/>
                    <w:tr2bl w:val="nil"/>
                  </w:tcBorders>
                  <w:shd w:val="clear" w:color="auto" w:fill="auto"/>
                  <w:noWrap w:val="0"/>
                  <w:vAlign w:val="center"/>
                </w:tcPr>
                <w:p w14:paraId="52E80B4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rPr>
                    <w:t>4</w:t>
                  </w:r>
                  <w:r>
                    <w:rPr>
                      <w:rFonts w:hint="default" w:ascii="Times New Roman" w:hAnsi="Times New Roman" w:eastAsia="宋体" w:cs="Times New Roman"/>
                      <w:color w:val="000000"/>
                      <w:sz w:val="21"/>
                      <w:szCs w:val="21"/>
                      <w:highlight w:val="none"/>
                      <w:lang w:val="en-US" w:eastAsia="zh-CN"/>
                    </w:rPr>
                    <w:t>000</w:t>
                  </w:r>
                </w:p>
              </w:tc>
              <w:tc>
                <w:tcPr>
                  <w:tcW w:w="655" w:type="pct"/>
                  <w:tcBorders>
                    <w:tl2br w:val="nil"/>
                    <w:tr2bl w:val="nil"/>
                  </w:tcBorders>
                  <w:shd w:val="clear" w:color="auto" w:fill="auto"/>
                  <w:noWrap w:val="0"/>
                  <w:vAlign w:val="center"/>
                </w:tcPr>
                <w:p w14:paraId="428582E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35</w:t>
                  </w:r>
                </w:p>
              </w:tc>
              <w:tc>
                <w:tcPr>
                  <w:tcW w:w="631" w:type="pct"/>
                  <w:tcBorders>
                    <w:tl2br w:val="nil"/>
                    <w:tr2bl w:val="nil"/>
                  </w:tcBorders>
                  <w:shd w:val="clear" w:color="auto" w:fill="auto"/>
                  <w:noWrap w:val="0"/>
                  <w:vAlign w:val="center"/>
                </w:tcPr>
                <w:p w14:paraId="356440A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w:t>
                  </w:r>
                </w:p>
              </w:tc>
              <w:tc>
                <w:tcPr>
                  <w:tcW w:w="555" w:type="pct"/>
                  <w:tcBorders>
                    <w:tl2br w:val="nil"/>
                    <w:tr2bl w:val="nil"/>
                  </w:tcBorders>
                  <w:shd w:val="clear" w:color="auto" w:fill="auto"/>
                  <w:noWrap w:val="0"/>
                  <w:vAlign w:val="center"/>
                </w:tcPr>
                <w:p w14:paraId="75C3EF5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达标</w:t>
                  </w:r>
                </w:p>
              </w:tc>
            </w:tr>
            <w:tr w14:paraId="4FFF7E57">
              <w:tblPrEx>
                <w:tblBorders>
                  <w:top w:val="single" w:color="auto" w:sz="4" w:space="0"/>
                  <w:left w:val="single" w:color="auto" w:sz="4" w:space="0"/>
                  <w:bottom w:val="single" w:color="auto" w:sz="4" w:space="0"/>
                  <w:right w:val="single" w:color="auto" w:sz="4" w:space="0"/>
                  <w:insideH w:val="single" w:color="auto" w:sz="6" w:space="0"/>
                  <w:insideV w:val="single" w:color="auto" w:sz="2" w:space="0"/>
                </w:tblBorders>
                <w:shd w:val="clear" w:color="auto" w:fill="auto"/>
                <w:tblCellMar>
                  <w:top w:w="0" w:type="dxa"/>
                  <w:left w:w="108" w:type="dxa"/>
                  <w:bottom w:w="0" w:type="dxa"/>
                  <w:right w:w="108" w:type="dxa"/>
                </w:tblCellMar>
              </w:tblPrEx>
              <w:trPr>
                <w:trHeight w:val="340" w:hRule="atLeast"/>
              </w:trPr>
              <w:tc>
                <w:tcPr>
                  <w:tcW w:w="581" w:type="pct"/>
                  <w:tcBorders>
                    <w:tl2br w:val="nil"/>
                    <w:tr2bl w:val="nil"/>
                  </w:tcBorders>
                  <w:shd w:val="clear" w:color="auto" w:fill="auto"/>
                  <w:noWrap w:val="0"/>
                  <w:vAlign w:val="center"/>
                </w:tcPr>
                <w:p w14:paraId="49377AD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O</w:t>
                  </w:r>
                  <w:r>
                    <w:rPr>
                      <w:rFonts w:hint="default" w:ascii="Times New Roman" w:hAnsi="Times New Roman" w:eastAsia="宋体" w:cs="Times New Roman"/>
                      <w:color w:val="000000"/>
                      <w:sz w:val="21"/>
                      <w:szCs w:val="21"/>
                      <w:highlight w:val="none"/>
                      <w:vertAlign w:val="subscript"/>
                    </w:rPr>
                    <w:t>3</w:t>
                  </w:r>
                </w:p>
              </w:tc>
              <w:tc>
                <w:tcPr>
                  <w:tcW w:w="1114" w:type="pct"/>
                  <w:tcBorders>
                    <w:tl2br w:val="nil"/>
                    <w:tr2bl w:val="nil"/>
                  </w:tcBorders>
                  <w:shd w:val="clear" w:color="auto" w:fill="auto"/>
                  <w:noWrap w:val="0"/>
                  <w:vAlign w:val="center"/>
                </w:tcPr>
                <w:p w14:paraId="48BB30B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日最大8小时</w:t>
                  </w:r>
                </w:p>
                <w:p w14:paraId="596AC09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平均浓度第90百分位数</w:t>
                  </w:r>
                </w:p>
              </w:tc>
              <w:tc>
                <w:tcPr>
                  <w:tcW w:w="703" w:type="pct"/>
                  <w:tcBorders>
                    <w:tl2br w:val="nil"/>
                    <w:tr2bl w:val="nil"/>
                  </w:tcBorders>
                  <w:shd w:val="clear" w:color="auto" w:fill="auto"/>
                  <w:noWrap w:val="0"/>
                  <w:vAlign w:val="center"/>
                </w:tcPr>
                <w:p w14:paraId="63C5307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137</w:t>
                  </w:r>
                </w:p>
              </w:tc>
              <w:tc>
                <w:tcPr>
                  <w:tcW w:w="757" w:type="pct"/>
                  <w:tcBorders>
                    <w:tl2br w:val="nil"/>
                    <w:tr2bl w:val="nil"/>
                  </w:tcBorders>
                  <w:shd w:val="clear" w:color="auto" w:fill="auto"/>
                  <w:noWrap w:val="0"/>
                  <w:vAlign w:val="center"/>
                </w:tcPr>
                <w:p w14:paraId="4E22F80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160</w:t>
                  </w:r>
                </w:p>
              </w:tc>
              <w:tc>
                <w:tcPr>
                  <w:tcW w:w="655" w:type="pct"/>
                  <w:tcBorders>
                    <w:tl2br w:val="nil"/>
                    <w:tr2bl w:val="nil"/>
                  </w:tcBorders>
                  <w:shd w:val="clear" w:color="auto" w:fill="auto"/>
                  <w:noWrap w:val="0"/>
                  <w:vAlign w:val="center"/>
                </w:tcPr>
                <w:p w14:paraId="5A6E22E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86</w:t>
                  </w:r>
                </w:p>
              </w:tc>
              <w:tc>
                <w:tcPr>
                  <w:tcW w:w="631" w:type="pct"/>
                  <w:tcBorders>
                    <w:tl2br w:val="nil"/>
                    <w:tr2bl w:val="nil"/>
                  </w:tcBorders>
                  <w:shd w:val="clear" w:color="auto" w:fill="auto"/>
                  <w:noWrap w:val="0"/>
                  <w:vAlign w:val="center"/>
                </w:tcPr>
                <w:p w14:paraId="3B0037F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0</w:t>
                  </w:r>
                </w:p>
              </w:tc>
              <w:tc>
                <w:tcPr>
                  <w:tcW w:w="555" w:type="pct"/>
                  <w:tcBorders>
                    <w:tl2br w:val="nil"/>
                    <w:tr2bl w:val="nil"/>
                  </w:tcBorders>
                  <w:shd w:val="clear" w:color="auto" w:fill="auto"/>
                  <w:noWrap w:val="0"/>
                  <w:vAlign w:val="center"/>
                </w:tcPr>
                <w:p w14:paraId="524B921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达标</w:t>
                  </w:r>
                </w:p>
              </w:tc>
            </w:tr>
          </w:tbl>
          <w:p w14:paraId="45FDEDDB">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rPr>
              <w:t>由表3-1可知，</w:t>
            </w:r>
            <w:r>
              <w:rPr>
                <w:rFonts w:hint="default" w:ascii="Times New Roman" w:hAnsi="Times New Roman" w:eastAsia="宋体" w:cs="Times New Roman"/>
                <w:color w:val="000000"/>
                <w:sz w:val="21"/>
                <w:szCs w:val="21"/>
                <w:highlight w:val="none"/>
                <w:lang w:val="en-US" w:eastAsia="zh-CN"/>
              </w:rPr>
              <w:t>宝鸡市</w:t>
            </w:r>
            <w:r>
              <w:rPr>
                <w:rFonts w:hint="eastAsia" w:ascii="Times New Roman" w:hAnsi="Times New Roman" w:eastAsia="宋体" w:cs="Times New Roman"/>
                <w:color w:val="000000"/>
                <w:sz w:val="21"/>
                <w:szCs w:val="21"/>
                <w:highlight w:val="none"/>
                <w:lang w:val="en-US" w:eastAsia="zh-CN"/>
              </w:rPr>
              <w:t>凤翔区</w:t>
            </w:r>
            <w:r>
              <w:rPr>
                <w:rFonts w:hint="default" w:ascii="Times New Roman" w:hAnsi="Times New Roman" w:eastAsia="宋体" w:cs="Times New Roman"/>
                <w:color w:val="000000"/>
                <w:sz w:val="21"/>
                <w:szCs w:val="21"/>
                <w:highlight w:val="none"/>
              </w:rPr>
              <w:t>PM</w:t>
            </w:r>
            <w:r>
              <w:rPr>
                <w:rFonts w:hint="default" w:ascii="Times New Roman" w:hAnsi="Times New Roman" w:eastAsia="宋体" w:cs="Times New Roman"/>
                <w:color w:val="000000"/>
                <w:sz w:val="21"/>
                <w:szCs w:val="21"/>
                <w:highlight w:val="none"/>
                <w:vertAlign w:val="subscript"/>
              </w:rPr>
              <w:t>10</w:t>
            </w:r>
            <w:r>
              <w:rPr>
                <w:rFonts w:hint="default" w:ascii="Times New Roman" w:hAnsi="Times New Roman" w:eastAsia="宋体" w:cs="Times New Roman"/>
                <w:color w:val="000000"/>
                <w:sz w:val="21"/>
                <w:szCs w:val="21"/>
                <w:highlight w:val="none"/>
                <w:lang w:eastAsia="zh-CN"/>
              </w:rPr>
              <w:t>、</w:t>
            </w:r>
            <w:r>
              <w:rPr>
                <w:rFonts w:hint="default" w:ascii="Times New Roman" w:hAnsi="Times New Roman" w:eastAsia="宋体" w:cs="Times New Roman"/>
                <w:color w:val="000000"/>
                <w:sz w:val="21"/>
                <w:szCs w:val="21"/>
                <w:highlight w:val="none"/>
              </w:rPr>
              <w:t>P</w:t>
            </w:r>
            <w:r>
              <w:rPr>
                <w:rFonts w:hint="eastAsia" w:ascii="Times New Roman" w:hAnsi="Times New Roman" w:eastAsia="宋体" w:cs="Times New Roman"/>
                <w:color w:val="000000"/>
                <w:sz w:val="21"/>
                <w:szCs w:val="21"/>
                <w:highlight w:val="none"/>
                <w:lang w:val="en-US" w:eastAsia="zh-CN"/>
              </w:rPr>
              <w:t>M</w:t>
            </w:r>
            <w:r>
              <w:rPr>
                <w:rFonts w:hint="eastAsia" w:ascii="Times New Roman" w:hAnsi="Times New Roman" w:eastAsia="宋体" w:cs="Times New Roman"/>
                <w:color w:val="000000"/>
                <w:sz w:val="21"/>
                <w:szCs w:val="21"/>
                <w:highlight w:val="none"/>
                <w:vertAlign w:val="subscript"/>
                <w:lang w:val="en-US" w:eastAsia="zh-CN"/>
              </w:rPr>
              <w:t>2.5</w:t>
            </w:r>
            <w:r>
              <w:rPr>
                <w:rFonts w:hint="default" w:ascii="Times New Roman" w:hAnsi="Times New Roman" w:eastAsia="宋体" w:cs="Times New Roman"/>
                <w:color w:val="000000"/>
                <w:sz w:val="21"/>
                <w:szCs w:val="21"/>
                <w:highlight w:val="none"/>
                <w:lang w:eastAsia="zh-CN"/>
              </w:rPr>
              <w:t>、</w:t>
            </w:r>
            <w:r>
              <w:rPr>
                <w:rFonts w:hint="default" w:ascii="Times New Roman" w:hAnsi="Times New Roman" w:eastAsia="宋体" w:cs="Times New Roman"/>
                <w:color w:val="000000"/>
                <w:sz w:val="21"/>
                <w:szCs w:val="21"/>
                <w:highlight w:val="none"/>
              </w:rPr>
              <w:t>NO</w:t>
            </w:r>
            <w:r>
              <w:rPr>
                <w:rFonts w:hint="default" w:ascii="Times New Roman" w:hAnsi="Times New Roman" w:eastAsia="宋体" w:cs="Times New Roman"/>
                <w:color w:val="000000"/>
                <w:sz w:val="21"/>
                <w:szCs w:val="21"/>
                <w:highlight w:val="none"/>
                <w:vertAlign w:val="subscript"/>
              </w:rPr>
              <w:t>2</w:t>
            </w:r>
            <w:r>
              <w:rPr>
                <w:rFonts w:hint="eastAsia" w:cs="Times New Roman"/>
                <w:color w:val="000000"/>
                <w:sz w:val="21"/>
                <w:szCs w:val="21"/>
                <w:highlight w:val="none"/>
                <w:lang w:eastAsia="zh-CN"/>
              </w:rPr>
              <w:t>、</w:t>
            </w:r>
            <w:r>
              <w:rPr>
                <w:rFonts w:hint="default" w:ascii="Times New Roman" w:hAnsi="Times New Roman" w:eastAsia="宋体" w:cs="Times New Roman"/>
                <w:color w:val="000000"/>
                <w:sz w:val="21"/>
                <w:szCs w:val="21"/>
                <w:highlight w:val="none"/>
              </w:rPr>
              <w:t>SO</w:t>
            </w:r>
            <w:r>
              <w:rPr>
                <w:rFonts w:hint="default" w:ascii="Times New Roman" w:hAnsi="Times New Roman" w:eastAsia="宋体" w:cs="Times New Roman"/>
                <w:color w:val="000000"/>
                <w:sz w:val="21"/>
                <w:szCs w:val="21"/>
                <w:highlight w:val="none"/>
                <w:vertAlign w:val="subscript"/>
              </w:rPr>
              <w:t>2</w:t>
            </w:r>
            <w:r>
              <w:rPr>
                <w:rFonts w:hint="default" w:ascii="Times New Roman" w:hAnsi="Times New Roman" w:eastAsia="宋体" w:cs="Times New Roman"/>
                <w:color w:val="000000"/>
                <w:sz w:val="21"/>
                <w:szCs w:val="21"/>
                <w:highlight w:val="none"/>
              </w:rPr>
              <w:t>年平均值</w:t>
            </w:r>
            <w:r>
              <w:rPr>
                <w:rFonts w:hint="default" w:ascii="Times New Roman" w:hAnsi="Times New Roman" w:eastAsia="宋体" w:cs="Times New Roman"/>
                <w:color w:val="000000"/>
                <w:sz w:val="21"/>
                <w:szCs w:val="21"/>
                <w:highlight w:val="none"/>
                <w:lang w:eastAsia="zh-CN"/>
              </w:rPr>
              <w:t>，</w:t>
            </w:r>
            <w:r>
              <w:rPr>
                <w:rFonts w:hint="default" w:ascii="Times New Roman" w:hAnsi="Times New Roman" w:eastAsia="宋体" w:cs="Times New Roman"/>
                <w:color w:val="000000"/>
                <w:sz w:val="21"/>
                <w:szCs w:val="21"/>
                <w:highlight w:val="none"/>
              </w:rPr>
              <w:t>CO24小时平均浓度、O</w:t>
            </w:r>
            <w:r>
              <w:rPr>
                <w:rFonts w:hint="default" w:ascii="Times New Roman" w:hAnsi="Times New Roman" w:eastAsia="宋体" w:cs="Times New Roman"/>
                <w:color w:val="000000"/>
                <w:sz w:val="21"/>
                <w:szCs w:val="21"/>
                <w:highlight w:val="none"/>
                <w:vertAlign w:val="subscript"/>
              </w:rPr>
              <w:t>3</w:t>
            </w:r>
            <w:r>
              <w:rPr>
                <w:rFonts w:hint="default" w:ascii="Times New Roman" w:hAnsi="Times New Roman" w:eastAsia="宋体" w:cs="Times New Roman"/>
                <w:color w:val="000000"/>
                <w:sz w:val="21"/>
                <w:szCs w:val="21"/>
                <w:highlight w:val="none"/>
              </w:rPr>
              <w:t>日最大8小时平均浓度</w:t>
            </w:r>
            <w:r>
              <w:rPr>
                <w:rFonts w:hint="default" w:ascii="Times New Roman" w:hAnsi="Times New Roman" w:eastAsia="宋体" w:cs="Times New Roman"/>
                <w:color w:val="000000"/>
                <w:sz w:val="21"/>
                <w:szCs w:val="21"/>
                <w:highlight w:val="none"/>
                <w:lang w:val="en-US" w:eastAsia="zh-CN"/>
              </w:rPr>
              <w:t>均</w:t>
            </w:r>
            <w:r>
              <w:rPr>
                <w:rFonts w:hint="default" w:ascii="Times New Roman" w:hAnsi="Times New Roman" w:eastAsia="宋体" w:cs="Times New Roman"/>
                <w:color w:val="000000"/>
                <w:sz w:val="21"/>
                <w:szCs w:val="21"/>
                <w:highlight w:val="none"/>
              </w:rPr>
              <w:t>符合《环境空气质量标准》（GB3095-2012）二级标准</w:t>
            </w:r>
            <w:r>
              <w:rPr>
                <w:rFonts w:hint="eastAsia" w:ascii="Times New Roman" w:hAnsi="Times New Roman" w:eastAsia="宋体" w:cs="Times New Roman"/>
                <w:color w:val="000000"/>
                <w:sz w:val="21"/>
                <w:szCs w:val="21"/>
                <w:highlight w:val="none"/>
                <w:lang w:val="en-US" w:eastAsia="zh-CN"/>
              </w:rPr>
              <w:t>，项目所在区域属于环境空气质量达标区</w:t>
            </w:r>
            <w:r>
              <w:rPr>
                <w:rFonts w:hint="default" w:ascii="Times New Roman" w:hAnsi="Times New Roman" w:eastAsia="宋体" w:cs="Times New Roman"/>
                <w:color w:val="000000"/>
                <w:sz w:val="21"/>
                <w:szCs w:val="21"/>
                <w:highlight w:val="none"/>
                <w:lang w:eastAsia="zh-CN"/>
              </w:rPr>
              <w:t>。</w:t>
            </w:r>
          </w:p>
          <w:p w14:paraId="688FED59">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sz w:val="21"/>
                <w:szCs w:val="21"/>
                <w:highlight w:val="none"/>
                <w:lang w:val="en-US"/>
              </w:rPr>
            </w:pPr>
            <w:r>
              <w:rPr>
                <w:rFonts w:hint="eastAsia" w:ascii="Times New Roman" w:hAnsi="Times New Roman" w:eastAsia="宋体" w:cs="Times New Roman"/>
                <w:color w:val="000000"/>
                <w:sz w:val="21"/>
                <w:szCs w:val="21"/>
                <w:highlight w:val="none"/>
                <w:lang w:val="en-US" w:eastAsia="zh-CN"/>
              </w:rPr>
              <w:t>（2）特征污染物</w:t>
            </w:r>
          </w:p>
          <w:p w14:paraId="53B913B2">
            <w:pPr>
              <w:pStyle w:val="205"/>
              <w:spacing w:before="26"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本项目总悬浮颗粒物（TSP）现状引用陕西中研华亿环境检测有限公司出具的《陕西长青能源化工有限公司汽化炉协同处置生化污泥及废活性炭项目环评监测</w:t>
            </w:r>
            <w:r>
              <w:rPr>
                <w:rFonts w:hint="eastAsia" w:ascii="Times New Roman" w:hAnsi="Times New Roman" w:cs="Times New Roman"/>
                <w:color w:val="auto"/>
                <w:kern w:val="0"/>
                <w:sz w:val="24"/>
                <w:szCs w:val="24"/>
                <w:highlight w:val="none"/>
                <w:lang w:val="en-US" w:eastAsia="zh-CN" w:bidi="ar-SA"/>
              </w:rPr>
              <w:t>报告</w:t>
            </w:r>
            <w:r>
              <w:rPr>
                <w:rFonts w:hint="default" w:ascii="Times New Roman" w:hAnsi="Times New Roman" w:eastAsia="宋体" w:cs="Times New Roman"/>
                <w:color w:val="auto"/>
                <w:kern w:val="0"/>
                <w:sz w:val="24"/>
                <w:szCs w:val="24"/>
                <w:highlight w:val="none"/>
                <w:lang w:val="en-US" w:eastAsia="zh-CN" w:bidi="ar-SA"/>
              </w:rPr>
              <w:t>》（中研华亿监[环]第202302003号）的环境质量现状监测数据，连续监测7天，监测点位于陕西省凤翔区陈村镇尹家务，位于本项目西南侧，距本项目</w:t>
            </w:r>
            <w:r>
              <w:rPr>
                <w:rFonts w:hint="eastAsia" w:ascii="Times New Roman" w:hAnsi="Times New Roman" w:eastAsia="宋体" w:cs="Times New Roman"/>
                <w:color w:val="auto"/>
                <w:kern w:val="0"/>
                <w:sz w:val="24"/>
                <w:szCs w:val="24"/>
                <w:highlight w:val="none"/>
                <w:lang w:val="en-US" w:eastAsia="zh-CN" w:bidi="ar-SA"/>
              </w:rPr>
              <w:t>2.83</w:t>
            </w:r>
            <w:r>
              <w:rPr>
                <w:rFonts w:hint="default" w:ascii="Times New Roman" w:hAnsi="Times New Roman" w:eastAsia="宋体" w:cs="Times New Roman"/>
                <w:color w:val="auto"/>
                <w:kern w:val="0"/>
                <w:sz w:val="24"/>
                <w:szCs w:val="24"/>
                <w:highlight w:val="none"/>
                <w:lang w:val="en-US" w:eastAsia="zh-CN" w:bidi="ar-SA"/>
              </w:rPr>
              <w:t>km，数据采样日期2023年2月13日～2月19日，符合引用要求。</w:t>
            </w:r>
          </w:p>
          <w:p w14:paraId="57BB4A06">
            <w:pPr>
              <w:pStyle w:val="205"/>
              <w:spacing w:before="26" w:line="223" w:lineRule="auto"/>
              <w:ind w:firstLine="482" w:firstLineChars="200"/>
              <w:jc w:val="center"/>
              <w:rPr>
                <w:rFonts w:hint="default" w:ascii="Times New Roman" w:hAnsi="Times New Roman" w:eastAsia="宋体" w:cs="Times New Roman"/>
                <w:b/>
                <w:bCs w:val="0"/>
                <w:color w:val="auto"/>
                <w:kern w:val="2"/>
                <w:sz w:val="24"/>
                <w:szCs w:val="24"/>
                <w:lang w:val="en-US" w:eastAsia="zh-CN" w:bidi="ar-SA"/>
              </w:rPr>
            </w:pPr>
            <w:r>
              <w:rPr>
                <w:rFonts w:hint="default" w:ascii="Times New Roman" w:hAnsi="Times New Roman" w:eastAsia="宋体" w:cs="Times New Roman"/>
                <w:b/>
                <w:bCs w:val="0"/>
                <w:color w:val="auto"/>
                <w:kern w:val="2"/>
                <w:sz w:val="24"/>
                <w:szCs w:val="24"/>
                <w:lang w:val="en-US" w:eastAsia="zh-CN" w:bidi="ar-SA"/>
              </w:rPr>
              <w:t>表 3-2  特征污染物TSP监测结果一览表</w:t>
            </w:r>
          </w:p>
          <w:tbl>
            <w:tblPr>
              <w:tblStyle w:val="14"/>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669"/>
              <w:gridCol w:w="920"/>
              <w:gridCol w:w="1660"/>
              <w:gridCol w:w="1259"/>
              <w:gridCol w:w="886"/>
              <w:gridCol w:w="919"/>
              <w:gridCol w:w="630"/>
            </w:tblGrid>
            <w:tr w14:paraId="567012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1050" w:type="pct"/>
                  <w:tcBorders>
                    <w:tl2br w:val="nil"/>
                    <w:tr2bl w:val="nil"/>
                  </w:tcBorders>
                  <w:noWrap w:val="0"/>
                  <w:vAlign w:val="center"/>
                </w:tcPr>
                <w:p w14:paraId="3A9A6031">
                  <w:pPr>
                    <w:pStyle w:val="20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7"/>
                      <w:sz w:val="21"/>
                      <w:szCs w:val="21"/>
                    </w:rPr>
                    <w:t>监测点位</w:t>
                  </w:r>
                </w:p>
              </w:tc>
              <w:tc>
                <w:tcPr>
                  <w:tcW w:w="579" w:type="pct"/>
                  <w:tcBorders>
                    <w:tl2br w:val="nil"/>
                    <w:tr2bl w:val="nil"/>
                  </w:tcBorders>
                  <w:noWrap w:val="0"/>
                  <w:vAlign w:val="center"/>
                </w:tcPr>
                <w:p w14:paraId="4812A8BB">
                  <w:pPr>
                    <w:pStyle w:val="20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监测因</w:t>
                  </w:r>
                  <w:r>
                    <w:rPr>
                      <w:rFonts w:hint="default" w:ascii="Times New Roman" w:hAnsi="Times New Roman" w:cs="Times New Roman"/>
                      <w:color w:val="auto"/>
                      <w:sz w:val="21"/>
                      <w:szCs w:val="21"/>
                    </w:rPr>
                    <w:t>子</w:t>
                  </w:r>
                </w:p>
              </w:tc>
              <w:tc>
                <w:tcPr>
                  <w:tcW w:w="1044" w:type="pct"/>
                  <w:tcBorders>
                    <w:tl2br w:val="nil"/>
                    <w:tr2bl w:val="nil"/>
                  </w:tcBorders>
                  <w:noWrap w:val="0"/>
                  <w:vAlign w:val="center"/>
                </w:tcPr>
                <w:p w14:paraId="54AACE65">
                  <w:pPr>
                    <w:pStyle w:val="20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8"/>
                      <w:sz w:val="21"/>
                      <w:szCs w:val="21"/>
                    </w:rPr>
                    <w:t>监测结果范围</w:t>
                  </w:r>
                </w:p>
                <w:p w14:paraId="2ED66076">
                  <w:pPr>
                    <w:pStyle w:val="20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pacing w:val="3"/>
                      <w:sz w:val="21"/>
                      <w:szCs w:val="21"/>
                      <w:lang w:eastAsia="zh-CN"/>
                    </w:rPr>
                    <w:t>(</w:t>
                  </w:r>
                  <w:r>
                    <w:rPr>
                      <w:rFonts w:hint="default" w:ascii="Times New Roman" w:hAnsi="Times New Roman" w:eastAsia="Times New Roman" w:cs="Times New Roman"/>
                      <w:color w:val="auto"/>
                      <w:sz w:val="21"/>
                      <w:szCs w:val="21"/>
                    </w:rPr>
                    <w:t>mg</w:t>
                  </w:r>
                  <w:r>
                    <w:rPr>
                      <w:rFonts w:hint="default" w:ascii="Times New Roman" w:hAnsi="Times New Roman" w:eastAsia="Times New Roman" w:cs="Times New Roman"/>
                      <w:color w:val="auto"/>
                      <w:spacing w:val="3"/>
                      <w:sz w:val="21"/>
                      <w:szCs w:val="21"/>
                    </w:rPr>
                    <w:t>/m</w:t>
                  </w:r>
                  <w:r>
                    <w:rPr>
                      <w:rFonts w:hint="default" w:ascii="Times New Roman" w:hAnsi="Times New Roman" w:eastAsia="Times New Roman" w:cs="Times New Roman"/>
                      <w:color w:val="auto"/>
                      <w:spacing w:val="3"/>
                      <w:position w:val="6"/>
                      <w:sz w:val="21"/>
                      <w:szCs w:val="21"/>
                    </w:rPr>
                    <w:t>3</w:t>
                  </w:r>
                  <w:r>
                    <w:rPr>
                      <w:rFonts w:hint="eastAsia" w:ascii="Times New Roman" w:hAnsi="Times New Roman" w:eastAsia="宋体" w:cs="Times New Roman"/>
                      <w:color w:val="auto"/>
                      <w:spacing w:val="3"/>
                      <w:position w:val="6"/>
                      <w:sz w:val="21"/>
                      <w:szCs w:val="21"/>
                      <w:lang w:eastAsia="zh-CN"/>
                    </w:rPr>
                    <w:t>)</w:t>
                  </w:r>
                </w:p>
              </w:tc>
              <w:tc>
                <w:tcPr>
                  <w:tcW w:w="792" w:type="pct"/>
                  <w:tcBorders>
                    <w:tl2br w:val="nil"/>
                    <w:tr2bl w:val="nil"/>
                  </w:tcBorders>
                  <w:noWrap w:val="0"/>
                  <w:vAlign w:val="center"/>
                </w:tcPr>
                <w:p w14:paraId="60EFB51F">
                  <w:pPr>
                    <w:pStyle w:val="20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7"/>
                      <w:sz w:val="21"/>
                      <w:szCs w:val="21"/>
                    </w:rPr>
                    <w:t>评价标准</w:t>
                  </w:r>
                  <w:r>
                    <w:rPr>
                      <w:rFonts w:hint="default" w:ascii="Times New Roman" w:hAnsi="Times New Roman" w:cs="Times New Roman"/>
                      <w:color w:val="auto"/>
                      <w:spacing w:val="1"/>
                      <w:sz w:val="21"/>
                      <w:szCs w:val="21"/>
                    </w:rPr>
                    <w:t>（</w:t>
                  </w:r>
                  <w:r>
                    <w:rPr>
                      <w:rFonts w:hint="default" w:ascii="Times New Roman" w:hAnsi="Times New Roman" w:eastAsia="Times New Roman" w:cs="Times New Roman"/>
                      <w:color w:val="auto"/>
                      <w:sz w:val="21"/>
                      <w:szCs w:val="21"/>
                    </w:rPr>
                    <w:t>mg</w:t>
                  </w:r>
                  <w:r>
                    <w:rPr>
                      <w:rFonts w:hint="default" w:ascii="Times New Roman" w:hAnsi="Times New Roman" w:eastAsia="Times New Roman" w:cs="Times New Roman"/>
                      <w:color w:val="auto"/>
                      <w:spacing w:val="1"/>
                      <w:sz w:val="21"/>
                      <w:szCs w:val="21"/>
                    </w:rPr>
                    <w:t>/m</w:t>
                  </w:r>
                  <w:r>
                    <w:rPr>
                      <w:rFonts w:hint="default" w:ascii="Times New Roman" w:hAnsi="Times New Roman" w:eastAsia="Times New Roman" w:cs="Times New Roman"/>
                      <w:color w:val="auto"/>
                      <w:spacing w:val="1"/>
                      <w:position w:val="6"/>
                      <w:sz w:val="21"/>
                      <w:szCs w:val="21"/>
                    </w:rPr>
                    <w:t>3</w:t>
                  </w:r>
                  <w:r>
                    <w:rPr>
                      <w:rFonts w:hint="default" w:ascii="Times New Roman" w:hAnsi="Times New Roman" w:cs="Times New Roman"/>
                      <w:color w:val="auto"/>
                      <w:spacing w:val="1"/>
                      <w:sz w:val="21"/>
                      <w:szCs w:val="21"/>
                    </w:rPr>
                    <w:t>）</w:t>
                  </w:r>
                </w:p>
              </w:tc>
              <w:tc>
                <w:tcPr>
                  <w:tcW w:w="557" w:type="pct"/>
                  <w:tcBorders>
                    <w:tl2br w:val="nil"/>
                    <w:tr2bl w:val="nil"/>
                  </w:tcBorders>
                  <w:noWrap w:val="0"/>
                  <w:vAlign w:val="center"/>
                </w:tcPr>
                <w:p w14:paraId="577BFB59">
                  <w:pPr>
                    <w:pStyle w:val="20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占标率</w:t>
                  </w:r>
                  <w:r>
                    <w:rPr>
                      <w:rFonts w:hint="default" w:ascii="Times New Roman" w:hAnsi="Times New Roman" w:cs="Times New Roman"/>
                      <w:color w:val="auto"/>
                      <w:sz w:val="21"/>
                      <w:szCs w:val="21"/>
                    </w:rPr>
                    <w:t>（</w:t>
                  </w:r>
                  <w:r>
                    <w:rPr>
                      <w:rFonts w:hint="default" w:ascii="Times New Roman" w:hAnsi="Times New Roman" w:eastAsia="Times New Roman" w:cs="Times New Roman"/>
                      <w:color w:val="auto"/>
                      <w:sz w:val="21"/>
                      <w:szCs w:val="21"/>
                    </w:rPr>
                    <w:t>%</w:t>
                  </w:r>
                  <w:r>
                    <w:rPr>
                      <w:rFonts w:hint="default" w:ascii="Times New Roman" w:hAnsi="Times New Roman" w:cs="Times New Roman"/>
                      <w:color w:val="auto"/>
                      <w:sz w:val="21"/>
                      <w:szCs w:val="21"/>
                    </w:rPr>
                    <w:t>）</w:t>
                  </w:r>
                </w:p>
              </w:tc>
              <w:tc>
                <w:tcPr>
                  <w:tcW w:w="578" w:type="pct"/>
                  <w:tcBorders>
                    <w:tl2br w:val="nil"/>
                    <w:tr2bl w:val="nil"/>
                  </w:tcBorders>
                  <w:noWrap w:val="0"/>
                  <w:vAlign w:val="center"/>
                </w:tcPr>
                <w:p w14:paraId="70AD7E37">
                  <w:pPr>
                    <w:pStyle w:val="20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7"/>
                      <w:sz w:val="21"/>
                      <w:szCs w:val="21"/>
                    </w:rPr>
                    <w:t>超标率</w:t>
                  </w:r>
                  <w:r>
                    <w:rPr>
                      <w:rFonts w:hint="default" w:ascii="Times New Roman" w:hAnsi="Times New Roman" w:cs="Times New Roman"/>
                      <w:color w:val="auto"/>
                      <w:spacing w:val="-1"/>
                      <w:sz w:val="21"/>
                      <w:szCs w:val="21"/>
                    </w:rPr>
                    <w:t>（</w:t>
                  </w:r>
                  <w:r>
                    <w:rPr>
                      <w:rFonts w:hint="default" w:ascii="Times New Roman" w:hAnsi="Times New Roman" w:eastAsia="Times New Roman" w:cs="Times New Roman"/>
                      <w:color w:val="auto"/>
                      <w:spacing w:val="-1"/>
                      <w:sz w:val="21"/>
                      <w:szCs w:val="21"/>
                    </w:rPr>
                    <w:t>%</w:t>
                  </w:r>
                  <w:r>
                    <w:rPr>
                      <w:rFonts w:hint="default" w:ascii="Times New Roman" w:hAnsi="Times New Roman" w:cs="Times New Roman"/>
                      <w:color w:val="auto"/>
                      <w:spacing w:val="-1"/>
                      <w:sz w:val="21"/>
                      <w:szCs w:val="21"/>
                    </w:rPr>
                    <w:t>）</w:t>
                  </w:r>
                </w:p>
              </w:tc>
              <w:tc>
                <w:tcPr>
                  <w:tcW w:w="396" w:type="pct"/>
                  <w:tcBorders>
                    <w:tl2br w:val="nil"/>
                    <w:tr2bl w:val="nil"/>
                  </w:tcBorders>
                  <w:noWrap w:val="0"/>
                  <w:vAlign w:val="center"/>
                </w:tcPr>
                <w:p w14:paraId="19ECD6A2">
                  <w:pPr>
                    <w:pStyle w:val="20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达标</w:t>
                  </w:r>
                  <w:r>
                    <w:rPr>
                      <w:rFonts w:hint="default" w:ascii="Times New Roman" w:hAnsi="Times New Roman" w:cs="Times New Roman"/>
                      <w:color w:val="auto"/>
                      <w:spacing w:val="4"/>
                      <w:sz w:val="21"/>
                      <w:szCs w:val="21"/>
                    </w:rPr>
                    <w:t>情况</w:t>
                  </w:r>
                </w:p>
              </w:tc>
            </w:tr>
            <w:tr w14:paraId="69D9C0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1" w:hRule="atLeast"/>
                <w:jc w:val="center"/>
              </w:trPr>
              <w:tc>
                <w:tcPr>
                  <w:tcW w:w="1050" w:type="pct"/>
                  <w:tcBorders>
                    <w:tl2br w:val="nil"/>
                    <w:tr2bl w:val="nil"/>
                  </w:tcBorders>
                  <w:noWrap w:val="0"/>
                  <w:vAlign w:val="center"/>
                </w:tcPr>
                <w:p w14:paraId="07B5D093">
                  <w:pPr>
                    <w:pStyle w:val="20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pacing w:val="7"/>
                      <w:sz w:val="21"/>
                      <w:szCs w:val="21"/>
                    </w:rPr>
                    <w:t>距本项目</w:t>
                  </w:r>
                  <w:r>
                    <w:rPr>
                      <w:rFonts w:hint="eastAsia" w:ascii="Times New Roman" w:hAnsi="Times New Roman" w:cs="Times New Roman"/>
                      <w:color w:val="auto"/>
                      <w:spacing w:val="7"/>
                      <w:sz w:val="21"/>
                      <w:szCs w:val="21"/>
                      <w:lang w:val="en-US" w:eastAsia="zh-CN"/>
                    </w:rPr>
                    <w:t>3.1</w:t>
                  </w:r>
                  <w:r>
                    <w:rPr>
                      <w:rFonts w:hint="default" w:ascii="Times New Roman" w:hAnsi="Times New Roman" w:cs="Times New Roman"/>
                      <w:color w:val="auto"/>
                      <w:spacing w:val="7"/>
                      <w:sz w:val="21"/>
                      <w:szCs w:val="21"/>
                      <w:lang w:val="en-US" w:eastAsia="zh-CN"/>
                    </w:rPr>
                    <w:t>km</w:t>
                  </w:r>
                </w:p>
              </w:tc>
              <w:tc>
                <w:tcPr>
                  <w:tcW w:w="579" w:type="pct"/>
                  <w:tcBorders>
                    <w:tl2br w:val="nil"/>
                    <w:tr2bl w:val="nil"/>
                  </w:tcBorders>
                  <w:noWrap w:val="0"/>
                  <w:vAlign w:val="center"/>
                </w:tcPr>
                <w:p w14:paraId="77351CC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3"/>
                      <w:sz w:val="21"/>
                      <w:szCs w:val="21"/>
                    </w:rPr>
                    <w:t>TSP</w:t>
                  </w:r>
                </w:p>
              </w:tc>
              <w:tc>
                <w:tcPr>
                  <w:tcW w:w="1044" w:type="pct"/>
                  <w:tcBorders>
                    <w:tl2br w:val="nil"/>
                    <w:tr2bl w:val="nil"/>
                  </w:tcBorders>
                  <w:noWrap w:val="0"/>
                  <w:vAlign w:val="center"/>
                </w:tcPr>
                <w:p w14:paraId="14B2955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Times New Roman" w:cs="Times New Roman"/>
                      <w:color w:val="auto"/>
                      <w:spacing w:val="3"/>
                      <w:sz w:val="21"/>
                      <w:szCs w:val="21"/>
                    </w:rPr>
                    <w:t>0.2</w:t>
                  </w:r>
                  <w:r>
                    <w:rPr>
                      <w:rFonts w:hint="default" w:ascii="Times New Roman" w:hAnsi="Times New Roman" w:eastAsia="宋体" w:cs="Times New Roman"/>
                      <w:color w:val="auto"/>
                      <w:spacing w:val="3"/>
                      <w:sz w:val="21"/>
                      <w:szCs w:val="21"/>
                      <w:lang w:val="en-US" w:eastAsia="zh-CN"/>
                    </w:rPr>
                    <w:t>04</w:t>
                  </w:r>
                  <w:r>
                    <w:rPr>
                      <w:rFonts w:hint="default" w:ascii="Times New Roman" w:hAnsi="Times New Roman" w:eastAsia="Times New Roman" w:cs="Times New Roman"/>
                      <w:color w:val="auto"/>
                      <w:spacing w:val="3"/>
                      <w:sz w:val="21"/>
                      <w:szCs w:val="21"/>
                    </w:rPr>
                    <w:t>-0.2</w:t>
                  </w:r>
                  <w:r>
                    <w:rPr>
                      <w:rFonts w:hint="default" w:ascii="Times New Roman" w:hAnsi="Times New Roman" w:eastAsia="宋体" w:cs="Times New Roman"/>
                      <w:color w:val="auto"/>
                      <w:spacing w:val="3"/>
                      <w:sz w:val="21"/>
                      <w:szCs w:val="21"/>
                      <w:lang w:val="en-US" w:eastAsia="zh-CN"/>
                    </w:rPr>
                    <w:t>20</w:t>
                  </w:r>
                </w:p>
              </w:tc>
              <w:tc>
                <w:tcPr>
                  <w:tcW w:w="792" w:type="pct"/>
                  <w:tcBorders>
                    <w:tl2br w:val="nil"/>
                    <w:tr2bl w:val="nil"/>
                  </w:tcBorders>
                  <w:noWrap w:val="0"/>
                  <w:vAlign w:val="center"/>
                </w:tcPr>
                <w:p w14:paraId="450EC66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1"/>
                      <w:sz w:val="21"/>
                      <w:szCs w:val="21"/>
                    </w:rPr>
                    <w:t>0.3</w:t>
                  </w:r>
                </w:p>
              </w:tc>
              <w:tc>
                <w:tcPr>
                  <w:tcW w:w="557" w:type="pct"/>
                  <w:tcBorders>
                    <w:tl2br w:val="nil"/>
                    <w:tr2bl w:val="nil"/>
                  </w:tcBorders>
                  <w:noWrap w:val="0"/>
                  <w:vAlign w:val="center"/>
                </w:tcPr>
                <w:p w14:paraId="3EDA3DF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2"/>
                      <w:sz w:val="21"/>
                      <w:szCs w:val="21"/>
                      <w:lang w:val="en-US" w:eastAsia="zh-CN"/>
                    </w:rPr>
                    <w:t>73</w:t>
                  </w:r>
                </w:p>
              </w:tc>
              <w:tc>
                <w:tcPr>
                  <w:tcW w:w="578" w:type="pct"/>
                  <w:tcBorders>
                    <w:tl2br w:val="nil"/>
                    <w:tr2bl w:val="nil"/>
                  </w:tcBorders>
                  <w:noWrap w:val="0"/>
                  <w:vAlign w:val="center"/>
                </w:tcPr>
                <w:p w14:paraId="3957F90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0</w:t>
                  </w:r>
                </w:p>
              </w:tc>
              <w:tc>
                <w:tcPr>
                  <w:tcW w:w="396" w:type="pct"/>
                  <w:tcBorders>
                    <w:tl2br w:val="nil"/>
                    <w:tr2bl w:val="nil"/>
                  </w:tcBorders>
                  <w:noWrap w:val="0"/>
                  <w:vAlign w:val="center"/>
                </w:tcPr>
                <w:p w14:paraId="2237F17A">
                  <w:pPr>
                    <w:pStyle w:val="205"/>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达标</w:t>
                  </w:r>
                </w:p>
              </w:tc>
            </w:tr>
          </w:tbl>
          <w:p w14:paraId="52AC7002">
            <w:pPr>
              <w:pStyle w:val="205"/>
              <w:spacing w:before="30" w:line="355" w:lineRule="auto"/>
              <w:ind w:right="40" w:firstLine="480"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由监测统计结果可以看出，评价区域环境空气中TSP浓度范围为0.204mg/m³-0.220mg/m³，满足《环境空气质量标准》（GB3095-2012）二级标准中标准限值。</w:t>
            </w:r>
          </w:p>
          <w:p w14:paraId="22899DBC">
            <w:pPr>
              <w:keepNext w:val="0"/>
              <w:keepLines w:val="0"/>
              <w:pageBreakBefore w:val="0"/>
              <w:widowControl w:val="0"/>
              <w:tabs>
                <w:tab w:val="left" w:pos="4847"/>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2"/>
                <w:sz w:val="24"/>
                <w:szCs w:val="24"/>
                <w:lang w:val="en-US" w:eastAsia="zh-CN" w:bidi="ar-SA"/>
              </w:rPr>
              <w:t>本次环评氮氧化物现状引用陕西青源环保科</w:t>
            </w:r>
            <w:r>
              <w:rPr>
                <w:rFonts w:hint="default" w:ascii="Times New Roman" w:hAnsi="Times New Roman" w:eastAsia="宋体" w:cs="Times New Roman"/>
                <w:color w:val="auto"/>
                <w:sz w:val="24"/>
                <w:highlight w:val="none"/>
              </w:rPr>
              <w:t>技有限公司出具的《陕西裕隆气体有限公司甲醇尾气综合利用项目提质扩能项目环境空气现状监测报告》中</w:t>
            </w:r>
            <w:r>
              <w:rPr>
                <w:rFonts w:hint="default" w:ascii="Times New Roman" w:hAnsi="Times New Roman" w:eastAsia="宋体" w:cs="Times New Roman"/>
                <w:color w:val="auto"/>
                <w:sz w:val="24"/>
                <w:highlight w:val="none"/>
                <w:lang w:val="en-US" w:eastAsia="zh-CN"/>
              </w:rPr>
              <w:t>氮氧化物</w:t>
            </w:r>
            <w:r>
              <w:rPr>
                <w:rFonts w:hint="default" w:ascii="Times New Roman" w:hAnsi="Times New Roman" w:eastAsia="宋体" w:cs="Times New Roman"/>
                <w:color w:val="auto"/>
                <w:sz w:val="24"/>
                <w:highlight w:val="none"/>
              </w:rPr>
              <w:t>监测数据进行分析</w:t>
            </w:r>
            <w:r>
              <w:rPr>
                <w:rFonts w:hint="default" w:ascii="Times New Roman" w:hAnsi="Times New Roman" w:cs="Times New Roman"/>
                <w:color w:val="auto"/>
                <w:sz w:val="24"/>
                <w:highlight w:val="none"/>
                <w:lang w:eastAsia="zh-CN"/>
              </w:rPr>
              <w:t>，监测点位距离本项目约</w:t>
            </w:r>
            <w:r>
              <w:rPr>
                <w:rFonts w:hint="eastAsia" w:cs="Times New Roman"/>
                <w:color w:val="auto"/>
                <w:sz w:val="24"/>
                <w:highlight w:val="none"/>
                <w:lang w:val="en-US" w:eastAsia="zh-CN"/>
              </w:rPr>
              <w:t>2.77</w:t>
            </w:r>
            <w:r>
              <w:rPr>
                <w:rFonts w:hint="default" w:ascii="Times New Roman" w:hAnsi="Times New Roman" w:eastAsia="宋体" w:cs="Times New Roman"/>
                <w:color w:val="auto"/>
                <w:sz w:val="24"/>
                <w:highlight w:val="none"/>
                <w:lang w:eastAsia="zh-CN"/>
              </w:rPr>
              <w:t>km，监测</w:t>
            </w:r>
            <w:r>
              <w:rPr>
                <w:rFonts w:hint="default" w:ascii="Times New Roman" w:hAnsi="Times New Roman" w:cs="Times New Roman"/>
                <w:color w:val="auto"/>
                <w:sz w:val="24"/>
                <w:highlight w:val="none"/>
                <w:lang w:eastAsia="zh-CN"/>
              </w:rPr>
              <w:t>时间为202</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eastAsia="zh-CN"/>
              </w:rPr>
              <w:t>年</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eastAsia="zh-CN"/>
              </w:rPr>
              <w:t>月</w:t>
            </w:r>
            <w:r>
              <w:rPr>
                <w:rFonts w:hint="default" w:ascii="Times New Roman" w:hAnsi="Times New Roman" w:cs="Times New Roman"/>
                <w:color w:val="auto"/>
                <w:sz w:val="24"/>
                <w:highlight w:val="none"/>
                <w:lang w:val="en-US" w:eastAsia="zh-CN"/>
              </w:rPr>
              <w:t>24</w:t>
            </w:r>
            <w:r>
              <w:rPr>
                <w:rFonts w:hint="default" w:ascii="Times New Roman" w:hAnsi="Times New Roman" w:cs="Times New Roman"/>
                <w:color w:val="auto"/>
                <w:sz w:val="24"/>
                <w:highlight w:val="none"/>
                <w:lang w:eastAsia="zh-CN"/>
              </w:rPr>
              <w:t>日—</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eastAsia="zh-CN"/>
              </w:rPr>
              <w:t>月</w:t>
            </w:r>
            <w:r>
              <w:rPr>
                <w:rFonts w:hint="default" w:ascii="Times New Roman" w:hAnsi="Times New Roman" w:cs="Times New Roman"/>
                <w:color w:val="auto"/>
                <w:sz w:val="24"/>
                <w:highlight w:val="none"/>
                <w:lang w:val="en-US" w:eastAsia="zh-CN"/>
              </w:rPr>
              <w:t>27</w:t>
            </w:r>
            <w:r>
              <w:rPr>
                <w:rFonts w:hint="default" w:ascii="Times New Roman" w:hAnsi="Times New Roman" w:cs="Times New Roman"/>
                <w:color w:val="auto"/>
                <w:sz w:val="24"/>
                <w:highlight w:val="none"/>
                <w:lang w:eastAsia="zh-CN"/>
              </w:rPr>
              <w:t>日，为近3年有效数据，符合引用的条件</w:t>
            </w:r>
            <w:r>
              <w:rPr>
                <w:rFonts w:hint="default" w:ascii="Times New Roman" w:hAnsi="Times New Roman" w:eastAsia="宋体" w:cs="Times New Roman"/>
                <w:color w:val="auto"/>
                <w:sz w:val="24"/>
                <w:highlight w:val="none"/>
              </w:rPr>
              <w:t>。监测结果见表3-</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引用监测点位与项目位置关系见图3-1所示。</w:t>
            </w:r>
          </w:p>
          <w:p w14:paraId="56812F95">
            <w:pPr>
              <w:pStyle w:val="205"/>
              <w:spacing w:before="26" w:line="223" w:lineRule="auto"/>
              <w:ind w:firstLine="482" w:firstLineChars="200"/>
              <w:jc w:val="center"/>
              <w:rPr>
                <w:rFonts w:hint="default" w:ascii="Times New Roman" w:hAnsi="Times New Roman" w:eastAsia="宋体" w:cs="Times New Roman"/>
                <w:b/>
                <w:bCs w:val="0"/>
                <w:color w:val="auto"/>
                <w:kern w:val="2"/>
                <w:sz w:val="24"/>
                <w:szCs w:val="24"/>
                <w:lang w:val="en-US" w:eastAsia="zh-CN" w:bidi="ar-SA"/>
              </w:rPr>
            </w:pPr>
            <w:r>
              <w:rPr>
                <w:rFonts w:hint="default" w:ascii="Times New Roman" w:hAnsi="Times New Roman" w:eastAsia="宋体" w:cs="Times New Roman"/>
                <w:b/>
                <w:bCs w:val="0"/>
                <w:color w:val="auto"/>
                <w:kern w:val="2"/>
                <w:sz w:val="24"/>
                <w:szCs w:val="24"/>
                <w:lang w:val="en-US" w:eastAsia="zh-CN" w:bidi="ar-SA"/>
              </w:rPr>
              <w:t>表3-3  大气特征污染物环境质量现状监测结果</w:t>
            </w:r>
          </w:p>
          <w:tbl>
            <w:tblPr>
              <w:tblStyle w:val="1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2038"/>
              <w:gridCol w:w="1906"/>
              <w:gridCol w:w="2704"/>
            </w:tblGrid>
            <w:tr w14:paraId="75DEDF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4" w:type="pct"/>
                  <w:vMerge w:val="restart"/>
                  <w:tcBorders>
                    <w:tl2br w:val="nil"/>
                    <w:tr2bl w:val="nil"/>
                  </w:tcBorders>
                  <w:noWrap w:val="0"/>
                  <w:vAlign w:val="center"/>
                </w:tcPr>
                <w:p w14:paraId="6720ACE8">
                  <w:pPr>
                    <w:pStyle w:val="112"/>
                    <w:spacing w:line="24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监测点位</w:t>
                  </w:r>
                </w:p>
              </w:tc>
              <w:tc>
                <w:tcPr>
                  <w:tcW w:w="1283" w:type="pct"/>
                  <w:vMerge w:val="restart"/>
                  <w:tcBorders>
                    <w:tl2br w:val="nil"/>
                    <w:tr2bl w:val="nil"/>
                  </w:tcBorders>
                  <w:noWrap w:val="0"/>
                  <w:vAlign w:val="center"/>
                </w:tcPr>
                <w:p w14:paraId="70DD5CF4">
                  <w:pPr>
                    <w:pStyle w:val="112"/>
                    <w:spacing w:line="24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监测日期</w:t>
                  </w:r>
                </w:p>
              </w:tc>
              <w:tc>
                <w:tcPr>
                  <w:tcW w:w="2902" w:type="pct"/>
                  <w:gridSpan w:val="2"/>
                  <w:tcBorders>
                    <w:tl2br w:val="nil"/>
                    <w:tr2bl w:val="nil"/>
                  </w:tcBorders>
                  <w:noWrap w:val="0"/>
                  <w:vAlign w:val="center"/>
                </w:tcPr>
                <w:p w14:paraId="339F030F">
                  <w:pPr>
                    <w:pStyle w:val="112"/>
                    <w:spacing w:line="24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氮氧化物</w:t>
                  </w:r>
                </w:p>
              </w:tc>
            </w:tr>
            <w:tr w14:paraId="1001F7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4" w:type="pct"/>
                  <w:vMerge w:val="continue"/>
                  <w:tcBorders>
                    <w:tl2br w:val="nil"/>
                    <w:tr2bl w:val="nil"/>
                  </w:tcBorders>
                  <w:noWrap w:val="0"/>
                  <w:vAlign w:val="center"/>
                </w:tcPr>
                <w:p w14:paraId="41B32A68">
                  <w:pPr>
                    <w:pStyle w:val="112"/>
                    <w:spacing w:line="240" w:lineRule="exact"/>
                    <w:rPr>
                      <w:rFonts w:hint="default" w:ascii="Times New Roman" w:hAnsi="Times New Roman" w:eastAsia="宋体" w:cs="Times New Roman"/>
                      <w:color w:val="auto"/>
                      <w:kern w:val="0"/>
                      <w:szCs w:val="21"/>
                    </w:rPr>
                  </w:pPr>
                </w:p>
              </w:tc>
              <w:tc>
                <w:tcPr>
                  <w:tcW w:w="1283" w:type="pct"/>
                  <w:vMerge w:val="continue"/>
                  <w:tcBorders>
                    <w:tl2br w:val="nil"/>
                    <w:tr2bl w:val="nil"/>
                  </w:tcBorders>
                  <w:noWrap w:val="0"/>
                  <w:vAlign w:val="center"/>
                </w:tcPr>
                <w:p w14:paraId="51C9F59A">
                  <w:pPr>
                    <w:pStyle w:val="112"/>
                    <w:spacing w:line="240" w:lineRule="exact"/>
                    <w:rPr>
                      <w:rFonts w:hint="default" w:ascii="Times New Roman" w:hAnsi="Times New Roman" w:eastAsia="宋体" w:cs="Times New Roman"/>
                      <w:color w:val="auto"/>
                      <w:kern w:val="0"/>
                      <w:szCs w:val="21"/>
                    </w:rPr>
                  </w:pPr>
                </w:p>
              </w:tc>
              <w:tc>
                <w:tcPr>
                  <w:tcW w:w="1200" w:type="pct"/>
                  <w:tcBorders>
                    <w:tl2br w:val="nil"/>
                    <w:tr2bl w:val="nil"/>
                  </w:tcBorders>
                  <w:noWrap w:val="0"/>
                  <w:vAlign w:val="center"/>
                </w:tcPr>
                <w:p w14:paraId="6993C3D6">
                  <w:pPr>
                    <w:pStyle w:val="112"/>
                    <w:spacing w:line="24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1小时平均值</w:t>
                  </w:r>
                </w:p>
              </w:tc>
              <w:tc>
                <w:tcPr>
                  <w:tcW w:w="1702" w:type="pct"/>
                  <w:tcBorders>
                    <w:tl2br w:val="nil"/>
                    <w:tr2bl w:val="nil"/>
                  </w:tcBorders>
                  <w:noWrap w:val="0"/>
                  <w:vAlign w:val="center"/>
                </w:tcPr>
                <w:p w14:paraId="47CF1DD5">
                  <w:pPr>
                    <w:pStyle w:val="112"/>
                    <w:spacing w:line="24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24小时平均值</w:t>
                  </w:r>
                </w:p>
              </w:tc>
            </w:tr>
            <w:tr w14:paraId="48EA3B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4" w:type="pct"/>
                  <w:tcBorders>
                    <w:tl2br w:val="nil"/>
                    <w:tr2bl w:val="nil"/>
                  </w:tcBorders>
                  <w:noWrap w:val="0"/>
                  <w:vAlign w:val="center"/>
                </w:tcPr>
                <w:p w14:paraId="3B81B7CB">
                  <w:pPr>
                    <w:pStyle w:val="112"/>
                    <w:spacing w:line="240" w:lineRule="exact"/>
                    <w:rPr>
                      <w:rFonts w:hint="default" w:ascii="Times New Roman" w:hAnsi="Times New Roman" w:eastAsia="宋体" w:cs="Times New Roman"/>
                      <w:color w:val="auto"/>
                      <w:kern w:val="0"/>
                      <w:szCs w:val="21"/>
                    </w:rPr>
                  </w:pPr>
                  <w:r>
                    <w:rPr>
                      <w:rFonts w:hint="eastAsia" w:eastAsia="宋体" w:cs="Times New Roman"/>
                      <w:color w:val="auto"/>
                      <w:kern w:val="0"/>
                      <w:szCs w:val="21"/>
                      <w:lang w:eastAsia="zh-CN"/>
                    </w:rPr>
                    <w:t>本</w:t>
                  </w:r>
                  <w:r>
                    <w:rPr>
                      <w:rFonts w:hint="default" w:ascii="Times New Roman" w:hAnsi="Times New Roman" w:eastAsia="宋体" w:cs="Times New Roman"/>
                      <w:color w:val="auto"/>
                      <w:kern w:val="0"/>
                      <w:szCs w:val="21"/>
                    </w:rPr>
                    <w:t>项目</w:t>
                  </w:r>
                  <w:r>
                    <w:rPr>
                      <w:rFonts w:hint="eastAsia" w:eastAsia="宋体" w:cs="Times New Roman"/>
                      <w:color w:val="auto"/>
                      <w:kern w:val="0"/>
                      <w:szCs w:val="21"/>
                      <w:lang w:eastAsia="zh-CN"/>
                    </w:rPr>
                    <w:t>西</w:t>
                  </w:r>
                  <w:r>
                    <w:rPr>
                      <w:rFonts w:hint="default" w:ascii="Times New Roman" w:hAnsi="Times New Roman" w:eastAsia="宋体" w:cs="Times New Roman"/>
                      <w:color w:val="auto"/>
                      <w:kern w:val="0"/>
                      <w:szCs w:val="21"/>
                    </w:rPr>
                    <w:t>侧</w:t>
                  </w:r>
                </w:p>
              </w:tc>
              <w:tc>
                <w:tcPr>
                  <w:tcW w:w="1283" w:type="pct"/>
                  <w:tcBorders>
                    <w:tl2br w:val="nil"/>
                    <w:tr2bl w:val="nil"/>
                  </w:tcBorders>
                  <w:noWrap w:val="0"/>
                  <w:vAlign w:val="center"/>
                </w:tcPr>
                <w:p w14:paraId="7CA046B5">
                  <w:pPr>
                    <w:pStyle w:val="112"/>
                    <w:spacing w:line="24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2023.3.24~2023.3.27</w:t>
                  </w:r>
                </w:p>
              </w:tc>
              <w:tc>
                <w:tcPr>
                  <w:tcW w:w="1200" w:type="pct"/>
                  <w:tcBorders>
                    <w:tl2br w:val="nil"/>
                    <w:tr2bl w:val="nil"/>
                  </w:tcBorders>
                  <w:noWrap w:val="0"/>
                  <w:vAlign w:val="center"/>
                </w:tcPr>
                <w:p w14:paraId="15D5B81D">
                  <w:pPr>
                    <w:pStyle w:val="112"/>
                    <w:spacing w:line="24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0.073</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0.084</w:t>
                  </w:r>
                </w:p>
              </w:tc>
              <w:tc>
                <w:tcPr>
                  <w:tcW w:w="1702" w:type="pct"/>
                  <w:tcBorders>
                    <w:tl2br w:val="nil"/>
                    <w:tr2bl w:val="nil"/>
                  </w:tcBorders>
                  <w:noWrap w:val="0"/>
                  <w:vAlign w:val="center"/>
                </w:tcPr>
                <w:p w14:paraId="3431F480">
                  <w:pPr>
                    <w:pStyle w:val="112"/>
                    <w:spacing w:line="24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0.052~0.067</w:t>
                  </w:r>
                </w:p>
              </w:tc>
            </w:tr>
            <w:tr w14:paraId="5999C8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97" w:type="pct"/>
                  <w:gridSpan w:val="2"/>
                  <w:tcBorders>
                    <w:tl2br w:val="nil"/>
                    <w:tr2bl w:val="nil"/>
                  </w:tcBorders>
                  <w:noWrap w:val="0"/>
                  <w:vAlign w:val="center"/>
                </w:tcPr>
                <w:p w14:paraId="50218C68">
                  <w:pPr>
                    <w:pStyle w:val="112"/>
                    <w:spacing w:line="24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超标率%</w:t>
                  </w:r>
                </w:p>
              </w:tc>
              <w:tc>
                <w:tcPr>
                  <w:tcW w:w="1200" w:type="pct"/>
                  <w:tcBorders>
                    <w:tl2br w:val="nil"/>
                    <w:tr2bl w:val="nil"/>
                  </w:tcBorders>
                  <w:noWrap w:val="0"/>
                  <w:vAlign w:val="center"/>
                </w:tcPr>
                <w:p w14:paraId="1B102E5C">
                  <w:pPr>
                    <w:pStyle w:val="112"/>
                    <w:spacing w:line="24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1702" w:type="pct"/>
                  <w:tcBorders>
                    <w:tl2br w:val="nil"/>
                    <w:tr2bl w:val="nil"/>
                  </w:tcBorders>
                  <w:noWrap w:val="0"/>
                  <w:vAlign w:val="center"/>
                </w:tcPr>
                <w:p w14:paraId="4885E707">
                  <w:pPr>
                    <w:pStyle w:val="112"/>
                    <w:spacing w:line="24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r>
            <w:tr w14:paraId="536DDA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7" w:type="pct"/>
                  <w:gridSpan w:val="2"/>
                  <w:tcBorders>
                    <w:tl2br w:val="nil"/>
                    <w:tr2bl w:val="nil"/>
                  </w:tcBorders>
                  <w:noWrap w:val="0"/>
                  <w:vAlign w:val="center"/>
                </w:tcPr>
                <w:p w14:paraId="55930959">
                  <w:pPr>
                    <w:pStyle w:val="112"/>
                    <w:spacing w:line="24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最大超标倍数</w:t>
                  </w:r>
                </w:p>
              </w:tc>
              <w:tc>
                <w:tcPr>
                  <w:tcW w:w="1200" w:type="pct"/>
                  <w:tcBorders>
                    <w:tl2br w:val="nil"/>
                    <w:tr2bl w:val="nil"/>
                  </w:tcBorders>
                  <w:noWrap w:val="0"/>
                  <w:vAlign w:val="center"/>
                </w:tcPr>
                <w:p w14:paraId="15DC1FCB">
                  <w:pPr>
                    <w:pStyle w:val="112"/>
                    <w:spacing w:line="24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c>
                <w:tcPr>
                  <w:tcW w:w="1702" w:type="pct"/>
                  <w:tcBorders>
                    <w:tl2br w:val="nil"/>
                    <w:tr2bl w:val="nil"/>
                  </w:tcBorders>
                  <w:noWrap w:val="0"/>
                  <w:vAlign w:val="center"/>
                </w:tcPr>
                <w:p w14:paraId="552F8697">
                  <w:pPr>
                    <w:pStyle w:val="112"/>
                    <w:spacing w:line="24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w:t>
                  </w:r>
                </w:p>
              </w:tc>
            </w:tr>
            <w:tr w14:paraId="029EB1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7" w:type="pct"/>
                  <w:gridSpan w:val="2"/>
                  <w:tcBorders>
                    <w:tl2br w:val="nil"/>
                    <w:tr2bl w:val="nil"/>
                  </w:tcBorders>
                  <w:noWrap w:val="0"/>
                  <w:vAlign w:val="center"/>
                </w:tcPr>
                <w:p w14:paraId="2E042EA7">
                  <w:pPr>
                    <w:pStyle w:val="112"/>
                    <w:spacing w:line="24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标准限值</w:t>
                  </w:r>
                </w:p>
              </w:tc>
              <w:tc>
                <w:tcPr>
                  <w:tcW w:w="1200" w:type="pct"/>
                  <w:tcBorders>
                    <w:tl2br w:val="nil"/>
                    <w:tr2bl w:val="nil"/>
                  </w:tcBorders>
                  <w:noWrap w:val="0"/>
                  <w:vAlign w:val="center"/>
                </w:tcPr>
                <w:p w14:paraId="52C9DC55">
                  <w:pPr>
                    <w:pStyle w:val="112"/>
                    <w:spacing w:line="24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0.25</w:t>
                  </w:r>
                </w:p>
              </w:tc>
              <w:tc>
                <w:tcPr>
                  <w:tcW w:w="1702" w:type="pct"/>
                  <w:tcBorders>
                    <w:tl2br w:val="nil"/>
                    <w:tr2bl w:val="nil"/>
                  </w:tcBorders>
                  <w:noWrap w:val="0"/>
                  <w:vAlign w:val="center"/>
                </w:tcPr>
                <w:p w14:paraId="40A8012A">
                  <w:pPr>
                    <w:pStyle w:val="112"/>
                    <w:spacing w:line="240" w:lineRule="exact"/>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0.1</w:t>
                  </w:r>
                </w:p>
              </w:tc>
            </w:tr>
          </w:tbl>
          <w:p w14:paraId="00B9951E">
            <w:pPr>
              <w:pStyle w:val="3"/>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cs="Times New Roman"/>
                <w:color w:val="auto"/>
                <w:kern w:val="2"/>
                <w:sz w:val="24"/>
                <w:szCs w:val="24"/>
                <w:lang w:val="en-US" w:eastAsia="zh-CN" w:bidi="ar-SA"/>
              </w:rPr>
            </w:pPr>
            <w:r>
              <w:rPr>
                <w:rFonts w:hint="default" w:ascii="Times New Roman" w:hAnsi="Times New Roman" w:cs="Times New Roman"/>
                <w:color w:val="auto"/>
                <w:kern w:val="24"/>
                <w:sz w:val="24"/>
              </w:rPr>
              <w:t>监测结果表明，监测点位氮氧化物1小时平均浓度</w:t>
            </w:r>
            <w:r>
              <w:rPr>
                <w:rFonts w:hint="eastAsia" w:ascii="Times New Roman" w:hAnsi="Times New Roman" w:eastAsia="宋体" w:cs="Times New Roman"/>
                <w:color w:val="auto"/>
                <w:kern w:val="24"/>
                <w:sz w:val="24"/>
                <w:lang w:eastAsia="zh-CN"/>
              </w:rPr>
              <w:t>，</w:t>
            </w:r>
            <w:r>
              <w:rPr>
                <w:rFonts w:hint="default" w:ascii="Times New Roman" w:hAnsi="Times New Roman" w:cs="Times New Roman"/>
                <w:color w:val="auto"/>
                <w:kern w:val="24"/>
                <w:sz w:val="24"/>
              </w:rPr>
              <w:t>24小时平均浓度满足《环境空气质量标准》（GB3095-2012）表2中的二级浓度标准要求。</w:t>
            </w:r>
          </w:p>
          <w:p w14:paraId="707CCDDD">
            <w:pPr>
              <w:adjustRightInd w:val="0"/>
              <w:snapToGrid w:val="0"/>
              <w:spacing w:line="360" w:lineRule="auto"/>
              <w:jc w:val="left"/>
              <w:rPr>
                <w:rFonts w:hint="default" w:ascii="Times New Roman" w:hAnsi="Times New Roman" w:cs="Times New Roman"/>
                <w:b/>
                <w:bCs w:val="0"/>
                <w:color w:val="auto"/>
                <w:sz w:val="24"/>
                <w:szCs w:val="24"/>
                <w:highlight w:val="none"/>
              </w:rPr>
            </w:pPr>
            <w:r>
              <w:rPr>
                <w:sz w:val="21"/>
              </w:rPr>
              <mc:AlternateContent>
                <mc:Choice Requires="wpg">
                  <w:drawing>
                    <wp:anchor distT="0" distB="0" distL="114300" distR="114300" simplePos="0" relativeHeight="251663360" behindDoc="0" locked="0" layoutInCell="1" allowOverlap="1">
                      <wp:simplePos x="0" y="0"/>
                      <wp:positionH relativeFrom="column">
                        <wp:posOffset>888365</wp:posOffset>
                      </wp:positionH>
                      <wp:positionV relativeFrom="paragraph">
                        <wp:posOffset>93980</wp:posOffset>
                      </wp:positionV>
                      <wp:extent cx="4095750" cy="2340610"/>
                      <wp:effectExtent l="6350" t="0" r="12700" b="40640"/>
                      <wp:wrapNone/>
                      <wp:docPr id="5662" name="组合 81"/>
                      <wp:cNvGraphicFramePr/>
                      <a:graphic xmlns:a="http://schemas.openxmlformats.org/drawingml/2006/main">
                        <a:graphicData uri="http://schemas.microsoft.com/office/word/2010/wordprocessingGroup">
                          <wpg:wgp>
                            <wpg:cNvGrpSpPr/>
                            <wpg:grpSpPr>
                              <a:xfrm>
                                <a:off x="0" y="0"/>
                                <a:ext cx="4095750" cy="2340610"/>
                                <a:chOff x="4711" y="522995"/>
                                <a:chExt cx="6450" cy="3686"/>
                              </a:xfrm>
                            </wpg:grpSpPr>
                            <wps:wsp>
                              <wps:cNvPr id="62" name="矩形标注 62"/>
                              <wps:cNvSpPr/>
                              <wps:spPr>
                                <a:xfrm>
                                  <a:off x="5828" y="524128"/>
                                  <a:ext cx="1440" cy="577"/>
                                </a:xfrm>
                                <a:prstGeom prst="wedgeRectCallout">
                                  <a:avLst>
                                    <a:gd name="adj1" fmla="val -61250"/>
                                    <a:gd name="adj2" fmla="val 119150"/>
                                  </a:avLst>
                                </a:prstGeom>
                                <a:solidFill>
                                  <a:srgbClr val="FFFFFF"/>
                                </a:solidFill>
                                <a:ln w="12700" cap="flat" cmpd="sng" algn="ctr">
                                  <a:solidFill>
                                    <a:srgbClr val="FFC000"/>
                                  </a:solidFill>
                                  <a:prstDash val="solid"/>
                                  <a:round/>
                                </a:ln>
                              </wps:spPr>
                              <wps:txbx>
                                <w:txbxContent>
                                  <w:p w14:paraId="3AF0D238">
                                    <w:pPr>
                                      <w:jc w:val="center"/>
                                      <w:rPr>
                                        <w:rFonts w:hint="eastAsia"/>
                                        <w:b/>
                                        <w:bCs/>
                                        <w:color w:val="FF0000"/>
                                        <w:sz w:val="15"/>
                                        <w:szCs w:val="18"/>
                                        <w:lang w:val="en-US" w:eastAsia="zh-CN"/>
                                      </w:rPr>
                                    </w:pPr>
                                    <w:r>
                                      <w:rPr>
                                        <w:rFonts w:hint="eastAsia"/>
                                        <w:b/>
                                        <w:bCs/>
                                        <w:color w:val="FF0000"/>
                                        <w:sz w:val="15"/>
                                        <w:szCs w:val="18"/>
                                        <w:lang w:val="en-US" w:eastAsia="zh-CN"/>
                                      </w:rPr>
                                      <w:t>TSP</w:t>
                                    </w:r>
                                  </w:p>
                                  <w:p w14:paraId="5C799484">
                                    <w:pPr>
                                      <w:jc w:val="center"/>
                                      <w:rPr>
                                        <w:rFonts w:hint="default"/>
                                        <w:b/>
                                        <w:bCs/>
                                        <w:color w:val="FF0000"/>
                                        <w:sz w:val="15"/>
                                        <w:szCs w:val="18"/>
                                        <w:lang w:val="en-US" w:eastAsia="zh-CN"/>
                                      </w:rPr>
                                    </w:pPr>
                                    <w:r>
                                      <w:rPr>
                                        <w:rFonts w:hint="eastAsia"/>
                                        <w:b/>
                                        <w:bCs/>
                                        <w:color w:val="FF0000"/>
                                        <w:sz w:val="15"/>
                                        <w:szCs w:val="18"/>
                                        <w:lang w:val="en-US" w:eastAsia="zh-CN"/>
                                      </w:rPr>
                                      <w:t>距本项目2.83km</w:t>
                                    </w:r>
                                  </w:p>
                                </w:txbxContent>
                              </wps:txbx>
                              <wps:bodyPr rot="0" spcFirstLastPara="0" vertOverflow="overflow" horzOverflow="overflow" vert="horz" wrap="square" lIns="91440" tIns="45720" rIns="91440" bIns="45720" numCol="1" rtlCol="0" anchor="ctr" upright="1">
                                <a:noAutofit/>
                              </wps:bodyPr>
                            </wps:wsp>
                            <pic:pic xmlns:pic="http://schemas.openxmlformats.org/drawingml/2006/picture">
                              <pic:nvPicPr>
                                <pic:cNvPr id="63" name="图片 2"/>
                                <pic:cNvPicPr/>
                              </pic:nvPicPr>
                              <pic:blipFill>
                                <a:blip r:embed="rId19"/>
                                <a:srcRect l="29272" t="3764" r="33910" b="9363"/>
                                <a:stretch>
                                  <a:fillRect/>
                                </a:stretch>
                              </pic:blipFill>
                              <pic:spPr>
                                <a:xfrm>
                                  <a:off x="10757" y="522995"/>
                                  <a:ext cx="405" cy="900"/>
                                </a:xfrm>
                                <a:prstGeom prst="rect">
                                  <a:avLst/>
                                </a:prstGeom>
                                <a:noFill/>
                                <a:ln>
                                  <a:noFill/>
                                </a:ln>
                              </pic:spPr>
                            </pic:pic>
                            <wps:wsp>
                              <wps:cNvPr id="64" name="矩形标注 64"/>
                              <wps:cNvSpPr/>
                              <wps:spPr>
                                <a:xfrm>
                                  <a:off x="4711" y="525334"/>
                                  <a:ext cx="1440" cy="577"/>
                                </a:xfrm>
                                <a:prstGeom prst="wedgeRectCallout">
                                  <a:avLst>
                                    <a:gd name="adj1" fmla="val 17430"/>
                                    <a:gd name="adj2" fmla="val 153119"/>
                                  </a:avLst>
                                </a:prstGeom>
                                <a:solidFill>
                                  <a:srgbClr val="FFFFFF"/>
                                </a:solidFill>
                                <a:ln w="12700" cap="flat" cmpd="sng" algn="ctr">
                                  <a:solidFill>
                                    <a:srgbClr val="FFC000"/>
                                  </a:solidFill>
                                  <a:prstDash val="solid"/>
                                </a:ln>
                              </wps:spPr>
                              <wps:txbx>
                                <w:txbxContent>
                                  <w:p w14:paraId="6399944C">
                                    <w:pPr>
                                      <w:jc w:val="center"/>
                                      <w:rPr>
                                        <w:rFonts w:hint="eastAsia"/>
                                        <w:b/>
                                        <w:bCs/>
                                        <w:color w:val="FF0000"/>
                                        <w:sz w:val="15"/>
                                        <w:szCs w:val="18"/>
                                        <w:lang w:val="en-US" w:eastAsia="zh-CN"/>
                                      </w:rPr>
                                    </w:pPr>
                                    <w:r>
                                      <w:rPr>
                                        <w:rFonts w:hint="eastAsia"/>
                                        <w:b/>
                                        <w:bCs/>
                                        <w:color w:val="FF0000"/>
                                        <w:sz w:val="15"/>
                                        <w:szCs w:val="18"/>
                                        <w:lang w:val="en-US" w:eastAsia="zh-CN"/>
                                      </w:rPr>
                                      <w:t>NOx</w:t>
                                    </w:r>
                                  </w:p>
                                  <w:p w14:paraId="59AFC60D">
                                    <w:pPr>
                                      <w:jc w:val="center"/>
                                      <w:rPr>
                                        <w:rFonts w:hint="default"/>
                                        <w:b/>
                                        <w:bCs/>
                                        <w:color w:val="FF0000"/>
                                        <w:sz w:val="15"/>
                                        <w:szCs w:val="18"/>
                                        <w:lang w:val="en-US" w:eastAsia="zh-CN"/>
                                      </w:rPr>
                                    </w:pPr>
                                    <w:r>
                                      <w:rPr>
                                        <w:rFonts w:hint="eastAsia"/>
                                        <w:b/>
                                        <w:bCs/>
                                        <w:color w:val="FF0000"/>
                                        <w:sz w:val="15"/>
                                        <w:szCs w:val="18"/>
                                        <w:lang w:val="en-US" w:eastAsia="zh-CN"/>
                                      </w:rPr>
                                      <w:t>距本项目2.77km</w:t>
                                    </w:r>
                                  </w:p>
                                </w:txbxContent>
                              </wps:txbx>
                              <wps:bodyPr rot="0" spcFirstLastPara="0" vertOverflow="overflow" horzOverflow="overflow" vert="horz" wrap="square" lIns="91440" tIns="45720" rIns="91440" bIns="45720" numCol="1" rtlCol="0" anchor="ctr" upright="1">
                                <a:noAutofit/>
                              </wps:bodyPr>
                            </wps:wsp>
                            <wps:wsp>
                              <wps:cNvPr id="65" name="直接箭头连接符 65"/>
                              <wps:cNvCnPr/>
                              <wps:spPr>
                                <a:xfrm flipH="1">
                                  <a:off x="5642" y="525731"/>
                                  <a:ext cx="4100" cy="950"/>
                                </a:xfrm>
                                <a:prstGeom prst="straightConnector1">
                                  <a:avLst/>
                                </a:prstGeom>
                                <a:noFill/>
                                <a:ln w="12700" cap="flat" cmpd="sng" algn="ctr">
                                  <a:solidFill>
                                    <a:srgbClr val="FF0000"/>
                                  </a:solidFill>
                                  <a:prstDash val="solid"/>
                                  <a:tailEnd type="arrow"/>
                                </a:ln>
                              </wps:spPr>
                              <wps:bodyPr rot="0" spcFirstLastPara="0" vertOverflow="overflow" horzOverflow="overflow" vert="horz" wrap="square" lIns="91440" tIns="45720" rIns="91440" bIns="45720" numCol="1" anchor="t" upright="1">
                                <a:noAutofit/>
                              </wps:bodyPr>
                            </wps:wsp>
                            <wps:wsp>
                              <wps:cNvPr id="66" name="直接箭头连接符 66"/>
                              <wps:cNvCnPr/>
                              <wps:spPr>
                                <a:xfrm flipH="1" flipV="1">
                                  <a:off x="5543" y="525181"/>
                                  <a:ext cx="4174" cy="526"/>
                                </a:xfrm>
                                <a:prstGeom prst="straightConnector1">
                                  <a:avLst/>
                                </a:prstGeom>
                                <a:noFill/>
                                <a:ln w="12700" cap="flat" cmpd="sng" algn="ctr">
                                  <a:solidFill>
                                    <a:srgbClr val="FF0000"/>
                                  </a:solidFill>
                                  <a:prstDash val="solid"/>
                                  <a:tailEnd type="arrow"/>
                                </a:ln>
                              </wps:spPr>
                              <wps:bodyPr rot="0" spcFirstLastPara="0" vertOverflow="overflow" horzOverflow="overflow" vert="horz" wrap="square" lIns="91440" tIns="45720" rIns="91440" bIns="45720" numCol="1" anchor="t" upright="1">
                                <a:noAutofit/>
                              </wps:bodyPr>
                            </wps:wsp>
                          </wpg:wgp>
                        </a:graphicData>
                      </a:graphic>
                    </wp:anchor>
                  </w:drawing>
                </mc:Choice>
                <mc:Fallback>
                  <w:pict>
                    <v:group id="组合 81" o:spid="_x0000_s1026" o:spt="203" style="position:absolute;left:0pt;margin-left:69.95pt;margin-top:7.4pt;height:184.3pt;width:322.5pt;z-index:251663360;mso-width-relative:page;mso-height-relative:page;" coordorigin="4711,522995" coordsize="6450,3686" o:gfxdata="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">
                      <o:lock v:ext="edit" aspectratio="f"/>
                      <v:shape id="_x0000_s1026" o:spid="_x0000_s1026" o:spt="61" type="#_x0000_t61" style="position:absolute;left:5828;top:524128;height:577;width:1440;v-text-anchor:middle;" fillcolor="#FFFFFF" filled="t" stroked="t" coordsize="21600,21600" o:gfxdata="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zxW8AAAA&#10;2wAAAA8AAAAAAAAAAQAgAAAAIgAAAGRycy9kb3ducmV2LnhtbFBLAQIUABQAAAAIAIdO4kAzLwWe&#10;OwAAADkAAAAQAAAAAAAAAAEAIAAAAAsBAABkcnMvc2hhcGV4bWwueG1sUEsFBgAAAAAGAAYAWwEA&#10;ALUDAAAAAA==&#10;" adj="-2430,36536">
                        <v:fill on="t" focussize="0,0"/>
                        <v:stroke weight="1pt" color="#FFC000" joinstyle="round"/>
                        <v:imagedata o:title=""/>
                        <o:lock v:ext="edit" aspectratio="f"/>
                        <v:textbox>
                          <w:txbxContent>
                            <w:p w14:paraId="3AF0D238">
                              <w:pPr>
                                <w:jc w:val="center"/>
                                <w:rPr>
                                  <w:rFonts w:hint="eastAsia"/>
                                  <w:b/>
                                  <w:bCs/>
                                  <w:color w:val="FF0000"/>
                                  <w:sz w:val="15"/>
                                  <w:szCs w:val="18"/>
                                  <w:lang w:val="en-US" w:eastAsia="zh-CN"/>
                                </w:rPr>
                              </w:pPr>
                              <w:r>
                                <w:rPr>
                                  <w:rFonts w:hint="eastAsia"/>
                                  <w:b/>
                                  <w:bCs/>
                                  <w:color w:val="FF0000"/>
                                  <w:sz w:val="15"/>
                                  <w:szCs w:val="18"/>
                                  <w:lang w:val="en-US" w:eastAsia="zh-CN"/>
                                </w:rPr>
                                <w:t>TSP</w:t>
                              </w:r>
                            </w:p>
                            <w:p w14:paraId="5C799484">
                              <w:pPr>
                                <w:jc w:val="center"/>
                                <w:rPr>
                                  <w:rFonts w:hint="default"/>
                                  <w:b/>
                                  <w:bCs/>
                                  <w:color w:val="FF0000"/>
                                  <w:sz w:val="15"/>
                                  <w:szCs w:val="18"/>
                                  <w:lang w:val="en-US" w:eastAsia="zh-CN"/>
                                </w:rPr>
                              </w:pPr>
                              <w:r>
                                <w:rPr>
                                  <w:rFonts w:hint="eastAsia"/>
                                  <w:b/>
                                  <w:bCs/>
                                  <w:color w:val="FF0000"/>
                                  <w:sz w:val="15"/>
                                  <w:szCs w:val="18"/>
                                  <w:lang w:val="en-US" w:eastAsia="zh-CN"/>
                                </w:rPr>
                                <w:t>距本项目2.83km</w:t>
                              </w:r>
                            </w:p>
                          </w:txbxContent>
                        </v:textbox>
                      </v:shape>
                      <v:shape id="图片 2" o:spid="_x0000_s1026" o:spt="75" type="#_x0000_t75" style="position:absolute;left:10757;top:522995;height:900;width:405;" filled="f" o:preferrelative="t" stroked="f" coordsize="21600,21600" o:gfxdata="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o1xr4A&#10;AADbAAAADwAAAAAAAAABACAAAAAiAAAAZHJzL2Rvd25yZXYueG1sUEsBAhQAFAAAAAgAh07iQDMv&#10;BZ47AAAAOQAAABAAAAAAAAAAAQAgAAAADQEAAGRycy9zaGFwZXhtbC54bWxQSwUGAAAAAAYABgBb&#10;AQAAtwMAAAAA&#10;">
                        <v:fill on="f" focussize="0,0"/>
                        <v:stroke on="f"/>
                        <v:imagedata r:id="rId19" cropleft="19184f" croptop="2467f" cropright="22223f" cropbottom="6136f" o:title=""/>
                        <o:lock v:ext="edit" aspectratio="f"/>
                      </v:shape>
                      <v:shape id="_x0000_s1026" o:spid="_x0000_s1026" o:spt="61" type="#_x0000_t61" style="position:absolute;left:4711;top:525334;height:577;width:1440;v-text-anchor:middle;" fillcolor="#FFFFFF" filled="t" stroked="t" coordsize="21600,21600" o:gfxdata="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N9QfvQAA&#10;ANsAAAAPAAAAAAAAAAEAIAAAACIAAABkcnMvZG93bnJldi54bWxQSwECFAAUAAAACACHTuJAMy8F&#10;njsAAAA5AAAAEAAAAAAAAAABACAAAAAMAQAAZHJzL3NoYXBleG1sLnhtbFBLBQYAAAAABgAGAFsB&#10;AAC2AwAAAAA=&#10;" adj="14565,43874">
                        <v:fill on="t" focussize="0,0"/>
                        <v:stroke weight="1pt" color="#FFC000" joinstyle="round"/>
                        <v:imagedata o:title=""/>
                        <o:lock v:ext="edit" aspectratio="f"/>
                        <v:textbox>
                          <w:txbxContent>
                            <w:p w14:paraId="6399944C">
                              <w:pPr>
                                <w:jc w:val="center"/>
                                <w:rPr>
                                  <w:rFonts w:hint="eastAsia"/>
                                  <w:b/>
                                  <w:bCs/>
                                  <w:color w:val="FF0000"/>
                                  <w:sz w:val="15"/>
                                  <w:szCs w:val="18"/>
                                  <w:lang w:val="en-US" w:eastAsia="zh-CN"/>
                                </w:rPr>
                              </w:pPr>
                              <w:r>
                                <w:rPr>
                                  <w:rFonts w:hint="eastAsia"/>
                                  <w:b/>
                                  <w:bCs/>
                                  <w:color w:val="FF0000"/>
                                  <w:sz w:val="15"/>
                                  <w:szCs w:val="18"/>
                                  <w:lang w:val="en-US" w:eastAsia="zh-CN"/>
                                </w:rPr>
                                <w:t>NOx</w:t>
                              </w:r>
                            </w:p>
                            <w:p w14:paraId="59AFC60D">
                              <w:pPr>
                                <w:jc w:val="center"/>
                                <w:rPr>
                                  <w:rFonts w:hint="default"/>
                                  <w:b/>
                                  <w:bCs/>
                                  <w:color w:val="FF0000"/>
                                  <w:sz w:val="15"/>
                                  <w:szCs w:val="18"/>
                                  <w:lang w:val="en-US" w:eastAsia="zh-CN"/>
                                </w:rPr>
                              </w:pPr>
                              <w:r>
                                <w:rPr>
                                  <w:rFonts w:hint="eastAsia"/>
                                  <w:b/>
                                  <w:bCs/>
                                  <w:color w:val="FF0000"/>
                                  <w:sz w:val="15"/>
                                  <w:szCs w:val="18"/>
                                  <w:lang w:val="en-US" w:eastAsia="zh-CN"/>
                                </w:rPr>
                                <w:t>距本项目2.77km</w:t>
                              </w:r>
                            </w:p>
                          </w:txbxContent>
                        </v:textbox>
                      </v:shape>
                      <v:shape id="_x0000_s1026" o:spid="_x0000_s1026" o:spt="32" type="#_x0000_t32" style="position:absolute;left:5642;top:525731;flip:x;height:950;width:4100;" filled="f" stroked="t" coordsize="21600,21600" o:gfxdata="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1RgL4A&#10;AADbAAAADwAAAAAAAAABACAAAAAiAAAAZHJzL2Rvd25yZXYueG1sUEsBAhQAFAAAAAgAh07iQDMv&#10;BZ47AAAAOQAAABAAAAAAAAAAAQAgAAAADQEAAGRycy9zaGFwZXhtbC54bWxQSwUGAAAAAAYABgBb&#10;AQAAtwMAAAAA&#10;">
                        <v:fill on="f" focussize="0,0"/>
                        <v:stroke weight="1pt" color="#FF0000" joinstyle="round" endarrow="open"/>
                        <v:imagedata o:title=""/>
                        <o:lock v:ext="edit" aspectratio="f"/>
                      </v:shape>
                      <v:shape id="_x0000_s1026" o:spid="_x0000_s1026" o:spt="32" type="#_x0000_t32" style="position:absolute;left:5543;top:525181;flip:x y;height:526;width:4174;" filled="f" stroked="t" coordsize="21600,21600" o:gfxdata="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kjUy8AAAA&#10;2wAAAA8AAAAAAAAAAQAgAAAAIgAAAGRycy9kb3ducmV2LnhtbFBLAQIUABQAAAAIAIdO4kAzLwWe&#10;OwAAADkAAAAQAAAAAAAAAAEAIAAAAAsBAABkcnMvc2hhcGV4bWwueG1sUEsFBgAAAAAGAAYAWwEA&#10;ALUDAAAAAA==&#10;">
                        <v:fill on="f" focussize="0,0"/>
                        <v:stroke weight="1pt" color="#FF0000" joinstyle="round" endarrow="open"/>
                        <v:imagedata o:title=""/>
                        <o:lock v:ext="edit" aspectratio="f"/>
                      </v:shape>
                    </v:group>
                  </w:pict>
                </mc:Fallback>
              </mc:AlternateContent>
            </w:r>
            <w:r>
              <w:drawing>
                <wp:inline distT="0" distB="0" distL="114300" distR="114300">
                  <wp:extent cx="5071745" cy="3321050"/>
                  <wp:effectExtent l="9525" t="9525" r="24130" b="22225"/>
                  <wp:docPr id="56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 name="图片 4"/>
                          <pic:cNvPicPr>
                            <a:picLocks noChangeAspect="1"/>
                          </pic:cNvPicPr>
                        </pic:nvPicPr>
                        <pic:blipFill>
                          <a:blip r:embed="rId20"/>
                          <a:stretch>
                            <a:fillRect/>
                          </a:stretch>
                        </pic:blipFill>
                        <pic:spPr>
                          <a:xfrm>
                            <a:off x="0" y="0"/>
                            <a:ext cx="5071745" cy="3321050"/>
                          </a:xfrm>
                          <a:prstGeom prst="rect">
                            <a:avLst/>
                          </a:prstGeom>
                          <a:noFill/>
                          <a:ln>
                            <a:solidFill>
                              <a:schemeClr val="tx1"/>
                            </a:solidFill>
                          </a:ln>
                        </pic:spPr>
                      </pic:pic>
                    </a:graphicData>
                  </a:graphic>
                </wp:inline>
              </w:drawing>
            </w:r>
          </w:p>
          <w:p w14:paraId="48CE85D7">
            <w:pPr>
              <w:pStyle w:val="208"/>
              <w:bidi w:val="0"/>
              <w:rPr>
                <w:rFonts w:hint="default" w:ascii="Times New Roman" w:hAnsi="Times New Roman" w:eastAsia="宋体" w:cs="Times New Roman"/>
                <w:b/>
                <w:bCs w:val="0"/>
                <w:color w:val="auto"/>
                <w:sz w:val="16"/>
                <w:szCs w:val="20"/>
                <w:highlight w:val="none"/>
                <w:lang w:val="en-US" w:eastAsia="zh-CN"/>
              </w:rPr>
            </w:pPr>
            <w:r>
              <w:rPr>
                <w:rFonts w:hint="default" w:ascii="Times New Roman" w:hAnsi="Times New Roman" w:cs="Times New Roman"/>
                <w:color w:val="auto"/>
                <w:lang w:val="en-US" w:eastAsia="zh-CN"/>
              </w:rPr>
              <w:t>图3  项目引用监测数据位置图</w:t>
            </w:r>
          </w:p>
          <w:p w14:paraId="17284B32">
            <w:pPr>
              <w:keepNext w:val="0"/>
              <w:keepLines w:val="0"/>
              <w:pageBreakBefore w:val="0"/>
              <w:shd w:val="clear" w:color="auto" w:fill="auto"/>
              <w:kinsoku/>
              <w:wordWrap/>
              <w:overflowPunct/>
              <w:topLinePunct w:val="0"/>
              <w:autoSpaceDE/>
              <w:autoSpaceDN/>
              <w:bidi w:val="0"/>
              <w:adjustRightInd w:val="0"/>
              <w:snapToGrid w:val="0"/>
              <w:spacing w:line="360" w:lineRule="auto"/>
              <w:ind w:firstLine="422" w:firstLineChars="200"/>
              <w:jc w:val="both"/>
              <w:textAlignment w:val="auto"/>
              <w:rPr>
                <w:rFonts w:hint="default" w:ascii="Times New Roman" w:hAnsi="Times New Roman" w:cs="Times New Roman"/>
                <w:b/>
                <w:bCs/>
                <w:color w:val="000000"/>
                <w:sz w:val="21"/>
                <w:szCs w:val="21"/>
                <w:highlight w:val="none"/>
                <w:lang w:val="en-US" w:eastAsia="zh-CN"/>
              </w:rPr>
            </w:pPr>
            <w:r>
              <w:rPr>
                <w:rFonts w:hint="eastAsia" w:cs="Times New Roman"/>
                <w:b/>
                <w:bCs/>
                <w:color w:val="000000"/>
                <w:sz w:val="21"/>
                <w:szCs w:val="21"/>
                <w:highlight w:val="none"/>
                <w:lang w:val="en-US" w:eastAsia="zh-CN"/>
              </w:rPr>
              <w:t>2.</w:t>
            </w:r>
            <w:r>
              <w:rPr>
                <w:rFonts w:hint="eastAsia" w:ascii="Times New Roman" w:hAnsi="Times New Roman" w:cs="Times New Roman"/>
                <w:b/>
                <w:bCs/>
                <w:color w:val="000000"/>
                <w:sz w:val="21"/>
                <w:szCs w:val="21"/>
                <w:highlight w:val="none"/>
                <w:lang w:val="en-US" w:eastAsia="zh-CN"/>
              </w:rPr>
              <w:t>声环境质量现状</w:t>
            </w:r>
          </w:p>
          <w:p w14:paraId="5A75833B">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为了解项目所在地50m范围内声环境敏感目标噪声环境现状，建设单位</w:t>
            </w:r>
            <w:r>
              <w:rPr>
                <w:rFonts w:hint="eastAsia" w:ascii="Times New Roman" w:hAnsi="Times New Roman" w:cs="Times New Roman"/>
                <w:color w:val="000000"/>
                <w:sz w:val="21"/>
                <w:szCs w:val="21"/>
                <w:highlight w:val="none"/>
                <w:lang w:eastAsia="zh-CN"/>
              </w:rPr>
              <w:t>委托</w:t>
            </w:r>
            <w:r>
              <w:rPr>
                <w:rFonts w:hint="eastAsia" w:ascii="Times New Roman" w:hAnsi="Times New Roman" w:cs="Times New Roman"/>
                <w:color w:val="000000"/>
                <w:highlight w:val="none"/>
                <w:lang w:val="en-US" w:eastAsia="zh-CN"/>
              </w:rPr>
              <w:t>陕西秦景蓝环境检测有限公司于</w:t>
            </w:r>
            <w:r>
              <w:rPr>
                <w:rFonts w:hint="default" w:ascii="Times New Roman" w:hAnsi="Times New Roman" w:eastAsia="宋体" w:cs="Times New Roman"/>
                <w:color w:val="000000"/>
                <w:sz w:val="21"/>
                <w:szCs w:val="21"/>
                <w:highlight w:val="none"/>
              </w:rPr>
              <w:t>202</w:t>
            </w:r>
            <w:r>
              <w:rPr>
                <w:rFonts w:hint="eastAsia" w:ascii="Times New Roman" w:hAnsi="Times New Roman" w:eastAsia="宋体" w:cs="Times New Roman"/>
                <w:color w:val="000000"/>
                <w:sz w:val="21"/>
                <w:szCs w:val="21"/>
                <w:highlight w:val="none"/>
                <w:lang w:val="en-US" w:eastAsia="zh-CN"/>
              </w:rPr>
              <w:t>4</w:t>
            </w:r>
            <w:r>
              <w:rPr>
                <w:rFonts w:hint="default" w:ascii="Times New Roman" w:hAnsi="Times New Roman" w:eastAsia="宋体" w:cs="Times New Roman"/>
                <w:color w:val="000000"/>
                <w:sz w:val="21"/>
                <w:szCs w:val="21"/>
                <w:highlight w:val="none"/>
              </w:rPr>
              <w:t>年</w:t>
            </w:r>
            <w:r>
              <w:rPr>
                <w:rFonts w:hint="eastAsia" w:ascii="Times New Roman" w:hAnsi="Times New Roman" w:eastAsia="宋体" w:cs="Times New Roman"/>
                <w:color w:val="000000"/>
                <w:sz w:val="21"/>
                <w:szCs w:val="21"/>
                <w:highlight w:val="none"/>
                <w:lang w:val="en-US" w:eastAsia="zh-CN"/>
              </w:rPr>
              <w:t>8</w:t>
            </w:r>
            <w:r>
              <w:rPr>
                <w:rFonts w:hint="default" w:ascii="Times New Roman" w:hAnsi="Times New Roman" w:eastAsia="宋体" w:cs="Times New Roman"/>
                <w:color w:val="000000"/>
                <w:sz w:val="21"/>
                <w:szCs w:val="21"/>
                <w:highlight w:val="none"/>
              </w:rPr>
              <w:t>月</w:t>
            </w:r>
            <w:r>
              <w:rPr>
                <w:rFonts w:hint="eastAsia" w:ascii="Times New Roman" w:hAnsi="Times New Roman" w:eastAsia="宋体" w:cs="Times New Roman"/>
                <w:color w:val="000000"/>
                <w:sz w:val="21"/>
                <w:szCs w:val="21"/>
                <w:highlight w:val="none"/>
                <w:lang w:val="en-US" w:eastAsia="zh-CN"/>
              </w:rPr>
              <w:t>30</w:t>
            </w:r>
            <w:r>
              <w:rPr>
                <w:rFonts w:hint="default" w:ascii="Times New Roman" w:hAnsi="Times New Roman" w:eastAsia="宋体" w:cs="Times New Roman"/>
                <w:color w:val="000000"/>
                <w:sz w:val="21"/>
                <w:szCs w:val="21"/>
                <w:highlight w:val="none"/>
              </w:rPr>
              <w:t>日</w:t>
            </w:r>
            <w:r>
              <w:rPr>
                <w:rFonts w:hint="eastAsia" w:ascii="Times New Roman" w:hAnsi="Times New Roman" w:eastAsia="宋体" w:cs="Times New Roman"/>
                <w:color w:val="000000"/>
                <w:sz w:val="21"/>
                <w:szCs w:val="21"/>
                <w:highlight w:val="none"/>
                <w:lang w:val="en-US" w:eastAsia="zh-CN"/>
              </w:rPr>
              <w:t>进行监测，并出具监测报告，报告编号：秦景蓝监【环】字</w:t>
            </w:r>
            <w:r>
              <w:rPr>
                <w:rFonts w:hint="eastAsia" w:cs="Times New Roman"/>
                <w:color w:val="000000"/>
                <w:sz w:val="21"/>
                <w:szCs w:val="21"/>
                <w:highlight w:val="none"/>
                <w:lang w:val="en-US" w:eastAsia="zh-CN"/>
              </w:rPr>
              <w:t>〔2024〕14号</w:t>
            </w:r>
            <w:r>
              <w:rPr>
                <w:rFonts w:hint="eastAsia" w:ascii="Times New Roman" w:hAnsi="Times New Roman" w:eastAsia="宋体" w:cs="Times New Roman"/>
                <w:color w:val="000000"/>
                <w:sz w:val="21"/>
                <w:szCs w:val="21"/>
                <w:highlight w:val="none"/>
                <w:lang w:val="en-US" w:eastAsia="zh-CN"/>
              </w:rPr>
              <w:t>。</w:t>
            </w:r>
          </w:p>
          <w:p w14:paraId="7F005187">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eastAsia="zh-CN"/>
              </w:rPr>
              <w:t>（1）</w:t>
            </w:r>
            <w:r>
              <w:rPr>
                <w:rFonts w:hint="default" w:ascii="Times New Roman" w:hAnsi="Times New Roman" w:cs="Times New Roman"/>
                <w:color w:val="000000"/>
                <w:sz w:val="21"/>
                <w:szCs w:val="21"/>
                <w:highlight w:val="none"/>
              </w:rPr>
              <w:t>监测点位</w:t>
            </w:r>
          </w:p>
          <w:p w14:paraId="50F8B497">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cs="Times New Roman"/>
                <w:color w:val="000000"/>
                <w:sz w:val="21"/>
                <w:szCs w:val="21"/>
                <w:highlight w:val="none"/>
              </w:rPr>
            </w:pPr>
            <w:r>
              <w:t>噪声敏感点在</w:t>
            </w:r>
            <w:r>
              <w:rPr>
                <w:rFonts w:hint="eastAsia" w:ascii="Times New Roman" w:hAnsi="Times New Roman" w:cs="Times New Roman"/>
                <w:color w:val="000000"/>
                <w:sz w:val="21"/>
                <w:szCs w:val="21"/>
                <w:highlight w:val="none"/>
                <w:lang w:val="en-US" w:eastAsia="zh-CN"/>
              </w:rPr>
              <w:t>尹家务中学、尹家务村（西北侧）、尹家务村（东南侧）各设1</w:t>
            </w:r>
            <w:r>
              <w:rPr>
                <w:rFonts w:hint="default" w:ascii="Times New Roman" w:hAnsi="Times New Roman" w:cs="Times New Roman"/>
                <w:color w:val="000000"/>
                <w:sz w:val="21"/>
                <w:szCs w:val="21"/>
                <w:highlight w:val="none"/>
              </w:rPr>
              <w:t>个噪声监测点。</w:t>
            </w:r>
          </w:p>
          <w:p w14:paraId="01A9C17D">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eastAsia="zh-CN"/>
              </w:rPr>
              <w:t>（2）</w:t>
            </w:r>
            <w:r>
              <w:rPr>
                <w:rFonts w:hint="default" w:ascii="Times New Roman" w:hAnsi="Times New Roman" w:cs="Times New Roman"/>
                <w:color w:val="000000"/>
                <w:sz w:val="21"/>
                <w:szCs w:val="21"/>
                <w:highlight w:val="none"/>
              </w:rPr>
              <w:t>监测单位及时间</w:t>
            </w:r>
          </w:p>
          <w:p w14:paraId="70259946">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监测单位：</w:t>
            </w:r>
            <w:r>
              <w:rPr>
                <w:rFonts w:hint="eastAsia" w:ascii="Times New Roman" w:hAnsi="Times New Roman" w:cs="Times New Roman"/>
                <w:color w:val="000000"/>
                <w:highlight w:val="none"/>
                <w:lang w:val="en-US" w:eastAsia="zh-CN"/>
              </w:rPr>
              <w:t>陕西秦景蓝环境检测有限公司</w:t>
            </w:r>
          </w:p>
          <w:p w14:paraId="093DC4D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outlineLvl w:val="9"/>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rPr>
              <w:t>监测时间：</w:t>
            </w:r>
            <w:r>
              <w:rPr>
                <w:rFonts w:hint="default" w:ascii="Times New Roman" w:hAnsi="Times New Roman" w:eastAsia="宋体" w:cs="Times New Roman"/>
                <w:color w:val="000000"/>
                <w:sz w:val="21"/>
                <w:szCs w:val="21"/>
                <w:highlight w:val="none"/>
              </w:rPr>
              <w:t>202</w:t>
            </w:r>
            <w:r>
              <w:rPr>
                <w:rFonts w:hint="eastAsia" w:ascii="Times New Roman" w:hAnsi="Times New Roman" w:eastAsia="宋体" w:cs="Times New Roman"/>
                <w:color w:val="000000"/>
                <w:sz w:val="21"/>
                <w:szCs w:val="21"/>
                <w:highlight w:val="none"/>
                <w:lang w:val="en-US" w:eastAsia="zh-CN"/>
              </w:rPr>
              <w:t>4</w:t>
            </w:r>
            <w:r>
              <w:rPr>
                <w:rFonts w:hint="default" w:ascii="Times New Roman" w:hAnsi="Times New Roman" w:eastAsia="宋体" w:cs="Times New Roman"/>
                <w:color w:val="000000"/>
                <w:sz w:val="21"/>
                <w:szCs w:val="21"/>
                <w:highlight w:val="none"/>
              </w:rPr>
              <w:t>年</w:t>
            </w:r>
            <w:r>
              <w:rPr>
                <w:rFonts w:hint="eastAsia" w:ascii="Times New Roman" w:hAnsi="Times New Roman" w:eastAsia="宋体" w:cs="Times New Roman"/>
                <w:color w:val="000000"/>
                <w:sz w:val="21"/>
                <w:szCs w:val="21"/>
                <w:highlight w:val="none"/>
                <w:lang w:val="en-US" w:eastAsia="zh-CN"/>
              </w:rPr>
              <w:t>8</w:t>
            </w:r>
            <w:r>
              <w:rPr>
                <w:rFonts w:hint="default" w:ascii="Times New Roman" w:hAnsi="Times New Roman" w:eastAsia="宋体" w:cs="Times New Roman"/>
                <w:color w:val="000000"/>
                <w:sz w:val="21"/>
                <w:szCs w:val="21"/>
                <w:highlight w:val="none"/>
              </w:rPr>
              <w:t>月</w:t>
            </w:r>
            <w:r>
              <w:rPr>
                <w:rFonts w:hint="eastAsia" w:ascii="Times New Roman" w:hAnsi="Times New Roman" w:eastAsia="宋体" w:cs="Times New Roman"/>
                <w:color w:val="000000"/>
                <w:sz w:val="21"/>
                <w:szCs w:val="21"/>
                <w:highlight w:val="none"/>
                <w:lang w:val="en-US" w:eastAsia="zh-CN"/>
              </w:rPr>
              <w:t>5</w:t>
            </w:r>
            <w:r>
              <w:rPr>
                <w:rFonts w:hint="default" w:ascii="Times New Roman" w:hAnsi="Times New Roman" w:eastAsia="宋体" w:cs="Times New Roman"/>
                <w:color w:val="000000"/>
                <w:sz w:val="21"/>
                <w:szCs w:val="21"/>
                <w:highlight w:val="none"/>
              </w:rPr>
              <w:t>日</w:t>
            </w:r>
          </w:p>
          <w:p w14:paraId="50D1BD6B">
            <w:pPr>
              <w:keepNext w:val="0"/>
              <w:keepLines w:val="0"/>
              <w:pageBreakBefore w:val="0"/>
              <w:shd w:val="clear" w:color="auto" w:fill="auto"/>
              <w:kinsoku/>
              <w:wordWrap/>
              <w:overflowPunct/>
              <w:topLinePunct w:val="0"/>
              <w:bidi w:val="0"/>
              <w:adjustRightInd w:val="0"/>
              <w:snapToGrid w:val="0"/>
              <w:spacing w:before="0" w:after="0" w:line="360" w:lineRule="auto"/>
              <w:ind w:firstLine="420" w:firstLineChars="200"/>
              <w:jc w:val="both"/>
              <w:textAlignment w:val="auto"/>
              <w:rPr>
                <w:rFonts w:hint="default" w:ascii="Times New Roman" w:hAnsi="Times New Roman" w:cs="Times New Roman"/>
                <w:color w:val="000000"/>
                <w:sz w:val="21"/>
                <w:szCs w:val="21"/>
                <w:highlight w:val="none"/>
              </w:rPr>
            </w:pP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3</w:t>
            </w:r>
            <w:r>
              <w:rPr>
                <w:rFonts w:hint="eastAsia" w:cs="Times New Roman"/>
                <w:color w:val="000000"/>
                <w:sz w:val="21"/>
                <w:szCs w:val="21"/>
                <w:highlight w:val="none"/>
                <w:lang w:eastAsia="zh-CN"/>
              </w:rPr>
              <w:t>）</w:t>
            </w:r>
            <w:r>
              <w:rPr>
                <w:rFonts w:hint="default" w:ascii="Times New Roman" w:hAnsi="Times New Roman" w:cs="Times New Roman"/>
                <w:color w:val="000000"/>
                <w:sz w:val="21"/>
                <w:szCs w:val="21"/>
                <w:highlight w:val="none"/>
              </w:rPr>
              <w:t>监测结果与评价</w:t>
            </w:r>
          </w:p>
          <w:p w14:paraId="0D7406F5">
            <w:pPr>
              <w:keepNext w:val="0"/>
              <w:keepLines w:val="0"/>
              <w:pageBreakBefore w:val="0"/>
              <w:shd w:val="clear" w:color="auto" w:fill="auto"/>
              <w:kinsoku/>
              <w:wordWrap/>
              <w:overflowPunct/>
              <w:topLinePunct w:val="0"/>
              <w:bidi w:val="0"/>
              <w:adjustRightInd w:val="0"/>
              <w:snapToGrid w:val="0"/>
              <w:spacing w:before="0" w:after="0" w:line="360" w:lineRule="auto"/>
              <w:ind w:firstLine="420" w:firstLineChars="200"/>
              <w:jc w:val="both"/>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声环境现状监测结果见</w:t>
            </w:r>
            <w:r>
              <w:rPr>
                <w:rFonts w:hint="default" w:ascii="Times New Roman" w:hAnsi="Times New Roman" w:cs="Times New Roman"/>
                <w:color w:val="000000"/>
                <w:sz w:val="21"/>
                <w:szCs w:val="21"/>
                <w:highlight w:val="none"/>
                <w:lang w:val="en-US" w:eastAsia="zh-CN"/>
              </w:rPr>
              <w:t>下</w:t>
            </w:r>
            <w:r>
              <w:rPr>
                <w:rFonts w:hint="default" w:ascii="Times New Roman" w:hAnsi="Times New Roman" w:cs="Times New Roman"/>
                <w:color w:val="000000"/>
                <w:sz w:val="21"/>
                <w:szCs w:val="21"/>
                <w:highlight w:val="none"/>
              </w:rPr>
              <w:t>表。</w:t>
            </w:r>
          </w:p>
          <w:p w14:paraId="389BF476">
            <w:pPr>
              <w:keepNext w:val="0"/>
              <w:keepLines w:val="0"/>
              <w:pageBreakBefore w:val="0"/>
              <w:shd w:val="clear" w:color="auto" w:fill="auto"/>
              <w:kinsoku/>
              <w:wordWrap/>
              <w:overflowPunct/>
              <w:topLinePunct w:val="0"/>
              <w:bidi w:val="0"/>
              <w:adjustRightInd w:val="0"/>
              <w:snapToGrid w:val="0"/>
              <w:spacing w:before="0" w:after="0" w:line="240" w:lineRule="auto"/>
              <w:ind w:left="0" w:leftChars="0" w:right="0" w:firstLine="0" w:firstLineChars="0"/>
              <w:jc w:val="center"/>
              <w:textAlignment w:val="auto"/>
              <w:rPr>
                <w:rFonts w:hint="default" w:ascii="Times New Roman" w:hAnsi="Times New Roman" w:eastAsia="宋体" w:cs="Times New Roman"/>
                <w:b/>
                <w:color w:val="000000"/>
                <w:spacing w:val="-3"/>
                <w:sz w:val="21"/>
                <w:szCs w:val="21"/>
                <w:highlight w:val="none"/>
                <w:lang w:val="zh-CN" w:eastAsia="zh-CN" w:bidi="zh-CN"/>
              </w:rPr>
            </w:pPr>
            <w:r>
              <w:rPr>
                <w:rFonts w:hint="default" w:ascii="Times New Roman" w:hAnsi="Times New Roman" w:eastAsia="宋体" w:cs="Times New Roman"/>
                <w:b/>
                <w:color w:val="000000"/>
                <w:spacing w:val="-3"/>
                <w:sz w:val="21"/>
                <w:szCs w:val="21"/>
                <w:highlight w:val="none"/>
                <w:lang w:val="zh-CN" w:eastAsia="zh-CN" w:bidi="zh-CN"/>
              </w:rPr>
              <w:t>表</w:t>
            </w:r>
            <w:r>
              <w:rPr>
                <w:rFonts w:hint="eastAsia" w:ascii="Times New Roman" w:hAnsi="Times New Roman" w:eastAsia="宋体" w:cs="Times New Roman"/>
                <w:b/>
                <w:color w:val="000000"/>
                <w:spacing w:val="-3"/>
                <w:sz w:val="21"/>
                <w:szCs w:val="21"/>
                <w:highlight w:val="none"/>
                <w:lang w:val="en-US" w:eastAsia="zh-CN" w:bidi="zh-CN"/>
              </w:rPr>
              <w:t>3-3</w:t>
            </w:r>
            <w:r>
              <w:rPr>
                <w:rFonts w:hint="default" w:ascii="Times New Roman" w:hAnsi="Times New Roman" w:cs="Times New Roman"/>
                <w:b/>
                <w:color w:val="000000"/>
                <w:spacing w:val="-3"/>
                <w:sz w:val="21"/>
                <w:szCs w:val="21"/>
                <w:highlight w:val="none"/>
                <w:lang w:val="en-US" w:eastAsia="zh-CN" w:bidi="zh-CN"/>
              </w:rPr>
              <w:t xml:space="preserve">   </w:t>
            </w:r>
            <w:r>
              <w:rPr>
                <w:rFonts w:hint="default" w:ascii="Times New Roman" w:hAnsi="Times New Roman" w:eastAsia="宋体" w:cs="Times New Roman"/>
                <w:b/>
                <w:color w:val="000000"/>
                <w:spacing w:val="-3"/>
                <w:sz w:val="21"/>
                <w:szCs w:val="21"/>
                <w:highlight w:val="none"/>
                <w:lang w:val="zh-CN" w:eastAsia="zh-CN" w:bidi="zh-CN"/>
              </w:rPr>
              <w:t>声环境现状监测结果</w:t>
            </w:r>
            <w:r>
              <w:rPr>
                <w:rFonts w:hint="default" w:ascii="Times New Roman" w:hAnsi="Times New Roman" w:eastAsia="宋体" w:cs="Times New Roman"/>
                <w:b/>
                <w:color w:val="000000"/>
                <w:spacing w:val="-3"/>
                <w:sz w:val="21"/>
                <w:szCs w:val="21"/>
                <w:highlight w:val="none"/>
                <w:lang w:val="zh-CN" w:eastAsia="zh-CN" w:bidi="zh-CN"/>
              </w:rPr>
              <w:tab/>
            </w:r>
            <w:r>
              <w:rPr>
                <w:rFonts w:hint="default" w:ascii="Times New Roman" w:hAnsi="Times New Roman" w:eastAsia="宋体" w:cs="Times New Roman"/>
                <w:b/>
                <w:color w:val="000000"/>
                <w:spacing w:val="-3"/>
                <w:sz w:val="21"/>
                <w:szCs w:val="21"/>
                <w:highlight w:val="none"/>
                <w:lang w:val="zh-CN" w:eastAsia="zh-CN" w:bidi="zh-CN"/>
              </w:rPr>
              <w:t>单位：dB</w:t>
            </w:r>
            <w:r>
              <w:rPr>
                <w:rFonts w:hint="default" w:ascii="Times New Roman" w:hAnsi="Times New Roman" w:cs="Times New Roman"/>
                <w:b/>
                <w:color w:val="000000"/>
                <w:spacing w:val="-3"/>
                <w:sz w:val="21"/>
                <w:szCs w:val="21"/>
                <w:highlight w:val="none"/>
                <w:lang w:val="zh-CN" w:eastAsia="zh-CN" w:bidi="zh-CN"/>
              </w:rPr>
              <w:t>（</w:t>
            </w:r>
            <w:r>
              <w:rPr>
                <w:rFonts w:hint="default" w:ascii="Times New Roman" w:hAnsi="Times New Roman" w:eastAsia="宋体" w:cs="Times New Roman"/>
                <w:b/>
                <w:color w:val="000000"/>
                <w:spacing w:val="-3"/>
                <w:sz w:val="21"/>
                <w:szCs w:val="21"/>
                <w:highlight w:val="none"/>
                <w:lang w:val="zh-CN" w:eastAsia="zh-CN" w:bidi="zh-CN"/>
              </w:rPr>
              <w:t>A</w:t>
            </w:r>
            <w:r>
              <w:rPr>
                <w:rFonts w:hint="default" w:ascii="Times New Roman" w:hAnsi="Times New Roman" w:cs="Times New Roman"/>
                <w:b/>
                <w:color w:val="000000"/>
                <w:spacing w:val="-3"/>
                <w:sz w:val="21"/>
                <w:szCs w:val="21"/>
                <w:highlight w:val="none"/>
                <w:lang w:val="zh-CN" w:eastAsia="zh-CN" w:bidi="zh-CN"/>
              </w:rPr>
              <w:t>）</w:t>
            </w:r>
          </w:p>
          <w:tbl>
            <w:tblPr>
              <w:tblStyle w:val="21"/>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415"/>
              <w:gridCol w:w="1417"/>
              <w:gridCol w:w="1822"/>
              <w:gridCol w:w="1234"/>
              <w:gridCol w:w="1728"/>
              <w:gridCol w:w="1341"/>
            </w:tblGrid>
            <w:tr w14:paraId="7DF7F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6" w:hRule="atLeast"/>
              </w:trPr>
              <w:tc>
                <w:tcPr>
                  <w:tcW w:w="261" w:type="pct"/>
                  <w:tcBorders>
                    <w:tl2br w:val="nil"/>
                    <w:tr2bl w:val="nil"/>
                  </w:tcBorders>
                  <w:shd w:val="clear" w:color="auto" w:fill="auto"/>
                  <w:noWrap w:val="0"/>
                  <w:vAlign w:val="center"/>
                </w:tcPr>
                <w:p w14:paraId="1C154357">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编号</w:t>
                  </w:r>
                </w:p>
              </w:tc>
              <w:tc>
                <w:tcPr>
                  <w:tcW w:w="890" w:type="pct"/>
                  <w:tcBorders>
                    <w:tl2br w:val="nil"/>
                    <w:tr2bl w:val="nil"/>
                  </w:tcBorders>
                  <w:shd w:val="clear" w:color="auto" w:fill="auto"/>
                  <w:noWrap w:val="0"/>
                  <w:vAlign w:val="center"/>
                </w:tcPr>
                <w:p w14:paraId="392186B0">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测点位置</w:t>
                  </w:r>
                </w:p>
              </w:tc>
              <w:tc>
                <w:tcPr>
                  <w:tcW w:w="1144" w:type="pct"/>
                  <w:tcBorders>
                    <w:tl2br w:val="nil"/>
                    <w:tr2bl w:val="nil"/>
                  </w:tcBorders>
                  <w:shd w:val="clear" w:color="auto" w:fill="auto"/>
                  <w:noWrap w:val="0"/>
                  <w:vAlign w:val="center"/>
                </w:tcPr>
                <w:p w14:paraId="45C72835">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昼间（</w:t>
                  </w:r>
                  <w:r>
                    <w:rPr>
                      <w:rFonts w:hint="default" w:ascii="Times New Roman" w:hAnsi="Times New Roman" w:eastAsia="Times New Roman" w:cs="Times New Roman"/>
                      <w:b/>
                      <w:bCs/>
                      <w:color w:val="000000"/>
                      <w:sz w:val="21"/>
                      <w:szCs w:val="21"/>
                      <w:highlight w:val="none"/>
                    </w:rPr>
                    <w:t>dB</w:t>
                  </w:r>
                  <w:r>
                    <w:rPr>
                      <w:rFonts w:hint="default" w:ascii="Times New Roman" w:hAnsi="Times New Roman" w:eastAsia="宋体" w:cs="Times New Roman"/>
                      <w:b/>
                      <w:bCs/>
                      <w:color w:val="000000"/>
                      <w:sz w:val="21"/>
                      <w:szCs w:val="21"/>
                      <w:highlight w:val="none"/>
                      <w:lang w:eastAsia="zh-CN"/>
                    </w:rPr>
                    <w:t>（</w:t>
                  </w:r>
                  <w:r>
                    <w:rPr>
                      <w:rFonts w:hint="default" w:ascii="Times New Roman" w:hAnsi="Times New Roman" w:eastAsia="Times New Roman" w:cs="Times New Roman"/>
                      <w:b/>
                      <w:bCs/>
                      <w:color w:val="000000"/>
                      <w:sz w:val="21"/>
                      <w:szCs w:val="21"/>
                      <w:highlight w:val="none"/>
                    </w:rPr>
                    <w:t>A</w:t>
                  </w:r>
                  <w:r>
                    <w:rPr>
                      <w:rFonts w:hint="default" w:ascii="Times New Roman" w:hAnsi="Times New Roman" w:eastAsia="宋体" w:cs="Times New Roman"/>
                      <w:b/>
                      <w:bCs/>
                      <w:color w:val="000000"/>
                      <w:sz w:val="21"/>
                      <w:szCs w:val="21"/>
                      <w:highlight w:val="none"/>
                      <w:lang w:eastAsia="zh-CN"/>
                    </w:rPr>
                    <w:t>）</w:t>
                  </w:r>
                  <w:r>
                    <w:rPr>
                      <w:rFonts w:hint="default" w:ascii="Times New Roman" w:hAnsi="Times New Roman" w:cs="Times New Roman"/>
                      <w:b/>
                      <w:bCs/>
                      <w:color w:val="000000"/>
                      <w:sz w:val="21"/>
                      <w:szCs w:val="21"/>
                      <w:highlight w:val="none"/>
                    </w:rPr>
                    <w:t>）</w:t>
                  </w:r>
                </w:p>
              </w:tc>
              <w:tc>
                <w:tcPr>
                  <w:tcW w:w="775" w:type="pct"/>
                  <w:tcBorders>
                    <w:tl2br w:val="nil"/>
                    <w:tr2bl w:val="nil"/>
                  </w:tcBorders>
                  <w:shd w:val="clear" w:color="auto" w:fill="auto"/>
                  <w:noWrap w:val="0"/>
                  <w:vAlign w:val="center"/>
                </w:tcPr>
                <w:p w14:paraId="4144E4C8">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标准</w:t>
                  </w:r>
                </w:p>
                <w:p w14:paraId="08D4EEFB">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rPr>
                    <w:t>限值</w:t>
                  </w:r>
                  <w:r>
                    <w:rPr>
                      <w:rFonts w:hint="default" w:ascii="Times New Roman" w:hAnsi="Times New Roman" w:eastAsia="Times New Roman" w:cs="Times New Roman"/>
                      <w:b/>
                      <w:bCs/>
                      <w:color w:val="000000"/>
                      <w:sz w:val="21"/>
                      <w:szCs w:val="21"/>
                      <w:highlight w:val="none"/>
                    </w:rPr>
                    <w:t>dB</w:t>
                  </w:r>
                  <w:r>
                    <w:rPr>
                      <w:rFonts w:hint="default" w:ascii="Times New Roman" w:hAnsi="Times New Roman" w:eastAsia="宋体" w:cs="Times New Roman"/>
                      <w:b/>
                      <w:bCs/>
                      <w:color w:val="000000"/>
                      <w:sz w:val="21"/>
                      <w:szCs w:val="21"/>
                      <w:highlight w:val="none"/>
                      <w:lang w:eastAsia="zh-CN"/>
                    </w:rPr>
                    <w:t>（</w:t>
                  </w:r>
                  <w:r>
                    <w:rPr>
                      <w:rFonts w:hint="default" w:ascii="Times New Roman" w:hAnsi="Times New Roman" w:eastAsia="Times New Roman" w:cs="Times New Roman"/>
                      <w:b/>
                      <w:bCs/>
                      <w:color w:val="000000"/>
                      <w:sz w:val="21"/>
                      <w:szCs w:val="21"/>
                      <w:highlight w:val="none"/>
                    </w:rPr>
                    <w:t>A</w:t>
                  </w:r>
                  <w:r>
                    <w:rPr>
                      <w:rFonts w:hint="default" w:ascii="Times New Roman" w:hAnsi="Times New Roman" w:eastAsia="宋体" w:cs="Times New Roman"/>
                      <w:b/>
                      <w:bCs/>
                      <w:color w:val="000000"/>
                      <w:sz w:val="21"/>
                      <w:szCs w:val="21"/>
                      <w:highlight w:val="none"/>
                      <w:lang w:eastAsia="zh-CN"/>
                    </w:rPr>
                    <w:t>）</w:t>
                  </w:r>
                </w:p>
              </w:tc>
              <w:tc>
                <w:tcPr>
                  <w:tcW w:w="1085" w:type="pct"/>
                  <w:tcBorders>
                    <w:tl2br w:val="nil"/>
                    <w:tr2bl w:val="nil"/>
                  </w:tcBorders>
                  <w:shd w:val="clear" w:color="auto" w:fill="auto"/>
                  <w:noWrap w:val="0"/>
                  <w:vAlign w:val="center"/>
                </w:tcPr>
                <w:p w14:paraId="71FC4EE7">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夜间（</w:t>
                  </w:r>
                  <w:r>
                    <w:rPr>
                      <w:rFonts w:hint="default" w:ascii="Times New Roman" w:hAnsi="Times New Roman" w:eastAsia="Times New Roman" w:cs="Times New Roman"/>
                      <w:b/>
                      <w:bCs/>
                      <w:color w:val="000000"/>
                      <w:sz w:val="21"/>
                      <w:szCs w:val="21"/>
                      <w:highlight w:val="none"/>
                    </w:rPr>
                    <w:t>dB</w:t>
                  </w:r>
                  <w:r>
                    <w:rPr>
                      <w:rFonts w:hint="default" w:ascii="Times New Roman" w:hAnsi="Times New Roman" w:eastAsia="宋体" w:cs="Times New Roman"/>
                      <w:b/>
                      <w:bCs/>
                      <w:color w:val="000000"/>
                      <w:sz w:val="21"/>
                      <w:szCs w:val="21"/>
                      <w:highlight w:val="none"/>
                      <w:lang w:eastAsia="zh-CN"/>
                    </w:rPr>
                    <w:t>（</w:t>
                  </w:r>
                  <w:r>
                    <w:rPr>
                      <w:rFonts w:hint="default" w:ascii="Times New Roman" w:hAnsi="Times New Roman" w:eastAsia="Times New Roman" w:cs="Times New Roman"/>
                      <w:b/>
                      <w:bCs/>
                      <w:color w:val="000000"/>
                      <w:sz w:val="21"/>
                      <w:szCs w:val="21"/>
                      <w:highlight w:val="none"/>
                    </w:rPr>
                    <w:t>A</w:t>
                  </w:r>
                  <w:r>
                    <w:rPr>
                      <w:rFonts w:hint="default" w:ascii="Times New Roman" w:hAnsi="Times New Roman" w:eastAsia="宋体" w:cs="Times New Roman"/>
                      <w:b/>
                      <w:bCs/>
                      <w:color w:val="000000"/>
                      <w:sz w:val="21"/>
                      <w:szCs w:val="21"/>
                      <w:highlight w:val="none"/>
                      <w:lang w:eastAsia="zh-CN"/>
                    </w:rPr>
                    <w:t>）</w:t>
                  </w:r>
                  <w:r>
                    <w:rPr>
                      <w:rFonts w:hint="default" w:ascii="Times New Roman" w:hAnsi="Times New Roman" w:cs="Times New Roman"/>
                      <w:b/>
                      <w:bCs/>
                      <w:color w:val="000000"/>
                      <w:sz w:val="21"/>
                      <w:szCs w:val="21"/>
                      <w:highlight w:val="none"/>
                    </w:rPr>
                    <w:t>）</w:t>
                  </w:r>
                </w:p>
              </w:tc>
              <w:tc>
                <w:tcPr>
                  <w:tcW w:w="842" w:type="pct"/>
                  <w:tcBorders>
                    <w:tl2br w:val="nil"/>
                    <w:tr2bl w:val="nil"/>
                  </w:tcBorders>
                  <w:shd w:val="clear" w:color="auto" w:fill="auto"/>
                  <w:noWrap w:val="0"/>
                  <w:vAlign w:val="center"/>
                </w:tcPr>
                <w:p w14:paraId="083F839D">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标准</w:t>
                  </w:r>
                </w:p>
                <w:p w14:paraId="7D03E3D1">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b/>
                      <w:bCs/>
                      <w:color w:val="000000"/>
                      <w:sz w:val="21"/>
                      <w:szCs w:val="21"/>
                      <w:highlight w:val="none"/>
                    </w:rPr>
                  </w:pPr>
                  <w:r>
                    <w:rPr>
                      <w:rFonts w:hint="default" w:ascii="Times New Roman" w:hAnsi="Times New Roman" w:cs="Times New Roman"/>
                      <w:b/>
                      <w:bCs/>
                      <w:color w:val="000000"/>
                      <w:sz w:val="21"/>
                      <w:szCs w:val="21"/>
                      <w:highlight w:val="none"/>
                    </w:rPr>
                    <w:t>限值</w:t>
                  </w:r>
                  <w:r>
                    <w:rPr>
                      <w:rFonts w:hint="default" w:ascii="Times New Roman" w:hAnsi="Times New Roman" w:eastAsia="Times New Roman" w:cs="Times New Roman"/>
                      <w:b/>
                      <w:bCs/>
                      <w:color w:val="000000"/>
                      <w:sz w:val="21"/>
                      <w:szCs w:val="21"/>
                      <w:highlight w:val="none"/>
                    </w:rPr>
                    <w:t>dB</w:t>
                  </w:r>
                  <w:r>
                    <w:rPr>
                      <w:rFonts w:hint="default" w:ascii="Times New Roman" w:hAnsi="Times New Roman" w:eastAsia="宋体" w:cs="Times New Roman"/>
                      <w:b/>
                      <w:bCs/>
                      <w:color w:val="000000"/>
                      <w:sz w:val="21"/>
                      <w:szCs w:val="21"/>
                      <w:highlight w:val="none"/>
                      <w:lang w:eastAsia="zh-CN"/>
                    </w:rPr>
                    <w:t>（</w:t>
                  </w:r>
                  <w:r>
                    <w:rPr>
                      <w:rFonts w:hint="default" w:ascii="Times New Roman" w:hAnsi="Times New Roman" w:eastAsia="Times New Roman" w:cs="Times New Roman"/>
                      <w:b/>
                      <w:bCs/>
                      <w:color w:val="000000"/>
                      <w:sz w:val="21"/>
                      <w:szCs w:val="21"/>
                      <w:highlight w:val="none"/>
                    </w:rPr>
                    <w:t>A</w:t>
                  </w:r>
                  <w:r>
                    <w:rPr>
                      <w:rFonts w:hint="default" w:ascii="Times New Roman" w:hAnsi="Times New Roman" w:eastAsia="宋体" w:cs="Times New Roman"/>
                      <w:b/>
                      <w:bCs/>
                      <w:color w:val="000000"/>
                      <w:sz w:val="21"/>
                      <w:szCs w:val="21"/>
                      <w:highlight w:val="none"/>
                      <w:lang w:eastAsia="zh-CN"/>
                    </w:rPr>
                    <w:t>）</w:t>
                  </w:r>
                </w:p>
              </w:tc>
            </w:tr>
            <w:tr w14:paraId="00DD0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261" w:type="pct"/>
                  <w:tcBorders>
                    <w:tl2br w:val="nil"/>
                    <w:tr2bl w:val="nil"/>
                  </w:tcBorders>
                  <w:shd w:val="clear" w:color="auto" w:fill="auto"/>
                  <w:noWrap w:val="0"/>
                  <w:vAlign w:val="center"/>
                </w:tcPr>
                <w:p w14:paraId="4C9A8E6B">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w:t>
                  </w:r>
                </w:p>
              </w:tc>
              <w:tc>
                <w:tcPr>
                  <w:tcW w:w="890" w:type="pct"/>
                  <w:tcBorders>
                    <w:tl2br w:val="nil"/>
                    <w:tr2bl w:val="nil"/>
                  </w:tcBorders>
                  <w:shd w:val="clear" w:color="auto" w:fill="auto"/>
                  <w:noWrap w:val="0"/>
                  <w:vAlign w:val="center"/>
                </w:tcPr>
                <w:p w14:paraId="5B03E943">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尹家务中学</w:t>
                  </w:r>
                </w:p>
              </w:tc>
              <w:tc>
                <w:tcPr>
                  <w:tcW w:w="1144" w:type="pct"/>
                  <w:tcBorders>
                    <w:tl2br w:val="nil"/>
                    <w:tr2bl w:val="nil"/>
                  </w:tcBorders>
                  <w:shd w:val="clear" w:color="auto" w:fill="auto"/>
                  <w:noWrap w:val="0"/>
                  <w:vAlign w:val="center"/>
                </w:tcPr>
                <w:p w14:paraId="0AD186B1">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44</w:t>
                  </w:r>
                </w:p>
              </w:tc>
              <w:tc>
                <w:tcPr>
                  <w:tcW w:w="775" w:type="pct"/>
                  <w:vMerge w:val="restart"/>
                  <w:tcBorders>
                    <w:tl2br w:val="nil"/>
                    <w:tr2bl w:val="nil"/>
                  </w:tcBorders>
                  <w:shd w:val="clear" w:color="auto" w:fill="auto"/>
                  <w:noWrap w:val="0"/>
                  <w:vAlign w:val="center"/>
                </w:tcPr>
                <w:p w14:paraId="540D0EF7">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60</w:t>
                  </w:r>
                </w:p>
              </w:tc>
              <w:tc>
                <w:tcPr>
                  <w:tcW w:w="1085" w:type="pct"/>
                  <w:tcBorders>
                    <w:tl2br w:val="nil"/>
                    <w:tr2bl w:val="nil"/>
                  </w:tcBorders>
                  <w:shd w:val="clear" w:color="auto" w:fill="auto"/>
                  <w:noWrap w:val="0"/>
                  <w:vAlign w:val="center"/>
                </w:tcPr>
                <w:p w14:paraId="4A4AD8A3">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40</w:t>
                  </w:r>
                </w:p>
              </w:tc>
              <w:tc>
                <w:tcPr>
                  <w:tcW w:w="842" w:type="pct"/>
                  <w:vMerge w:val="restart"/>
                  <w:tcBorders>
                    <w:tl2br w:val="nil"/>
                    <w:tr2bl w:val="nil"/>
                  </w:tcBorders>
                  <w:shd w:val="clear" w:color="auto" w:fill="auto"/>
                  <w:noWrap w:val="0"/>
                  <w:vAlign w:val="center"/>
                </w:tcPr>
                <w:p w14:paraId="74B74EF4">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50</w:t>
                  </w:r>
                </w:p>
              </w:tc>
            </w:tr>
            <w:tr w14:paraId="713D17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261" w:type="pct"/>
                  <w:tcBorders>
                    <w:tl2br w:val="nil"/>
                    <w:tr2bl w:val="nil"/>
                  </w:tcBorders>
                  <w:shd w:val="clear" w:color="auto" w:fill="auto"/>
                  <w:noWrap w:val="0"/>
                  <w:vAlign w:val="center"/>
                </w:tcPr>
                <w:p w14:paraId="71895BC3">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w:t>
                  </w:r>
                </w:p>
              </w:tc>
              <w:tc>
                <w:tcPr>
                  <w:tcW w:w="890" w:type="pct"/>
                  <w:tcBorders>
                    <w:tl2br w:val="nil"/>
                    <w:tr2bl w:val="nil"/>
                  </w:tcBorders>
                  <w:shd w:val="clear" w:color="auto" w:fill="auto"/>
                  <w:noWrap w:val="0"/>
                  <w:vAlign w:val="center"/>
                </w:tcPr>
                <w:p w14:paraId="299648D6">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尹家务村（西北侧）</w:t>
                  </w:r>
                </w:p>
              </w:tc>
              <w:tc>
                <w:tcPr>
                  <w:tcW w:w="1144" w:type="pct"/>
                  <w:tcBorders>
                    <w:tl2br w:val="nil"/>
                    <w:tr2bl w:val="nil"/>
                  </w:tcBorders>
                  <w:shd w:val="clear" w:color="auto" w:fill="auto"/>
                  <w:noWrap w:val="0"/>
                  <w:vAlign w:val="center"/>
                </w:tcPr>
                <w:p w14:paraId="20946350">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39</w:t>
                  </w:r>
                </w:p>
              </w:tc>
              <w:tc>
                <w:tcPr>
                  <w:tcW w:w="775" w:type="pct"/>
                  <w:vMerge w:val="continue"/>
                  <w:tcBorders>
                    <w:tl2br w:val="nil"/>
                    <w:tr2bl w:val="nil"/>
                  </w:tcBorders>
                  <w:shd w:val="clear" w:color="auto" w:fill="auto"/>
                  <w:noWrap w:val="0"/>
                  <w:vAlign w:val="center"/>
                </w:tcPr>
                <w:p w14:paraId="4517EB20">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1085" w:type="pct"/>
                  <w:tcBorders>
                    <w:tl2br w:val="nil"/>
                    <w:tr2bl w:val="nil"/>
                  </w:tcBorders>
                  <w:shd w:val="clear" w:color="auto" w:fill="auto"/>
                  <w:noWrap w:val="0"/>
                  <w:vAlign w:val="center"/>
                </w:tcPr>
                <w:p w14:paraId="44BCFF84">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38</w:t>
                  </w:r>
                </w:p>
              </w:tc>
              <w:tc>
                <w:tcPr>
                  <w:tcW w:w="842" w:type="pct"/>
                  <w:vMerge w:val="continue"/>
                  <w:tcBorders>
                    <w:tl2br w:val="nil"/>
                    <w:tr2bl w:val="nil"/>
                  </w:tcBorders>
                  <w:shd w:val="clear" w:color="auto" w:fill="auto"/>
                  <w:noWrap w:val="0"/>
                  <w:vAlign w:val="center"/>
                </w:tcPr>
                <w:p w14:paraId="24A0B09D">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r>
            <w:tr w14:paraId="1BD9D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261" w:type="pct"/>
                  <w:tcBorders>
                    <w:tl2br w:val="nil"/>
                    <w:tr2bl w:val="nil"/>
                  </w:tcBorders>
                  <w:shd w:val="clear" w:color="auto" w:fill="auto"/>
                  <w:noWrap w:val="0"/>
                  <w:vAlign w:val="center"/>
                </w:tcPr>
                <w:p w14:paraId="5296629E">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3</w:t>
                  </w:r>
                </w:p>
              </w:tc>
              <w:tc>
                <w:tcPr>
                  <w:tcW w:w="890" w:type="pct"/>
                  <w:tcBorders>
                    <w:tl2br w:val="nil"/>
                    <w:tr2bl w:val="nil"/>
                  </w:tcBorders>
                  <w:shd w:val="clear" w:color="auto" w:fill="auto"/>
                  <w:noWrap w:val="0"/>
                  <w:vAlign w:val="center"/>
                </w:tcPr>
                <w:p w14:paraId="7DCC4390">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尹家务村（东南侧）</w:t>
                  </w:r>
                </w:p>
              </w:tc>
              <w:tc>
                <w:tcPr>
                  <w:tcW w:w="1144" w:type="pct"/>
                  <w:tcBorders>
                    <w:tl2br w:val="nil"/>
                    <w:tr2bl w:val="nil"/>
                  </w:tcBorders>
                  <w:shd w:val="clear" w:color="auto" w:fill="auto"/>
                  <w:noWrap w:val="0"/>
                  <w:vAlign w:val="center"/>
                </w:tcPr>
                <w:p w14:paraId="223DFCC5">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46</w:t>
                  </w:r>
                </w:p>
              </w:tc>
              <w:tc>
                <w:tcPr>
                  <w:tcW w:w="775" w:type="pct"/>
                  <w:vMerge w:val="continue"/>
                  <w:tcBorders>
                    <w:tl2br w:val="nil"/>
                    <w:tr2bl w:val="nil"/>
                  </w:tcBorders>
                  <w:shd w:val="clear" w:color="auto" w:fill="auto"/>
                  <w:noWrap w:val="0"/>
                  <w:vAlign w:val="center"/>
                </w:tcPr>
                <w:p w14:paraId="3D41F1A0">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1085" w:type="pct"/>
                  <w:tcBorders>
                    <w:tl2br w:val="nil"/>
                    <w:tr2bl w:val="nil"/>
                  </w:tcBorders>
                  <w:shd w:val="clear" w:color="auto" w:fill="auto"/>
                  <w:noWrap w:val="0"/>
                  <w:vAlign w:val="center"/>
                </w:tcPr>
                <w:p w14:paraId="4DE49C0E">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38</w:t>
                  </w:r>
                </w:p>
              </w:tc>
              <w:tc>
                <w:tcPr>
                  <w:tcW w:w="842" w:type="pct"/>
                  <w:vMerge w:val="continue"/>
                  <w:tcBorders>
                    <w:tl2br w:val="nil"/>
                    <w:tr2bl w:val="nil"/>
                  </w:tcBorders>
                  <w:shd w:val="clear" w:color="auto" w:fill="auto"/>
                  <w:noWrap w:val="0"/>
                  <w:vAlign w:val="center"/>
                </w:tcPr>
                <w:p w14:paraId="5E8AFFFE">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r>
          </w:tbl>
          <w:p w14:paraId="009AD848">
            <w:pPr>
              <w:pStyle w:val="61"/>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rightChars="0" w:firstLine="420" w:firstLineChars="200"/>
              <w:textAlignment w:val="auto"/>
              <w:rPr>
                <w:rFonts w:hint="default"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kern w:val="2"/>
                <w:sz w:val="21"/>
                <w:szCs w:val="21"/>
                <w:highlight w:val="none"/>
                <w:lang w:val="en-US" w:eastAsia="zh-CN" w:bidi="ar-SA"/>
              </w:rPr>
              <w:t>由</w:t>
            </w:r>
            <w:r>
              <w:rPr>
                <w:rFonts w:hint="default" w:ascii="Times New Roman" w:hAnsi="Times New Roman" w:eastAsia="宋体" w:cs="Times New Roman"/>
                <w:color w:val="000000"/>
                <w:kern w:val="2"/>
                <w:sz w:val="21"/>
                <w:szCs w:val="21"/>
                <w:highlight w:val="none"/>
                <w:lang w:val="en-US" w:eastAsia="zh-CN" w:bidi="ar-SA"/>
              </w:rPr>
              <w:t>监测结果可知，项目</w:t>
            </w:r>
            <w:r>
              <w:rPr>
                <w:rFonts w:hint="eastAsia" w:ascii="Times New Roman" w:hAnsi="Times New Roman" w:eastAsia="宋体" w:cs="Times New Roman"/>
                <w:color w:val="000000"/>
                <w:kern w:val="2"/>
                <w:sz w:val="21"/>
                <w:szCs w:val="21"/>
                <w:highlight w:val="none"/>
                <w:lang w:val="en-US" w:eastAsia="zh-CN" w:bidi="ar-SA"/>
              </w:rPr>
              <w:t>敏感点</w:t>
            </w:r>
            <w:r>
              <w:rPr>
                <w:rFonts w:hint="eastAsia" w:ascii="Times New Roman" w:hAnsi="Times New Roman" w:cs="Times New Roman"/>
                <w:color w:val="000000"/>
                <w:sz w:val="21"/>
                <w:szCs w:val="21"/>
                <w:highlight w:val="none"/>
                <w:lang w:val="en-US" w:eastAsia="zh-CN"/>
              </w:rPr>
              <w:t>尹家务中学、尹家务村（西北侧）</w:t>
            </w:r>
            <w:r>
              <w:rPr>
                <w:rFonts w:hint="default" w:ascii="Times New Roman" w:hAnsi="Times New Roman" w:eastAsia="宋体" w:cs="Times New Roman"/>
                <w:color w:val="000000"/>
                <w:kern w:val="2"/>
                <w:sz w:val="21"/>
                <w:szCs w:val="21"/>
                <w:highlight w:val="none"/>
                <w:lang w:val="en-US" w:eastAsia="zh-CN" w:bidi="ar-SA"/>
              </w:rPr>
              <w:t>、</w:t>
            </w:r>
            <w:r>
              <w:rPr>
                <w:rFonts w:hint="eastAsia" w:ascii="Times New Roman" w:hAnsi="Times New Roman" w:cs="Times New Roman"/>
                <w:color w:val="000000"/>
                <w:sz w:val="21"/>
                <w:szCs w:val="21"/>
                <w:highlight w:val="none"/>
                <w:lang w:val="en-US" w:eastAsia="zh-CN"/>
              </w:rPr>
              <w:t>尹家务村（东南侧）</w:t>
            </w:r>
            <w:r>
              <w:rPr>
                <w:rFonts w:hint="eastAsia" w:ascii="Times New Roman" w:hAnsi="Times New Roman" w:eastAsia="宋体" w:cs="Times New Roman"/>
                <w:color w:val="000000"/>
                <w:kern w:val="2"/>
                <w:sz w:val="21"/>
                <w:szCs w:val="21"/>
                <w:highlight w:val="none"/>
                <w:lang w:val="en-US" w:eastAsia="zh-CN" w:bidi="ar-SA"/>
              </w:rPr>
              <w:t>昼夜</w:t>
            </w:r>
            <w:r>
              <w:rPr>
                <w:rFonts w:hint="default" w:ascii="Times New Roman" w:hAnsi="Times New Roman" w:eastAsia="宋体" w:cs="Times New Roman"/>
                <w:color w:val="000000"/>
                <w:kern w:val="2"/>
                <w:sz w:val="21"/>
                <w:szCs w:val="21"/>
                <w:highlight w:val="none"/>
                <w:lang w:val="en-US" w:eastAsia="zh-CN" w:bidi="ar-SA"/>
              </w:rPr>
              <w:t>噪声均满足《声环境质量标准》（GB3096-2008）中</w:t>
            </w:r>
            <w:r>
              <w:rPr>
                <w:rFonts w:hint="eastAsia" w:ascii="Times New Roman" w:hAnsi="Times New Roman" w:eastAsia="宋体" w:cs="Times New Roman"/>
                <w:color w:val="000000"/>
                <w:kern w:val="2"/>
                <w:sz w:val="21"/>
                <w:szCs w:val="21"/>
                <w:highlight w:val="none"/>
                <w:lang w:val="en-US" w:eastAsia="zh-CN" w:bidi="ar-SA"/>
              </w:rPr>
              <w:t>2</w:t>
            </w:r>
            <w:r>
              <w:rPr>
                <w:rFonts w:hint="default" w:ascii="Times New Roman" w:hAnsi="Times New Roman" w:eastAsia="宋体" w:cs="Times New Roman"/>
                <w:color w:val="000000"/>
                <w:kern w:val="2"/>
                <w:sz w:val="21"/>
                <w:szCs w:val="21"/>
                <w:highlight w:val="none"/>
                <w:lang w:val="en-US" w:eastAsia="zh-CN" w:bidi="ar-SA"/>
              </w:rPr>
              <w:t>类标准限值</w:t>
            </w:r>
            <w:r>
              <w:rPr>
                <w:rFonts w:hint="default" w:ascii="Times New Roman" w:hAnsi="Times New Roman" w:cs="Times New Roman"/>
                <w:color w:val="000000"/>
                <w:sz w:val="21"/>
                <w:szCs w:val="21"/>
                <w:highlight w:val="none"/>
              </w:rPr>
              <w:t>。</w:t>
            </w:r>
          </w:p>
        </w:tc>
      </w:tr>
      <w:tr w14:paraId="290A31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50" w:hRule="atLeast"/>
          <w:jc w:val="center"/>
        </w:trPr>
        <w:tc>
          <w:tcPr>
            <w:tcW w:w="800" w:type="dxa"/>
            <w:shd w:val="clear" w:color="auto" w:fill="auto"/>
            <w:noWrap w:val="0"/>
            <w:vAlign w:val="center"/>
          </w:tcPr>
          <w:p w14:paraId="365B437F">
            <w:pPr>
              <w:shd w:val="clear" w:color="auto" w:fill="auto"/>
              <w:adjustRightInd w:val="0"/>
              <w:snapToGrid w:val="0"/>
              <w:jc w:val="center"/>
              <w:rPr>
                <w:rFonts w:hint="eastAsia" w:ascii="宋体" w:hAnsi="宋体" w:cs="宋体"/>
                <w:color w:val="000000"/>
                <w:kern w:val="0"/>
                <w:sz w:val="21"/>
                <w:szCs w:val="21"/>
                <w:highlight w:val="none"/>
              </w:rPr>
            </w:pPr>
            <w:r>
              <w:rPr>
                <w:rFonts w:hint="eastAsia" w:ascii="宋体" w:hAnsi="宋体" w:cs="宋体"/>
                <w:color w:val="000000"/>
                <w:kern w:val="0"/>
                <w:sz w:val="21"/>
                <w:szCs w:val="21"/>
                <w:highlight w:val="none"/>
              </w:rPr>
              <w:t>环境</w:t>
            </w:r>
          </w:p>
          <w:p w14:paraId="739FF577">
            <w:pPr>
              <w:shd w:val="clear" w:color="auto" w:fill="auto"/>
              <w:adjustRightInd w:val="0"/>
              <w:snapToGrid w:val="0"/>
              <w:jc w:val="center"/>
              <w:rPr>
                <w:rFonts w:hint="eastAsia" w:ascii="宋体" w:hAnsi="宋体" w:cs="宋体"/>
                <w:color w:val="000000"/>
                <w:kern w:val="0"/>
                <w:sz w:val="21"/>
                <w:szCs w:val="21"/>
                <w:highlight w:val="none"/>
              </w:rPr>
            </w:pPr>
            <w:r>
              <w:rPr>
                <w:rFonts w:hint="eastAsia" w:ascii="宋体" w:hAnsi="宋体" w:cs="宋体"/>
                <w:color w:val="000000"/>
                <w:kern w:val="0"/>
                <w:sz w:val="21"/>
                <w:szCs w:val="21"/>
                <w:highlight w:val="none"/>
              </w:rPr>
              <w:t>保护</w:t>
            </w:r>
          </w:p>
          <w:p w14:paraId="7E5106E0">
            <w:pPr>
              <w:shd w:val="clear" w:color="auto" w:fill="auto"/>
              <w:adjustRightInd w:val="0"/>
              <w:snapToGrid w:val="0"/>
              <w:jc w:val="center"/>
              <w:rPr>
                <w:rFonts w:hint="eastAsia" w:ascii="宋体" w:hAnsi="宋体" w:cs="宋体"/>
                <w:color w:val="000000"/>
                <w:kern w:val="0"/>
                <w:sz w:val="21"/>
                <w:szCs w:val="21"/>
                <w:highlight w:val="none"/>
              </w:rPr>
            </w:pPr>
            <w:r>
              <w:rPr>
                <w:rFonts w:hint="eastAsia" w:ascii="宋体" w:hAnsi="宋体" w:cs="宋体"/>
                <w:color w:val="000000"/>
                <w:kern w:val="0"/>
                <w:sz w:val="21"/>
                <w:szCs w:val="21"/>
                <w:highlight w:val="none"/>
              </w:rPr>
              <w:t>目标</w:t>
            </w:r>
          </w:p>
        </w:tc>
        <w:tc>
          <w:tcPr>
            <w:tcW w:w="8190" w:type="dxa"/>
            <w:shd w:val="clear" w:color="auto" w:fill="auto"/>
            <w:noWrap w:val="0"/>
            <w:vAlign w:val="center"/>
          </w:tcPr>
          <w:p w14:paraId="69EE7A0A">
            <w:pPr>
              <w:pStyle w:val="45"/>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eastAsia="zh-CN"/>
              </w:rPr>
              <w:t>本项目涉及的环境保护目标主要为大气环境保护目标以及声环境保护目标，根据《建设项目环境影响报告表编制技术指南（污染影响类）</w:t>
            </w:r>
            <w:r>
              <w:rPr>
                <w:rFonts w:hint="eastAsia" w:ascii="Times New Roman" w:hAnsi="Times New Roman" w:cs="Times New Roman"/>
                <w:color w:val="000000"/>
                <w:sz w:val="21"/>
                <w:szCs w:val="21"/>
                <w:highlight w:val="none"/>
                <w:lang w:eastAsia="zh-CN"/>
              </w:rPr>
              <w:t>（试行）》</w:t>
            </w:r>
            <w:r>
              <w:rPr>
                <w:rFonts w:hint="default" w:ascii="Times New Roman" w:hAnsi="Times New Roman" w:cs="Times New Roman"/>
                <w:color w:val="000000"/>
                <w:sz w:val="21"/>
                <w:szCs w:val="21"/>
                <w:highlight w:val="none"/>
                <w:lang w:eastAsia="zh-CN"/>
              </w:rPr>
              <w:t>中的要求，大气环境保护目标为厂界外</w:t>
            </w:r>
            <w:r>
              <w:rPr>
                <w:rFonts w:hint="default" w:ascii="Times New Roman" w:hAnsi="Times New Roman" w:cs="Times New Roman"/>
                <w:color w:val="000000"/>
                <w:sz w:val="21"/>
                <w:szCs w:val="21"/>
                <w:highlight w:val="none"/>
                <w:lang w:val="en-US" w:eastAsia="zh-CN"/>
              </w:rPr>
              <w:t>500米范围内的自然保护区、风景名胜区、居住区和农村地区中人群较集中的区域</w:t>
            </w:r>
            <w:r>
              <w:rPr>
                <w:rFonts w:hint="eastAsia" w:ascii="Times New Roman" w:hAnsi="Times New Roman" w:cs="Times New Roman"/>
                <w:color w:val="000000"/>
                <w:sz w:val="21"/>
                <w:szCs w:val="21"/>
                <w:highlight w:val="none"/>
                <w:lang w:val="en-US" w:eastAsia="zh-CN"/>
              </w:rPr>
              <w:t>，声环境保护目标为</w:t>
            </w:r>
            <w:r>
              <w:rPr>
                <w:rFonts w:hint="default" w:ascii="Times New Roman" w:hAnsi="Times New Roman" w:cs="Times New Roman"/>
                <w:color w:val="000000"/>
                <w:sz w:val="21"/>
                <w:szCs w:val="21"/>
                <w:highlight w:val="none"/>
                <w:lang w:val="en-US" w:eastAsia="zh-CN"/>
              </w:rPr>
              <w:t>50m范围内声环境敏感点。</w:t>
            </w:r>
          </w:p>
          <w:p w14:paraId="3E0EB0A9">
            <w:pPr>
              <w:keepNext w:val="0"/>
              <w:keepLines w:val="0"/>
              <w:pageBreakBefore w:val="0"/>
              <w:widowControl w:val="0"/>
              <w:shd w:val="clear" w:color="auto" w:fill="auto"/>
              <w:tabs>
                <w:tab w:val="left" w:pos="3859"/>
              </w:tabs>
              <w:kinsoku/>
              <w:wordWrap/>
              <w:overflowPunct/>
              <w:topLinePunct w:val="0"/>
              <w:autoSpaceDE w:val="0"/>
              <w:autoSpaceDN w:val="0"/>
              <w:bidi w:val="0"/>
              <w:adjustRightInd w:val="0"/>
              <w:snapToGrid w:val="0"/>
              <w:spacing w:before="0" w:after="0" w:line="360" w:lineRule="auto"/>
              <w:ind w:left="0" w:right="0" w:firstLine="420" w:firstLineChars="200"/>
              <w:jc w:val="both"/>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本项目环境保护目标如下表所示。</w:t>
            </w:r>
          </w:p>
          <w:p w14:paraId="5B8B292D">
            <w:pPr>
              <w:keepNext w:val="0"/>
              <w:keepLines w:val="0"/>
              <w:pageBreakBefore w:val="0"/>
              <w:shd w:val="clear" w:color="auto" w:fill="auto"/>
              <w:kinsoku/>
              <w:wordWrap/>
              <w:overflowPunct/>
              <w:topLinePunct w:val="0"/>
              <w:bidi w:val="0"/>
              <w:adjustRightInd w:val="0"/>
              <w:snapToGrid w:val="0"/>
              <w:spacing w:before="0" w:after="0" w:line="240" w:lineRule="auto"/>
              <w:ind w:left="0" w:leftChars="0" w:right="0" w:firstLine="0" w:firstLineChars="0"/>
              <w:jc w:val="center"/>
              <w:textAlignment w:val="auto"/>
              <w:rPr>
                <w:rFonts w:hint="default" w:ascii="Times New Roman" w:hAnsi="Times New Roman" w:eastAsia="宋体" w:cs="Times New Roman"/>
                <w:b/>
                <w:color w:val="000000"/>
                <w:spacing w:val="-3"/>
                <w:sz w:val="21"/>
                <w:szCs w:val="21"/>
                <w:highlight w:val="none"/>
                <w:lang w:val="zh-CN" w:eastAsia="zh-CN" w:bidi="zh-CN"/>
              </w:rPr>
            </w:pPr>
            <w:r>
              <w:rPr>
                <w:rFonts w:hint="default" w:ascii="Times New Roman" w:hAnsi="Times New Roman" w:eastAsia="宋体" w:cs="Times New Roman"/>
                <w:b/>
                <w:color w:val="000000"/>
                <w:spacing w:val="-3"/>
                <w:sz w:val="21"/>
                <w:szCs w:val="21"/>
                <w:highlight w:val="none"/>
                <w:lang w:val="zh-CN" w:eastAsia="zh-CN" w:bidi="zh-CN"/>
              </w:rPr>
              <w:t>表</w:t>
            </w:r>
            <w:r>
              <w:rPr>
                <w:rFonts w:hint="eastAsia" w:ascii="Times New Roman" w:hAnsi="Times New Roman" w:eastAsia="宋体" w:cs="Times New Roman"/>
                <w:b/>
                <w:color w:val="000000"/>
                <w:spacing w:val="-3"/>
                <w:sz w:val="21"/>
                <w:szCs w:val="21"/>
                <w:highlight w:val="none"/>
                <w:lang w:val="en-US" w:eastAsia="zh-CN" w:bidi="zh-CN"/>
              </w:rPr>
              <w:t>3-4    本</w:t>
            </w:r>
            <w:r>
              <w:rPr>
                <w:rFonts w:hint="default" w:ascii="Times New Roman" w:hAnsi="Times New Roman" w:eastAsia="宋体" w:cs="Times New Roman"/>
                <w:b/>
                <w:color w:val="000000"/>
                <w:spacing w:val="-3"/>
                <w:sz w:val="21"/>
                <w:szCs w:val="21"/>
                <w:highlight w:val="none"/>
                <w:lang w:val="zh-CN" w:eastAsia="zh-CN" w:bidi="zh-CN"/>
              </w:rPr>
              <w:t>项目主要环境保护目标表</w:t>
            </w:r>
          </w:p>
          <w:tbl>
            <w:tblPr>
              <w:tblStyle w:val="21"/>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396"/>
              <w:gridCol w:w="1560"/>
              <w:gridCol w:w="1381"/>
              <w:gridCol w:w="1223"/>
              <w:gridCol w:w="656"/>
              <w:gridCol w:w="806"/>
              <w:gridCol w:w="844"/>
              <w:gridCol w:w="1095"/>
            </w:tblGrid>
            <w:tr w14:paraId="76E8B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5" w:hRule="atLeast"/>
              </w:trPr>
              <w:tc>
                <w:tcPr>
                  <w:tcW w:w="248" w:type="pct"/>
                  <w:vMerge w:val="restart"/>
                  <w:tcBorders>
                    <w:tl2br w:val="nil"/>
                    <w:tr2bl w:val="nil"/>
                  </w:tcBorders>
                  <w:shd w:val="clear" w:color="auto" w:fill="auto"/>
                  <w:noWrap w:val="0"/>
                  <w:vAlign w:val="center"/>
                </w:tcPr>
                <w:p w14:paraId="5FBCF074">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b/>
                      <w:bCs w:val="0"/>
                      <w:color w:val="000000"/>
                      <w:sz w:val="21"/>
                      <w:highlight w:val="none"/>
                    </w:rPr>
                  </w:pPr>
                  <w:r>
                    <w:rPr>
                      <w:rFonts w:hint="default" w:ascii="Times New Roman" w:hAnsi="Times New Roman" w:cs="Times New Roman"/>
                      <w:b/>
                      <w:bCs w:val="0"/>
                      <w:color w:val="000000"/>
                      <w:sz w:val="21"/>
                      <w:highlight w:val="none"/>
                    </w:rPr>
                    <w:t>环境</w:t>
                  </w:r>
                </w:p>
                <w:p w14:paraId="3BF22396">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b/>
                      <w:bCs w:val="0"/>
                      <w:color w:val="000000"/>
                      <w:sz w:val="21"/>
                      <w:highlight w:val="none"/>
                    </w:rPr>
                  </w:pPr>
                  <w:r>
                    <w:rPr>
                      <w:rFonts w:hint="default" w:ascii="Times New Roman" w:hAnsi="Times New Roman" w:cs="Times New Roman"/>
                      <w:b/>
                      <w:bCs w:val="0"/>
                      <w:color w:val="000000"/>
                      <w:sz w:val="21"/>
                      <w:highlight w:val="none"/>
                    </w:rPr>
                    <w:t>类型</w:t>
                  </w:r>
                </w:p>
              </w:tc>
              <w:tc>
                <w:tcPr>
                  <w:tcW w:w="979" w:type="pct"/>
                  <w:vMerge w:val="restart"/>
                  <w:tcBorders>
                    <w:tl2br w:val="nil"/>
                    <w:tr2bl w:val="nil"/>
                  </w:tcBorders>
                  <w:shd w:val="clear" w:color="auto" w:fill="auto"/>
                  <w:noWrap w:val="0"/>
                  <w:vAlign w:val="center"/>
                </w:tcPr>
                <w:p w14:paraId="21732273">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b/>
                      <w:bCs w:val="0"/>
                      <w:color w:val="000000"/>
                      <w:sz w:val="21"/>
                      <w:highlight w:val="none"/>
                    </w:rPr>
                  </w:pPr>
                  <w:r>
                    <w:rPr>
                      <w:rFonts w:hint="default" w:ascii="Times New Roman" w:hAnsi="Times New Roman" w:cs="Times New Roman"/>
                      <w:b/>
                      <w:bCs w:val="0"/>
                      <w:color w:val="000000"/>
                      <w:sz w:val="21"/>
                      <w:highlight w:val="none"/>
                    </w:rPr>
                    <w:t>保护对象</w:t>
                  </w:r>
                </w:p>
              </w:tc>
              <w:tc>
                <w:tcPr>
                  <w:tcW w:w="1635" w:type="pct"/>
                  <w:gridSpan w:val="2"/>
                  <w:tcBorders>
                    <w:tl2br w:val="nil"/>
                    <w:tr2bl w:val="nil"/>
                  </w:tcBorders>
                  <w:shd w:val="clear" w:color="auto" w:fill="auto"/>
                  <w:noWrap w:val="0"/>
                  <w:vAlign w:val="center"/>
                </w:tcPr>
                <w:p w14:paraId="3BF3BF85">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Times New Roman" w:cs="Times New Roman"/>
                      <w:b/>
                      <w:color w:val="000000"/>
                      <w:sz w:val="21"/>
                      <w:highlight w:val="none"/>
                    </w:rPr>
                  </w:pPr>
                  <w:r>
                    <w:rPr>
                      <w:rFonts w:hint="default" w:ascii="Times New Roman" w:hAnsi="Times New Roman" w:cs="Times New Roman"/>
                      <w:b/>
                      <w:color w:val="000000"/>
                      <w:sz w:val="21"/>
                      <w:highlight w:val="none"/>
                    </w:rPr>
                    <w:t>坐标</w:t>
                  </w:r>
                  <w:r>
                    <w:rPr>
                      <w:rFonts w:hint="default" w:ascii="Times New Roman" w:hAnsi="Times New Roman" w:eastAsia="Times New Roman" w:cs="Times New Roman"/>
                      <w:b/>
                      <w:color w:val="000000"/>
                      <w:sz w:val="21"/>
                      <w:highlight w:val="none"/>
                    </w:rPr>
                    <w:t>/º</w:t>
                  </w:r>
                </w:p>
              </w:tc>
              <w:tc>
                <w:tcPr>
                  <w:tcW w:w="412" w:type="pct"/>
                  <w:vMerge w:val="restart"/>
                  <w:tcBorders>
                    <w:tl2br w:val="nil"/>
                    <w:tr2bl w:val="nil"/>
                  </w:tcBorders>
                  <w:shd w:val="clear" w:color="auto" w:fill="auto"/>
                  <w:noWrap w:val="0"/>
                  <w:vAlign w:val="center"/>
                </w:tcPr>
                <w:p w14:paraId="0669DD36">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b/>
                      <w:color w:val="000000"/>
                      <w:sz w:val="21"/>
                      <w:highlight w:val="none"/>
                    </w:rPr>
                  </w:pPr>
                  <w:r>
                    <w:rPr>
                      <w:rFonts w:hint="default" w:ascii="Times New Roman" w:hAnsi="Times New Roman" w:cs="Times New Roman"/>
                      <w:b/>
                      <w:color w:val="000000"/>
                      <w:sz w:val="21"/>
                      <w:highlight w:val="none"/>
                    </w:rPr>
                    <w:t>相对厂</w:t>
                  </w:r>
                </w:p>
                <w:p w14:paraId="1A292F5C">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b/>
                      <w:color w:val="000000"/>
                      <w:sz w:val="21"/>
                      <w:highlight w:val="none"/>
                    </w:rPr>
                  </w:pPr>
                  <w:r>
                    <w:rPr>
                      <w:rFonts w:hint="default" w:ascii="Times New Roman" w:hAnsi="Times New Roman" w:cs="Times New Roman"/>
                      <w:b/>
                      <w:color w:val="000000"/>
                      <w:sz w:val="21"/>
                      <w:highlight w:val="none"/>
                    </w:rPr>
                    <w:t>址方位</w:t>
                  </w:r>
                </w:p>
              </w:tc>
              <w:tc>
                <w:tcPr>
                  <w:tcW w:w="506" w:type="pct"/>
                  <w:vMerge w:val="restart"/>
                  <w:tcBorders>
                    <w:tl2br w:val="nil"/>
                    <w:tr2bl w:val="nil"/>
                  </w:tcBorders>
                  <w:shd w:val="clear" w:color="auto" w:fill="auto"/>
                  <w:noWrap w:val="0"/>
                  <w:vAlign w:val="center"/>
                </w:tcPr>
                <w:p w14:paraId="372C4582">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b/>
                      <w:color w:val="000000"/>
                      <w:sz w:val="21"/>
                      <w:highlight w:val="none"/>
                    </w:rPr>
                  </w:pPr>
                  <w:r>
                    <w:rPr>
                      <w:rFonts w:hint="default" w:ascii="Times New Roman" w:hAnsi="Times New Roman" w:cs="Times New Roman"/>
                      <w:b/>
                      <w:color w:val="000000"/>
                      <w:sz w:val="21"/>
                      <w:highlight w:val="none"/>
                    </w:rPr>
                    <w:t>相对</w:t>
                  </w:r>
                </w:p>
                <w:p w14:paraId="18E59E4E">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b/>
                      <w:color w:val="000000"/>
                      <w:sz w:val="21"/>
                      <w:highlight w:val="none"/>
                    </w:rPr>
                  </w:pPr>
                  <w:r>
                    <w:rPr>
                      <w:rFonts w:hint="default" w:ascii="Times New Roman" w:hAnsi="Times New Roman" w:cs="Times New Roman"/>
                      <w:b/>
                      <w:color w:val="000000"/>
                      <w:sz w:val="21"/>
                      <w:highlight w:val="none"/>
                    </w:rPr>
                    <w:t>厂界</w:t>
                  </w:r>
                </w:p>
                <w:p w14:paraId="67D0B425">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Times New Roman" w:cs="Times New Roman"/>
                      <w:b/>
                      <w:color w:val="000000"/>
                      <w:sz w:val="21"/>
                      <w:highlight w:val="none"/>
                    </w:rPr>
                  </w:pPr>
                  <w:r>
                    <w:rPr>
                      <w:rFonts w:hint="default" w:ascii="Times New Roman" w:hAnsi="Times New Roman" w:cs="Times New Roman"/>
                      <w:b/>
                      <w:color w:val="000000"/>
                      <w:spacing w:val="-1"/>
                      <w:sz w:val="21"/>
                      <w:highlight w:val="none"/>
                    </w:rPr>
                    <w:t>距离</w:t>
                  </w:r>
                  <w:r>
                    <w:rPr>
                      <w:rFonts w:hint="default" w:ascii="Times New Roman" w:hAnsi="Times New Roman" w:eastAsia="Times New Roman" w:cs="Times New Roman"/>
                      <w:b/>
                      <w:color w:val="000000"/>
                      <w:sz w:val="21"/>
                      <w:highlight w:val="none"/>
                    </w:rPr>
                    <w:t>/m</w:t>
                  </w:r>
                </w:p>
              </w:tc>
              <w:tc>
                <w:tcPr>
                  <w:tcW w:w="530" w:type="pct"/>
                  <w:vMerge w:val="restart"/>
                  <w:tcBorders>
                    <w:right w:val="single" w:color="auto" w:sz="4" w:space="0"/>
                    <w:tl2br w:val="nil"/>
                    <w:tr2bl w:val="nil"/>
                  </w:tcBorders>
                  <w:shd w:val="clear" w:color="auto" w:fill="auto"/>
                  <w:noWrap w:val="0"/>
                  <w:vAlign w:val="center"/>
                </w:tcPr>
                <w:p w14:paraId="69E7478A">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color w:val="000000"/>
                      <w:sz w:val="21"/>
                      <w:highlight w:val="none"/>
                      <w:lang w:val="en-US" w:eastAsia="zh-CN"/>
                    </w:rPr>
                  </w:pPr>
                  <w:r>
                    <w:rPr>
                      <w:rFonts w:hint="eastAsia" w:ascii="Times New Roman" w:hAnsi="Times New Roman" w:cs="Times New Roman"/>
                      <w:b/>
                      <w:color w:val="000000"/>
                      <w:sz w:val="21"/>
                      <w:highlight w:val="none"/>
                      <w:lang w:val="en-US" w:eastAsia="zh-CN"/>
                    </w:rPr>
                    <w:t>保护内容</w:t>
                  </w:r>
                </w:p>
              </w:tc>
              <w:tc>
                <w:tcPr>
                  <w:tcW w:w="687" w:type="pct"/>
                  <w:vMerge w:val="restart"/>
                  <w:tcBorders>
                    <w:left w:val="single" w:color="auto" w:sz="4" w:space="0"/>
                    <w:tl2br w:val="nil"/>
                    <w:tr2bl w:val="nil"/>
                  </w:tcBorders>
                  <w:shd w:val="clear" w:color="auto" w:fill="auto"/>
                  <w:noWrap w:val="0"/>
                  <w:vAlign w:val="center"/>
                </w:tcPr>
                <w:p w14:paraId="7C80D2B4">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b/>
                      <w:color w:val="000000"/>
                      <w:sz w:val="21"/>
                      <w:highlight w:val="none"/>
                    </w:rPr>
                  </w:pPr>
                  <w:r>
                    <w:rPr>
                      <w:rFonts w:hint="default" w:ascii="Times New Roman" w:hAnsi="Times New Roman" w:cs="Times New Roman"/>
                      <w:b/>
                      <w:color w:val="000000"/>
                      <w:sz w:val="21"/>
                      <w:highlight w:val="none"/>
                    </w:rPr>
                    <w:t>环境功能区及保护目标功能要求</w:t>
                  </w:r>
                </w:p>
              </w:tc>
            </w:tr>
            <w:tr w14:paraId="02867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 w:hRule="atLeast"/>
              </w:trPr>
              <w:tc>
                <w:tcPr>
                  <w:tcW w:w="248" w:type="pct"/>
                  <w:vMerge w:val="continue"/>
                  <w:tcBorders>
                    <w:tl2br w:val="nil"/>
                    <w:tr2bl w:val="nil"/>
                  </w:tcBorders>
                  <w:shd w:val="clear" w:color="auto" w:fill="auto"/>
                  <w:noWrap w:val="0"/>
                  <w:vAlign w:val="center"/>
                </w:tcPr>
                <w:p w14:paraId="676E2154">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b w:val="0"/>
                      <w:bCs/>
                      <w:color w:val="000000"/>
                      <w:sz w:val="2"/>
                      <w:szCs w:val="2"/>
                      <w:highlight w:val="none"/>
                    </w:rPr>
                  </w:pPr>
                </w:p>
              </w:tc>
              <w:tc>
                <w:tcPr>
                  <w:tcW w:w="979" w:type="pct"/>
                  <w:vMerge w:val="continue"/>
                  <w:tcBorders>
                    <w:tl2br w:val="nil"/>
                    <w:tr2bl w:val="nil"/>
                  </w:tcBorders>
                  <w:shd w:val="clear" w:color="auto" w:fill="auto"/>
                  <w:noWrap w:val="0"/>
                  <w:vAlign w:val="center"/>
                </w:tcPr>
                <w:p w14:paraId="70466958">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
                      <w:szCs w:val="2"/>
                      <w:highlight w:val="none"/>
                    </w:rPr>
                  </w:pPr>
                </w:p>
              </w:tc>
              <w:tc>
                <w:tcPr>
                  <w:tcW w:w="867" w:type="pct"/>
                  <w:tcBorders>
                    <w:tl2br w:val="nil"/>
                    <w:tr2bl w:val="nil"/>
                  </w:tcBorders>
                  <w:shd w:val="clear" w:color="auto" w:fill="auto"/>
                  <w:noWrap w:val="0"/>
                  <w:vAlign w:val="center"/>
                </w:tcPr>
                <w:p w14:paraId="0759EF9E">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eastAsia" w:ascii="Times New Roman" w:hAnsi="Times New Roman" w:eastAsia="宋体" w:cs="Times New Roman"/>
                      <w:b/>
                      <w:color w:val="000000"/>
                      <w:sz w:val="21"/>
                      <w:highlight w:val="none"/>
                      <w:lang w:eastAsia="zh-CN"/>
                    </w:rPr>
                  </w:pPr>
                  <w:r>
                    <w:rPr>
                      <w:rFonts w:hint="eastAsia" w:ascii="Times New Roman" w:hAnsi="Times New Roman" w:cs="Times New Roman"/>
                      <w:b/>
                      <w:color w:val="000000"/>
                      <w:sz w:val="21"/>
                      <w:highlight w:val="none"/>
                      <w:lang w:val="en-US" w:eastAsia="zh-CN"/>
                    </w:rPr>
                    <w:t>经度</w:t>
                  </w:r>
                </w:p>
              </w:tc>
              <w:tc>
                <w:tcPr>
                  <w:tcW w:w="767" w:type="pct"/>
                  <w:tcBorders>
                    <w:tl2br w:val="nil"/>
                    <w:tr2bl w:val="nil"/>
                  </w:tcBorders>
                  <w:shd w:val="clear" w:color="auto" w:fill="auto"/>
                  <w:noWrap w:val="0"/>
                  <w:vAlign w:val="center"/>
                </w:tcPr>
                <w:p w14:paraId="11D80979">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b/>
                      <w:color w:val="000000"/>
                      <w:sz w:val="21"/>
                      <w:highlight w:val="none"/>
                      <w:lang w:val="en-US" w:eastAsia="zh-CN"/>
                    </w:rPr>
                  </w:pPr>
                  <w:r>
                    <w:rPr>
                      <w:rFonts w:hint="eastAsia" w:ascii="Times New Roman" w:hAnsi="Times New Roman" w:cs="Times New Roman"/>
                      <w:b/>
                      <w:color w:val="000000"/>
                      <w:sz w:val="21"/>
                      <w:highlight w:val="none"/>
                      <w:lang w:val="en-US" w:eastAsia="zh-CN"/>
                    </w:rPr>
                    <w:t>纬度</w:t>
                  </w:r>
                </w:p>
              </w:tc>
              <w:tc>
                <w:tcPr>
                  <w:tcW w:w="412" w:type="pct"/>
                  <w:vMerge w:val="continue"/>
                  <w:tcBorders>
                    <w:tl2br w:val="nil"/>
                    <w:tr2bl w:val="nil"/>
                  </w:tcBorders>
                  <w:shd w:val="clear" w:color="auto" w:fill="auto"/>
                  <w:noWrap w:val="0"/>
                  <w:vAlign w:val="center"/>
                </w:tcPr>
                <w:p w14:paraId="5E0DE8AF">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
                      <w:szCs w:val="2"/>
                      <w:highlight w:val="none"/>
                    </w:rPr>
                  </w:pPr>
                </w:p>
              </w:tc>
              <w:tc>
                <w:tcPr>
                  <w:tcW w:w="506" w:type="pct"/>
                  <w:vMerge w:val="continue"/>
                  <w:tcBorders>
                    <w:tl2br w:val="nil"/>
                    <w:tr2bl w:val="nil"/>
                  </w:tcBorders>
                  <w:shd w:val="clear" w:color="auto" w:fill="auto"/>
                  <w:noWrap w:val="0"/>
                  <w:vAlign w:val="center"/>
                </w:tcPr>
                <w:p w14:paraId="09FB3864">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
                      <w:szCs w:val="2"/>
                      <w:highlight w:val="none"/>
                    </w:rPr>
                  </w:pPr>
                </w:p>
              </w:tc>
              <w:tc>
                <w:tcPr>
                  <w:tcW w:w="530" w:type="pct"/>
                  <w:vMerge w:val="continue"/>
                  <w:tcBorders>
                    <w:right w:val="single" w:color="auto" w:sz="4" w:space="0"/>
                    <w:tl2br w:val="nil"/>
                    <w:tr2bl w:val="nil"/>
                  </w:tcBorders>
                  <w:shd w:val="clear" w:color="auto" w:fill="auto"/>
                  <w:noWrap w:val="0"/>
                  <w:vAlign w:val="center"/>
                </w:tcPr>
                <w:p w14:paraId="5B4773E7">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
                      <w:szCs w:val="2"/>
                      <w:highlight w:val="none"/>
                    </w:rPr>
                  </w:pPr>
                </w:p>
              </w:tc>
              <w:tc>
                <w:tcPr>
                  <w:tcW w:w="687" w:type="pct"/>
                  <w:vMerge w:val="continue"/>
                  <w:tcBorders>
                    <w:left w:val="single" w:color="auto" w:sz="4" w:space="0"/>
                    <w:tl2br w:val="nil"/>
                    <w:tr2bl w:val="nil"/>
                  </w:tcBorders>
                  <w:shd w:val="clear" w:color="auto" w:fill="auto"/>
                  <w:noWrap w:val="0"/>
                  <w:vAlign w:val="center"/>
                </w:tcPr>
                <w:p w14:paraId="6FB097C8">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
                      <w:szCs w:val="2"/>
                      <w:highlight w:val="none"/>
                    </w:rPr>
                  </w:pPr>
                </w:p>
              </w:tc>
            </w:tr>
            <w:tr w14:paraId="16E18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48" w:type="pct"/>
                  <w:vMerge w:val="restart"/>
                  <w:tcBorders>
                    <w:tl2br w:val="nil"/>
                    <w:tr2bl w:val="nil"/>
                  </w:tcBorders>
                  <w:shd w:val="clear" w:color="auto" w:fill="auto"/>
                  <w:noWrap w:val="0"/>
                  <w:vAlign w:val="center"/>
                </w:tcPr>
                <w:p w14:paraId="354128ED">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b w:val="0"/>
                      <w:bCs/>
                      <w:color w:val="000000"/>
                      <w:sz w:val="21"/>
                      <w:highlight w:val="none"/>
                    </w:rPr>
                  </w:pPr>
                  <w:r>
                    <w:rPr>
                      <w:rFonts w:hint="default" w:ascii="Times New Roman" w:hAnsi="Times New Roman" w:cs="Times New Roman"/>
                      <w:b w:val="0"/>
                      <w:bCs/>
                      <w:color w:val="000000"/>
                      <w:sz w:val="21"/>
                      <w:highlight w:val="none"/>
                    </w:rPr>
                    <w:t>环境空气</w:t>
                  </w:r>
                </w:p>
              </w:tc>
              <w:tc>
                <w:tcPr>
                  <w:tcW w:w="979" w:type="pct"/>
                  <w:tcBorders>
                    <w:tl2br w:val="nil"/>
                    <w:tr2bl w:val="nil"/>
                  </w:tcBorders>
                  <w:shd w:val="clear" w:color="auto" w:fill="auto"/>
                  <w:noWrap w:val="0"/>
                  <w:vAlign w:val="center"/>
                </w:tcPr>
                <w:p w14:paraId="607E2A18">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000000"/>
                      <w:sz w:val="21"/>
                      <w:highlight w:val="none"/>
                      <w:lang w:val="en-US" w:eastAsia="zh-CN"/>
                    </w:rPr>
                  </w:pPr>
                  <w:r>
                    <w:rPr>
                      <w:rFonts w:hint="eastAsia" w:ascii="Times New Roman" w:hAnsi="Times New Roman" w:cs="Times New Roman"/>
                      <w:color w:val="000000"/>
                      <w:spacing w:val="-1"/>
                      <w:sz w:val="21"/>
                      <w:highlight w:val="none"/>
                      <w:lang w:val="en-US" w:eastAsia="zh-CN"/>
                    </w:rPr>
                    <w:t>西北侧尹家务村</w:t>
                  </w:r>
                </w:p>
              </w:tc>
              <w:tc>
                <w:tcPr>
                  <w:tcW w:w="867" w:type="pct"/>
                  <w:tcBorders>
                    <w:tl2br w:val="nil"/>
                    <w:tr2bl w:val="nil"/>
                  </w:tcBorders>
                  <w:shd w:val="clear" w:color="auto" w:fill="auto"/>
                  <w:noWrap w:val="0"/>
                  <w:vAlign w:val="center"/>
                </w:tcPr>
                <w:p w14:paraId="7DE7E4FE">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1"/>
                      <w:highlight w:val="none"/>
                    </w:rPr>
                  </w:pPr>
                  <w:r>
                    <w:rPr>
                      <w:rFonts w:hint="default" w:ascii="Times New Roman" w:hAnsi="Times New Roman" w:cs="Times New Roman"/>
                      <w:color w:val="000000"/>
                      <w:sz w:val="21"/>
                      <w:highlight w:val="none"/>
                    </w:rPr>
                    <w:t>107.2983373</w:t>
                  </w:r>
                </w:p>
              </w:tc>
              <w:tc>
                <w:tcPr>
                  <w:tcW w:w="767" w:type="pct"/>
                  <w:tcBorders>
                    <w:tl2br w:val="nil"/>
                    <w:tr2bl w:val="nil"/>
                  </w:tcBorders>
                  <w:shd w:val="clear" w:color="auto" w:fill="auto"/>
                  <w:noWrap w:val="0"/>
                  <w:vAlign w:val="center"/>
                </w:tcPr>
                <w:p w14:paraId="6887FBB4">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1"/>
                      <w:highlight w:val="none"/>
                    </w:rPr>
                  </w:pPr>
                  <w:r>
                    <w:rPr>
                      <w:rFonts w:hint="default" w:ascii="Times New Roman" w:hAnsi="Times New Roman" w:cs="Times New Roman"/>
                      <w:color w:val="000000"/>
                      <w:sz w:val="21"/>
                      <w:highlight w:val="none"/>
                    </w:rPr>
                    <w:t>34.4638004</w:t>
                  </w:r>
                </w:p>
              </w:tc>
              <w:tc>
                <w:tcPr>
                  <w:tcW w:w="412" w:type="pct"/>
                  <w:tcBorders>
                    <w:tl2br w:val="nil"/>
                    <w:tr2bl w:val="nil"/>
                  </w:tcBorders>
                  <w:shd w:val="clear" w:color="auto" w:fill="auto"/>
                  <w:noWrap w:val="0"/>
                  <w:vAlign w:val="center"/>
                </w:tcPr>
                <w:p w14:paraId="218CE160">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000000"/>
                      <w:sz w:val="21"/>
                      <w:highlight w:val="none"/>
                      <w:lang w:val="en-US" w:eastAsia="zh-CN"/>
                    </w:rPr>
                  </w:pPr>
                  <w:r>
                    <w:rPr>
                      <w:rFonts w:hint="eastAsia" w:ascii="Times New Roman" w:hAnsi="Times New Roman" w:eastAsia="宋体" w:cs="Times New Roman"/>
                      <w:color w:val="000000"/>
                      <w:sz w:val="21"/>
                      <w:highlight w:val="none"/>
                      <w:lang w:val="en-US" w:eastAsia="zh-CN"/>
                    </w:rPr>
                    <w:t>WN</w:t>
                  </w:r>
                </w:p>
              </w:tc>
              <w:tc>
                <w:tcPr>
                  <w:tcW w:w="506" w:type="pct"/>
                  <w:tcBorders>
                    <w:bottom w:val="single" w:color="auto" w:sz="4" w:space="0"/>
                    <w:tl2br w:val="nil"/>
                    <w:tr2bl w:val="nil"/>
                  </w:tcBorders>
                  <w:shd w:val="clear" w:color="auto" w:fill="auto"/>
                  <w:noWrap w:val="0"/>
                  <w:vAlign w:val="center"/>
                </w:tcPr>
                <w:p w14:paraId="0CE30BB1">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000000"/>
                      <w:sz w:val="21"/>
                      <w:highlight w:val="none"/>
                      <w:lang w:val="en-US" w:eastAsia="zh-CN"/>
                    </w:rPr>
                  </w:pPr>
                  <w:r>
                    <w:rPr>
                      <w:rFonts w:hint="eastAsia" w:ascii="Times New Roman" w:hAnsi="Times New Roman" w:eastAsia="宋体" w:cs="Times New Roman"/>
                      <w:color w:val="000000"/>
                      <w:sz w:val="21"/>
                      <w:highlight w:val="none"/>
                      <w:lang w:val="en-US" w:eastAsia="zh-CN"/>
                    </w:rPr>
                    <w:t>20</w:t>
                  </w:r>
                </w:p>
              </w:tc>
              <w:tc>
                <w:tcPr>
                  <w:tcW w:w="530" w:type="pct"/>
                  <w:tcBorders>
                    <w:bottom w:val="single" w:color="auto" w:sz="4" w:space="0"/>
                    <w:right w:val="single" w:color="auto" w:sz="4" w:space="0"/>
                    <w:tl2br w:val="nil"/>
                    <w:tr2bl w:val="nil"/>
                  </w:tcBorders>
                  <w:shd w:val="clear" w:color="auto" w:fill="auto"/>
                  <w:noWrap w:val="0"/>
                  <w:vAlign w:val="center"/>
                </w:tcPr>
                <w:p w14:paraId="65F9D52F">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000000"/>
                      <w:sz w:val="21"/>
                      <w:highlight w:val="none"/>
                      <w:lang w:val="en-US" w:eastAsia="zh-CN"/>
                    </w:rPr>
                  </w:pPr>
                  <w:r>
                    <w:rPr>
                      <w:rFonts w:hint="eastAsia" w:ascii="Times New Roman" w:hAnsi="Times New Roman" w:cs="Times New Roman"/>
                      <w:color w:val="000000"/>
                      <w:spacing w:val="-6"/>
                      <w:sz w:val="21"/>
                      <w:highlight w:val="none"/>
                      <w:lang w:val="en-US" w:eastAsia="zh-CN"/>
                    </w:rPr>
                    <w:t>村民</w:t>
                  </w:r>
                </w:p>
              </w:tc>
              <w:tc>
                <w:tcPr>
                  <w:tcW w:w="687" w:type="pct"/>
                  <w:vMerge w:val="restart"/>
                  <w:tcBorders>
                    <w:left w:val="single" w:color="auto" w:sz="4" w:space="0"/>
                    <w:tl2br w:val="nil"/>
                    <w:tr2bl w:val="nil"/>
                  </w:tcBorders>
                  <w:shd w:val="clear" w:color="auto" w:fill="auto"/>
                  <w:noWrap w:val="0"/>
                  <w:vAlign w:val="center"/>
                </w:tcPr>
                <w:p w14:paraId="01D5F525">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1"/>
                      <w:highlight w:val="none"/>
                      <w:lang w:val="en-US" w:eastAsia="zh-CN"/>
                    </w:rPr>
                  </w:pPr>
                  <w:r>
                    <w:rPr>
                      <w:rFonts w:hint="default" w:ascii="Times New Roman" w:hAnsi="Times New Roman" w:cs="Times New Roman"/>
                      <w:color w:val="000000"/>
                      <w:sz w:val="21"/>
                      <w:highlight w:val="none"/>
                      <w:lang w:val="en-US" w:eastAsia="zh-CN"/>
                    </w:rPr>
                    <w:t>二类功能区</w:t>
                  </w:r>
                </w:p>
              </w:tc>
            </w:tr>
            <w:tr w14:paraId="1E641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48" w:type="pct"/>
                  <w:vMerge w:val="continue"/>
                  <w:tcBorders>
                    <w:tl2br w:val="nil"/>
                    <w:tr2bl w:val="nil"/>
                  </w:tcBorders>
                  <w:shd w:val="clear" w:color="auto" w:fill="auto"/>
                  <w:noWrap w:val="0"/>
                  <w:vAlign w:val="center"/>
                </w:tcPr>
                <w:p w14:paraId="6379A5D6">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b w:val="0"/>
                      <w:bCs/>
                      <w:color w:val="000000"/>
                      <w:sz w:val="21"/>
                      <w:highlight w:val="none"/>
                    </w:rPr>
                  </w:pPr>
                </w:p>
              </w:tc>
              <w:tc>
                <w:tcPr>
                  <w:tcW w:w="979" w:type="pct"/>
                  <w:tcBorders>
                    <w:tl2br w:val="nil"/>
                    <w:tr2bl w:val="nil"/>
                  </w:tcBorders>
                  <w:shd w:val="clear" w:color="auto" w:fill="auto"/>
                  <w:noWrap w:val="0"/>
                  <w:vAlign w:val="center"/>
                </w:tcPr>
                <w:p w14:paraId="19DBC8F4">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eastAsia" w:ascii="Times New Roman" w:hAnsi="Times New Roman" w:eastAsia="宋体" w:cs="Times New Roman"/>
                      <w:color w:val="000000"/>
                      <w:sz w:val="21"/>
                      <w:highlight w:val="none"/>
                      <w:lang w:val="en-US" w:eastAsia="zh-CN"/>
                    </w:rPr>
                  </w:pPr>
                  <w:r>
                    <w:rPr>
                      <w:rFonts w:hint="eastAsia" w:ascii="Times New Roman" w:hAnsi="Times New Roman" w:cs="Times New Roman"/>
                      <w:color w:val="000000"/>
                      <w:spacing w:val="-1"/>
                      <w:sz w:val="21"/>
                      <w:highlight w:val="none"/>
                      <w:lang w:val="en-US" w:eastAsia="zh-CN"/>
                    </w:rPr>
                    <w:t>东北侧尹家务村</w:t>
                  </w:r>
                </w:p>
              </w:tc>
              <w:tc>
                <w:tcPr>
                  <w:tcW w:w="867" w:type="pct"/>
                  <w:tcBorders>
                    <w:tl2br w:val="nil"/>
                    <w:tr2bl w:val="nil"/>
                  </w:tcBorders>
                  <w:shd w:val="clear" w:color="auto" w:fill="auto"/>
                  <w:noWrap w:val="0"/>
                  <w:vAlign w:val="center"/>
                </w:tcPr>
                <w:p w14:paraId="77D059B0">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1"/>
                      <w:highlight w:val="none"/>
                    </w:rPr>
                  </w:pPr>
                  <w:r>
                    <w:rPr>
                      <w:rFonts w:hint="default" w:ascii="Times New Roman" w:hAnsi="Times New Roman" w:cs="Times New Roman"/>
                      <w:color w:val="000000"/>
                      <w:sz w:val="21"/>
                      <w:highlight w:val="none"/>
                    </w:rPr>
                    <w:t>107.3010839</w:t>
                  </w:r>
                </w:p>
              </w:tc>
              <w:tc>
                <w:tcPr>
                  <w:tcW w:w="767" w:type="pct"/>
                  <w:tcBorders>
                    <w:tl2br w:val="nil"/>
                    <w:tr2bl w:val="nil"/>
                  </w:tcBorders>
                  <w:shd w:val="clear" w:color="auto" w:fill="auto"/>
                  <w:noWrap w:val="0"/>
                  <w:vAlign w:val="center"/>
                </w:tcPr>
                <w:p w14:paraId="5F804DAA">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1"/>
                      <w:highlight w:val="none"/>
                    </w:rPr>
                  </w:pPr>
                  <w:r>
                    <w:rPr>
                      <w:rFonts w:hint="default" w:ascii="Times New Roman" w:hAnsi="Times New Roman" w:cs="Times New Roman"/>
                      <w:color w:val="000000"/>
                      <w:sz w:val="21"/>
                      <w:highlight w:val="none"/>
                    </w:rPr>
                    <w:t>34.4638755</w:t>
                  </w:r>
                </w:p>
              </w:tc>
              <w:tc>
                <w:tcPr>
                  <w:tcW w:w="412" w:type="pct"/>
                  <w:tcBorders>
                    <w:tl2br w:val="nil"/>
                    <w:tr2bl w:val="nil"/>
                  </w:tcBorders>
                  <w:shd w:val="clear" w:color="auto" w:fill="auto"/>
                  <w:noWrap w:val="0"/>
                  <w:vAlign w:val="center"/>
                </w:tcPr>
                <w:p w14:paraId="49377F81">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000000"/>
                      <w:sz w:val="21"/>
                      <w:highlight w:val="none"/>
                      <w:lang w:val="en-US" w:eastAsia="zh-CN"/>
                    </w:rPr>
                  </w:pPr>
                  <w:r>
                    <w:rPr>
                      <w:rFonts w:hint="eastAsia" w:ascii="Times New Roman" w:hAnsi="Times New Roman" w:eastAsia="宋体" w:cs="Times New Roman"/>
                      <w:color w:val="000000"/>
                      <w:sz w:val="21"/>
                      <w:highlight w:val="none"/>
                      <w:lang w:val="en-US" w:eastAsia="zh-CN"/>
                    </w:rPr>
                    <w:t>EN</w:t>
                  </w:r>
                </w:p>
              </w:tc>
              <w:tc>
                <w:tcPr>
                  <w:tcW w:w="506" w:type="pct"/>
                  <w:tcBorders>
                    <w:top w:val="single" w:color="auto" w:sz="4" w:space="0"/>
                    <w:tl2br w:val="nil"/>
                    <w:tr2bl w:val="nil"/>
                  </w:tcBorders>
                  <w:shd w:val="clear" w:color="auto" w:fill="auto"/>
                  <w:noWrap w:val="0"/>
                  <w:vAlign w:val="center"/>
                </w:tcPr>
                <w:p w14:paraId="503D423C">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40</w:t>
                  </w:r>
                </w:p>
              </w:tc>
              <w:tc>
                <w:tcPr>
                  <w:tcW w:w="530" w:type="pct"/>
                  <w:tcBorders>
                    <w:top w:val="single" w:color="auto" w:sz="4" w:space="0"/>
                    <w:bottom w:val="single" w:color="auto" w:sz="4" w:space="0"/>
                    <w:right w:val="single" w:color="auto" w:sz="4" w:space="0"/>
                    <w:tl2br w:val="nil"/>
                    <w:tr2bl w:val="nil"/>
                  </w:tcBorders>
                  <w:shd w:val="clear" w:color="auto" w:fill="auto"/>
                  <w:noWrap w:val="0"/>
                  <w:vAlign w:val="center"/>
                </w:tcPr>
                <w:p w14:paraId="55DCCBC2">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1"/>
                      <w:highlight w:val="none"/>
                      <w:lang w:val="en-US" w:eastAsia="zh-CN"/>
                    </w:rPr>
                  </w:pPr>
                  <w:r>
                    <w:rPr>
                      <w:rFonts w:hint="eastAsia" w:ascii="Times New Roman" w:hAnsi="Times New Roman" w:cs="Times New Roman"/>
                      <w:color w:val="000000"/>
                      <w:spacing w:val="-6"/>
                      <w:sz w:val="21"/>
                      <w:highlight w:val="none"/>
                      <w:lang w:val="en-US" w:eastAsia="zh-CN"/>
                    </w:rPr>
                    <w:t>村民</w:t>
                  </w:r>
                </w:p>
              </w:tc>
              <w:tc>
                <w:tcPr>
                  <w:tcW w:w="687" w:type="pct"/>
                  <w:vMerge w:val="continue"/>
                  <w:tcBorders>
                    <w:left w:val="single" w:color="auto" w:sz="4" w:space="0"/>
                    <w:tl2br w:val="nil"/>
                    <w:tr2bl w:val="nil"/>
                  </w:tcBorders>
                  <w:shd w:val="clear" w:color="auto" w:fill="auto"/>
                  <w:noWrap w:val="0"/>
                  <w:vAlign w:val="center"/>
                </w:tcPr>
                <w:p w14:paraId="5179040D">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1"/>
                      <w:highlight w:val="none"/>
                      <w:lang w:val="en-US" w:eastAsia="zh-CN"/>
                    </w:rPr>
                  </w:pPr>
                </w:p>
              </w:tc>
            </w:tr>
            <w:tr w14:paraId="639D4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48" w:type="pct"/>
                  <w:vMerge w:val="continue"/>
                  <w:tcBorders>
                    <w:tl2br w:val="nil"/>
                    <w:tr2bl w:val="nil"/>
                  </w:tcBorders>
                  <w:shd w:val="clear" w:color="auto" w:fill="auto"/>
                  <w:noWrap w:val="0"/>
                  <w:vAlign w:val="center"/>
                </w:tcPr>
                <w:p w14:paraId="0A273C15">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b w:val="0"/>
                      <w:bCs/>
                      <w:color w:val="000000"/>
                      <w:sz w:val="21"/>
                      <w:highlight w:val="none"/>
                    </w:rPr>
                  </w:pPr>
                </w:p>
              </w:tc>
              <w:tc>
                <w:tcPr>
                  <w:tcW w:w="979" w:type="pct"/>
                  <w:tcBorders>
                    <w:tl2br w:val="nil"/>
                    <w:tr2bl w:val="nil"/>
                  </w:tcBorders>
                  <w:shd w:val="clear" w:color="auto" w:fill="auto"/>
                  <w:noWrap w:val="0"/>
                  <w:vAlign w:val="center"/>
                </w:tcPr>
                <w:p w14:paraId="3E8FFC30">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leftChars="0" w:right="0" w:rightChars="0" w:firstLine="0" w:firstLineChars="0"/>
                    <w:jc w:val="both"/>
                    <w:textAlignment w:val="auto"/>
                    <w:rPr>
                      <w:rFonts w:hint="default" w:ascii="Times New Roman" w:hAnsi="Times New Roman" w:eastAsia="宋体" w:cs="Times New Roman"/>
                      <w:color w:val="000000"/>
                      <w:sz w:val="21"/>
                      <w:highlight w:val="none"/>
                      <w:lang w:val="en-US" w:eastAsia="zh-CN"/>
                    </w:rPr>
                  </w:pPr>
                  <w:r>
                    <w:rPr>
                      <w:rFonts w:hint="eastAsia" w:ascii="Times New Roman" w:hAnsi="Times New Roman" w:eastAsia="宋体" w:cs="Times New Roman"/>
                      <w:color w:val="000000"/>
                      <w:sz w:val="21"/>
                      <w:highlight w:val="none"/>
                      <w:lang w:val="en-US" w:eastAsia="zh-CN"/>
                    </w:rPr>
                    <w:t>西南侧</w:t>
                  </w:r>
                  <w:r>
                    <w:rPr>
                      <w:rFonts w:hint="eastAsia" w:ascii="Times New Roman" w:hAnsi="Times New Roman" w:cs="Times New Roman"/>
                      <w:color w:val="000000"/>
                      <w:spacing w:val="-1"/>
                      <w:sz w:val="21"/>
                      <w:highlight w:val="none"/>
                      <w:lang w:val="en-US" w:eastAsia="zh-CN"/>
                    </w:rPr>
                    <w:t>尹家务村</w:t>
                  </w:r>
                </w:p>
              </w:tc>
              <w:tc>
                <w:tcPr>
                  <w:tcW w:w="867" w:type="pct"/>
                  <w:tcBorders>
                    <w:tl2br w:val="nil"/>
                    <w:tr2bl w:val="nil"/>
                  </w:tcBorders>
                  <w:shd w:val="clear" w:color="auto" w:fill="auto"/>
                  <w:noWrap w:val="0"/>
                  <w:vAlign w:val="center"/>
                </w:tcPr>
                <w:p w14:paraId="64CDCF8A">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1"/>
                      <w:highlight w:val="none"/>
                    </w:rPr>
                  </w:pPr>
                  <w:r>
                    <w:rPr>
                      <w:rFonts w:hint="default" w:ascii="Times New Roman" w:hAnsi="Times New Roman" w:cs="Times New Roman"/>
                      <w:color w:val="000000"/>
                      <w:sz w:val="21"/>
                      <w:highlight w:val="none"/>
                    </w:rPr>
                    <w:t>107.3020280</w:t>
                  </w:r>
                </w:p>
              </w:tc>
              <w:tc>
                <w:tcPr>
                  <w:tcW w:w="767" w:type="pct"/>
                  <w:tcBorders>
                    <w:tl2br w:val="nil"/>
                    <w:tr2bl w:val="nil"/>
                  </w:tcBorders>
                  <w:shd w:val="clear" w:color="auto" w:fill="auto"/>
                  <w:noWrap w:val="0"/>
                  <w:vAlign w:val="center"/>
                </w:tcPr>
                <w:p w14:paraId="2B19469E">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1"/>
                      <w:highlight w:val="none"/>
                    </w:rPr>
                  </w:pPr>
                  <w:r>
                    <w:rPr>
                      <w:rFonts w:hint="default" w:ascii="Times New Roman" w:hAnsi="Times New Roman" w:cs="Times New Roman"/>
                      <w:color w:val="000000"/>
                      <w:sz w:val="21"/>
                      <w:highlight w:val="none"/>
                    </w:rPr>
                    <w:t>34.4616654</w:t>
                  </w:r>
                </w:p>
              </w:tc>
              <w:tc>
                <w:tcPr>
                  <w:tcW w:w="412" w:type="pct"/>
                  <w:tcBorders>
                    <w:tl2br w:val="nil"/>
                    <w:tr2bl w:val="nil"/>
                  </w:tcBorders>
                  <w:shd w:val="clear" w:color="auto" w:fill="auto"/>
                  <w:noWrap w:val="0"/>
                  <w:vAlign w:val="center"/>
                </w:tcPr>
                <w:p w14:paraId="58316AA5">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000000"/>
                      <w:sz w:val="21"/>
                      <w:highlight w:val="none"/>
                      <w:lang w:val="en-US" w:eastAsia="zh-CN"/>
                    </w:rPr>
                  </w:pPr>
                  <w:r>
                    <w:rPr>
                      <w:rFonts w:hint="eastAsia" w:ascii="Times New Roman" w:hAnsi="Times New Roman" w:eastAsia="宋体" w:cs="Times New Roman"/>
                      <w:color w:val="000000"/>
                      <w:sz w:val="21"/>
                      <w:highlight w:val="none"/>
                      <w:lang w:val="en-US" w:eastAsia="zh-CN"/>
                    </w:rPr>
                    <w:t>WS</w:t>
                  </w:r>
                </w:p>
              </w:tc>
              <w:tc>
                <w:tcPr>
                  <w:tcW w:w="506" w:type="pct"/>
                  <w:tcBorders>
                    <w:tl2br w:val="nil"/>
                    <w:tr2bl w:val="nil"/>
                  </w:tcBorders>
                  <w:shd w:val="clear" w:color="auto" w:fill="auto"/>
                  <w:noWrap w:val="0"/>
                  <w:vAlign w:val="center"/>
                </w:tcPr>
                <w:p w14:paraId="50191EFC">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80</w:t>
                  </w:r>
                </w:p>
              </w:tc>
              <w:tc>
                <w:tcPr>
                  <w:tcW w:w="530" w:type="pct"/>
                  <w:tcBorders>
                    <w:top w:val="single" w:color="auto" w:sz="4" w:space="0"/>
                    <w:bottom w:val="single" w:color="auto" w:sz="4" w:space="0"/>
                    <w:right w:val="single" w:color="auto" w:sz="4" w:space="0"/>
                    <w:tl2br w:val="nil"/>
                    <w:tr2bl w:val="nil"/>
                  </w:tcBorders>
                  <w:shd w:val="clear" w:color="auto" w:fill="auto"/>
                  <w:noWrap w:val="0"/>
                  <w:vAlign w:val="center"/>
                </w:tcPr>
                <w:p w14:paraId="5F06A20D">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1"/>
                      <w:highlight w:val="none"/>
                      <w:lang w:val="en-US" w:eastAsia="zh-CN"/>
                    </w:rPr>
                  </w:pPr>
                  <w:r>
                    <w:rPr>
                      <w:rFonts w:hint="eastAsia" w:ascii="Times New Roman" w:hAnsi="Times New Roman" w:cs="Times New Roman"/>
                      <w:color w:val="000000"/>
                      <w:spacing w:val="-6"/>
                      <w:sz w:val="21"/>
                      <w:highlight w:val="none"/>
                      <w:lang w:val="en-US" w:eastAsia="zh-CN"/>
                    </w:rPr>
                    <w:t>村民</w:t>
                  </w:r>
                </w:p>
              </w:tc>
              <w:tc>
                <w:tcPr>
                  <w:tcW w:w="687" w:type="pct"/>
                  <w:vMerge w:val="continue"/>
                  <w:tcBorders>
                    <w:left w:val="single" w:color="auto" w:sz="4" w:space="0"/>
                    <w:tl2br w:val="nil"/>
                    <w:tr2bl w:val="nil"/>
                  </w:tcBorders>
                  <w:shd w:val="clear" w:color="auto" w:fill="auto"/>
                  <w:noWrap w:val="0"/>
                  <w:vAlign w:val="center"/>
                </w:tcPr>
                <w:p w14:paraId="25D0C291">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1"/>
                      <w:highlight w:val="none"/>
                      <w:lang w:val="en-US" w:eastAsia="zh-CN"/>
                    </w:rPr>
                  </w:pPr>
                </w:p>
              </w:tc>
            </w:tr>
            <w:tr w14:paraId="31275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48" w:type="pct"/>
                  <w:vMerge w:val="continue"/>
                  <w:tcBorders>
                    <w:tl2br w:val="nil"/>
                    <w:tr2bl w:val="nil"/>
                  </w:tcBorders>
                  <w:shd w:val="clear" w:color="auto" w:fill="auto"/>
                  <w:noWrap w:val="0"/>
                  <w:vAlign w:val="center"/>
                </w:tcPr>
                <w:p w14:paraId="20BEF69B">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b w:val="0"/>
                      <w:bCs/>
                      <w:color w:val="000000"/>
                      <w:sz w:val="2"/>
                      <w:szCs w:val="2"/>
                      <w:highlight w:val="none"/>
                    </w:rPr>
                  </w:pPr>
                </w:p>
              </w:tc>
              <w:tc>
                <w:tcPr>
                  <w:tcW w:w="979" w:type="pct"/>
                  <w:tcBorders>
                    <w:tl2br w:val="nil"/>
                    <w:tr2bl w:val="nil"/>
                  </w:tcBorders>
                  <w:shd w:val="clear" w:color="auto" w:fill="auto"/>
                  <w:noWrap w:val="0"/>
                  <w:vAlign w:val="center"/>
                </w:tcPr>
                <w:p w14:paraId="081FAD48">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000000"/>
                      <w:sz w:val="21"/>
                      <w:highlight w:val="none"/>
                      <w:lang w:val="en-US" w:eastAsia="zh-CN"/>
                    </w:rPr>
                  </w:pPr>
                  <w:r>
                    <w:rPr>
                      <w:rFonts w:hint="eastAsia" w:ascii="Times New Roman" w:hAnsi="Times New Roman" w:eastAsia="宋体" w:cs="Times New Roman"/>
                      <w:color w:val="000000"/>
                      <w:sz w:val="21"/>
                      <w:highlight w:val="none"/>
                      <w:lang w:val="en-US" w:eastAsia="zh-CN"/>
                    </w:rPr>
                    <w:t>尹家务中学</w:t>
                  </w:r>
                </w:p>
              </w:tc>
              <w:tc>
                <w:tcPr>
                  <w:tcW w:w="867" w:type="pct"/>
                  <w:tcBorders>
                    <w:tl2br w:val="nil"/>
                    <w:tr2bl w:val="nil"/>
                  </w:tcBorders>
                  <w:shd w:val="clear" w:color="auto" w:fill="auto"/>
                  <w:noWrap w:val="0"/>
                  <w:vAlign w:val="center"/>
                </w:tcPr>
                <w:p w14:paraId="44006531">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cs="Times New Roman"/>
                      <w:color w:val="000000"/>
                      <w:spacing w:val="-1"/>
                      <w:kern w:val="0"/>
                      <w:sz w:val="21"/>
                      <w:szCs w:val="22"/>
                      <w:highlight w:val="none"/>
                      <w:lang w:val="en-US" w:eastAsia="en-US" w:bidi="ar-SA"/>
                    </w:rPr>
                  </w:pPr>
                  <w:r>
                    <w:rPr>
                      <w:rFonts w:hint="default" w:ascii="Times New Roman" w:hAnsi="Times New Roman" w:cs="Times New Roman"/>
                      <w:color w:val="000000"/>
                      <w:spacing w:val="-1"/>
                      <w:sz w:val="21"/>
                      <w:highlight w:val="none"/>
                    </w:rPr>
                    <w:t>107.3000083</w:t>
                  </w:r>
                </w:p>
              </w:tc>
              <w:tc>
                <w:tcPr>
                  <w:tcW w:w="767" w:type="pct"/>
                  <w:tcBorders>
                    <w:tl2br w:val="nil"/>
                    <w:tr2bl w:val="nil"/>
                  </w:tcBorders>
                  <w:shd w:val="clear" w:color="auto" w:fill="auto"/>
                  <w:noWrap w:val="0"/>
                  <w:vAlign w:val="center"/>
                </w:tcPr>
                <w:p w14:paraId="7A1B4CDB">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cs="Times New Roman"/>
                      <w:color w:val="000000"/>
                      <w:kern w:val="0"/>
                      <w:sz w:val="21"/>
                      <w:szCs w:val="22"/>
                      <w:highlight w:val="none"/>
                      <w:lang w:val="en-US" w:eastAsia="zh-CN" w:bidi="ar-SA"/>
                    </w:rPr>
                  </w:pPr>
                  <w:r>
                    <w:rPr>
                      <w:rFonts w:hint="default" w:ascii="Times New Roman" w:hAnsi="Times New Roman" w:cs="Times New Roman"/>
                      <w:color w:val="000000"/>
                      <w:spacing w:val="-1"/>
                      <w:sz w:val="21"/>
                      <w:highlight w:val="none"/>
                    </w:rPr>
                    <w:t>34.4619443</w:t>
                  </w:r>
                </w:p>
              </w:tc>
              <w:tc>
                <w:tcPr>
                  <w:tcW w:w="412" w:type="pct"/>
                  <w:tcBorders>
                    <w:tl2br w:val="nil"/>
                    <w:tr2bl w:val="nil"/>
                  </w:tcBorders>
                  <w:shd w:val="clear" w:color="auto" w:fill="auto"/>
                  <w:noWrap w:val="0"/>
                  <w:vAlign w:val="center"/>
                </w:tcPr>
                <w:p w14:paraId="02D686AC">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000000"/>
                      <w:sz w:val="21"/>
                      <w:highlight w:val="none"/>
                      <w:lang w:val="en-US" w:eastAsia="zh-CN"/>
                    </w:rPr>
                  </w:pPr>
                  <w:r>
                    <w:rPr>
                      <w:rFonts w:hint="eastAsia" w:ascii="Times New Roman" w:hAnsi="Times New Roman" w:eastAsia="宋体" w:cs="Times New Roman"/>
                      <w:color w:val="000000"/>
                      <w:sz w:val="21"/>
                      <w:highlight w:val="none"/>
                      <w:lang w:val="en-US" w:eastAsia="zh-CN"/>
                    </w:rPr>
                    <w:t>WS</w:t>
                  </w:r>
                </w:p>
              </w:tc>
              <w:tc>
                <w:tcPr>
                  <w:tcW w:w="506" w:type="pct"/>
                  <w:tcBorders>
                    <w:tl2br w:val="nil"/>
                    <w:tr2bl w:val="nil"/>
                  </w:tcBorders>
                  <w:shd w:val="clear" w:color="auto" w:fill="auto"/>
                  <w:noWrap w:val="0"/>
                  <w:vAlign w:val="center"/>
                </w:tcPr>
                <w:p w14:paraId="00D224E8">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000000"/>
                      <w:sz w:val="21"/>
                      <w:highlight w:val="none"/>
                      <w:lang w:val="en-US" w:eastAsia="zh-CN"/>
                    </w:rPr>
                  </w:pPr>
                  <w:r>
                    <w:rPr>
                      <w:rFonts w:hint="eastAsia" w:ascii="Times New Roman" w:hAnsi="Times New Roman" w:eastAsia="宋体" w:cs="Times New Roman"/>
                      <w:color w:val="000000"/>
                      <w:sz w:val="21"/>
                      <w:highlight w:val="none"/>
                      <w:lang w:val="en-US" w:eastAsia="zh-CN"/>
                    </w:rPr>
                    <w:t>10</w:t>
                  </w:r>
                </w:p>
              </w:tc>
              <w:tc>
                <w:tcPr>
                  <w:tcW w:w="530" w:type="pct"/>
                  <w:tcBorders>
                    <w:top w:val="single" w:color="auto" w:sz="4" w:space="0"/>
                    <w:bottom w:val="single" w:color="auto" w:sz="4" w:space="0"/>
                    <w:right w:val="single" w:color="auto" w:sz="4" w:space="0"/>
                    <w:tl2br w:val="nil"/>
                    <w:tr2bl w:val="nil"/>
                  </w:tcBorders>
                  <w:shd w:val="clear" w:color="auto" w:fill="auto"/>
                  <w:noWrap w:val="0"/>
                  <w:vAlign w:val="center"/>
                </w:tcPr>
                <w:p w14:paraId="00BD0121">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
                      <w:szCs w:val="2"/>
                      <w:highlight w:val="none"/>
                    </w:rPr>
                  </w:pPr>
                  <w:r>
                    <w:rPr>
                      <w:rFonts w:hint="eastAsia" w:ascii="Times New Roman" w:hAnsi="Times New Roman" w:cs="Times New Roman"/>
                      <w:color w:val="000000"/>
                      <w:sz w:val="21"/>
                      <w:highlight w:val="none"/>
                      <w:lang w:val="en-US" w:eastAsia="zh-CN"/>
                    </w:rPr>
                    <w:t>师生</w:t>
                  </w:r>
                </w:p>
              </w:tc>
              <w:tc>
                <w:tcPr>
                  <w:tcW w:w="687" w:type="pct"/>
                  <w:vMerge w:val="continue"/>
                  <w:tcBorders>
                    <w:left w:val="single" w:color="auto" w:sz="4" w:space="0"/>
                    <w:tl2br w:val="nil"/>
                    <w:tr2bl w:val="nil"/>
                  </w:tcBorders>
                  <w:shd w:val="clear" w:color="auto" w:fill="auto"/>
                  <w:noWrap w:val="0"/>
                  <w:vAlign w:val="center"/>
                </w:tcPr>
                <w:p w14:paraId="0E4D3159">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
                      <w:szCs w:val="2"/>
                      <w:highlight w:val="none"/>
                    </w:rPr>
                  </w:pPr>
                </w:p>
              </w:tc>
            </w:tr>
            <w:tr w14:paraId="43A3C9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5" w:hRule="atLeast"/>
              </w:trPr>
              <w:tc>
                <w:tcPr>
                  <w:tcW w:w="248" w:type="pct"/>
                  <w:vMerge w:val="continue"/>
                  <w:tcBorders>
                    <w:tl2br w:val="nil"/>
                    <w:tr2bl w:val="nil"/>
                  </w:tcBorders>
                  <w:shd w:val="clear" w:color="auto" w:fill="auto"/>
                  <w:noWrap w:val="0"/>
                  <w:vAlign w:val="center"/>
                </w:tcPr>
                <w:p w14:paraId="66720B8A">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b w:val="0"/>
                      <w:bCs/>
                      <w:color w:val="000000"/>
                      <w:sz w:val="2"/>
                      <w:szCs w:val="2"/>
                      <w:highlight w:val="none"/>
                    </w:rPr>
                  </w:pPr>
                </w:p>
              </w:tc>
              <w:tc>
                <w:tcPr>
                  <w:tcW w:w="979" w:type="pct"/>
                  <w:tcBorders>
                    <w:tl2br w:val="nil"/>
                    <w:tr2bl w:val="nil"/>
                  </w:tcBorders>
                  <w:shd w:val="clear" w:color="auto" w:fill="auto"/>
                  <w:noWrap w:val="0"/>
                  <w:vAlign w:val="center"/>
                </w:tcPr>
                <w:p w14:paraId="28AE9A66">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000000"/>
                      <w:sz w:val="21"/>
                      <w:highlight w:val="none"/>
                      <w:lang w:val="en-US" w:eastAsia="zh-CN"/>
                    </w:rPr>
                  </w:pPr>
                  <w:r>
                    <w:rPr>
                      <w:rFonts w:hint="eastAsia" w:ascii="Times New Roman" w:hAnsi="Times New Roman" w:eastAsia="宋体" w:cs="Times New Roman"/>
                      <w:color w:val="000000"/>
                      <w:sz w:val="21"/>
                      <w:highlight w:val="none"/>
                      <w:lang w:val="en-US" w:eastAsia="zh-CN"/>
                    </w:rPr>
                    <w:t>尹家务中心小学</w:t>
                  </w:r>
                </w:p>
              </w:tc>
              <w:tc>
                <w:tcPr>
                  <w:tcW w:w="867" w:type="pct"/>
                  <w:tcBorders>
                    <w:tl2br w:val="nil"/>
                    <w:tr2bl w:val="nil"/>
                  </w:tcBorders>
                  <w:shd w:val="clear" w:color="auto" w:fill="auto"/>
                  <w:noWrap w:val="0"/>
                  <w:vAlign w:val="center"/>
                </w:tcPr>
                <w:p w14:paraId="2BAA66E8">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1"/>
                      <w:highlight w:val="none"/>
                    </w:rPr>
                  </w:pPr>
                  <w:r>
                    <w:rPr>
                      <w:rFonts w:hint="default" w:ascii="Times New Roman" w:hAnsi="Times New Roman" w:cs="Times New Roman"/>
                      <w:color w:val="000000"/>
                      <w:sz w:val="21"/>
                      <w:highlight w:val="none"/>
                    </w:rPr>
                    <w:t>107.3021005</w:t>
                  </w:r>
                </w:p>
              </w:tc>
              <w:tc>
                <w:tcPr>
                  <w:tcW w:w="767" w:type="pct"/>
                  <w:tcBorders>
                    <w:tl2br w:val="nil"/>
                    <w:tr2bl w:val="nil"/>
                  </w:tcBorders>
                  <w:shd w:val="clear" w:color="auto" w:fill="auto"/>
                  <w:noWrap w:val="0"/>
                  <w:vAlign w:val="center"/>
                </w:tcPr>
                <w:p w14:paraId="2E3BBABD">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1"/>
                      <w:highlight w:val="none"/>
                    </w:rPr>
                  </w:pPr>
                  <w:r>
                    <w:rPr>
                      <w:rFonts w:hint="default" w:ascii="Times New Roman" w:hAnsi="Times New Roman" w:cs="Times New Roman"/>
                      <w:color w:val="000000"/>
                      <w:sz w:val="21"/>
                      <w:highlight w:val="none"/>
                    </w:rPr>
                    <w:t>34.4628938</w:t>
                  </w:r>
                </w:p>
              </w:tc>
              <w:tc>
                <w:tcPr>
                  <w:tcW w:w="412" w:type="pct"/>
                  <w:tcBorders>
                    <w:tl2br w:val="nil"/>
                    <w:tr2bl w:val="nil"/>
                  </w:tcBorders>
                  <w:shd w:val="clear" w:color="auto" w:fill="auto"/>
                  <w:noWrap w:val="0"/>
                  <w:vAlign w:val="center"/>
                </w:tcPr>
                <w:p w14:paraId="3B1D5936">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000000"/>
                      <w:sz w:val="21"/>
                      <w:highlight w:val="none"/>
                      <w:lang w:val="en-US" w:eastAsia="zh-CN"/>
                    </w:rPr>
                  </w:pPr>
                  <w:r>
                    <w:rPr>
                      <w:rFonts w:hint="eastAsia" w:ascii="Times New Roman" w:hAnsi="Times New Roman" w:eastAsia="宋体" w:cs="Times New Roman"/>
                      <w:color w:val="000000"/>
                      <w:sz w:val="21"/>
                      <w:highlight w:val="none"/>
                      <w:lang w:val="en-US" w:eastAsia="zh-CN"/>
                    </w:rPr>
                    <w:t>ES</w:t>
                  </w:r>
                </w:p>
              </w:tc>
              <w:tc>
                <w:tcPr>
                  <w:tcW w:w="506" w:type="pct"/>
                  <w:tcBorders>
                    <w:tl2br w:val="nil"/>
                    <w:tr2bl w:val="nil"/>
                  </w:tcBorders>
                  <w:shd w:val="clear" w:color="auto" w:fill="auto"/>
                  <w:noWrap w:val="0"/>
                  <w:vAlign w:val="center"/>
                </w:tcPr>
                <w:p w14:paraId="11ADBC18">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eastAsia="宋体" w:cs="Times New Roman"/>
                      <w:color w:val="000000"/>
                      <w:sz w:val="21"/>
                      <w:highlight w:val="none"/>
                      <w:lang w:val="en-US" w:eastAsia="zh-CN"/>
                    </w:rPr>
                  </w:pPr>
                  <w:r>
                    <w:rPr>
                      <w:rFonts w:hint="eastAsia" w:ascii="Times New Roman" w:hAnsi="Times New Roman" w:eastAsia="宋体" w:cs="Times New Roman"/>
                      <w:color w:val="000000"/>
                      <w:sz w:val="21"/>
                      <w:highlight w:val="none"/>
                      <w:lang w:val="en-US" w:eastAsia="zh-CN"/>
                    </w:rPr>
                    <w:t>120</w:t>
                  </w:r>
                </w:p>
              </w:tc>
              <w:tc>
                <w:tcPr>
                  <w:tcW w:w="530" w:type="pct"/>
                  <w:tcBorders>
                    <w:top w:val="single" w:color="auto" w:sz="4" w:space="0"/>
                    <w:bottom w:val="single" w:color="auto" w:sz="4" w:space="0"/>
                    <w:right w:val="single" w:color="auto" w:sz="4" w:space="0"/>
                    <w:tl2br w:val="nil"/>
                    <w:tr2bl w:val="nil"/>
                  </w:tcBorders>
                  <w:shd w:val="clear" w:color="auto" w:fill="auto"/>
                  <w:noWrap w:val="0"/>
                  <w:vAlign w:val="center"/>
                </w:tcPr>
                <w:p w14:paraId="4CCA8D82">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
                      <w:szCs w:val="2"/>
                      <w:highlight w:val="none"/>
                    </w:rPr>
                  </w:pPr>
                  <w:r>
                    <w:rPr>
                      <w:rFonts w:hint="eastAsia" w:ascii="Times New Roman" w:hAnsi="Times New Roman" w:cs="Times New Roman"/>
                      <w:color w:val="000000"/>
                      <w:sz w:val="21"/>
                      <w:highlight w:val="none"/>
                      <w:lang w:val="en-US" w:eastAsia="zh-CN"/>
                    </w:rPr>
                    <w:t>师生</w:t>
                  </w:r>
                </w:p>
              </w:tc>
              <w:tc>
                <w:tcPr>
                  <w:tcW w:w="687" w:type="pct"/>
                  <w:vMerge w:val="continue"/>
                  <w:tcBorders>
                    <w:left w:val="single" w:color="auto" w:sz="4" w:space="0"/>
                    <w:tl2br w:val="nil"/>
                    <w:tr2bl w:val="nil"/>
                  </w:tcBorders>
                  <w:shd w:val="clear" w:color="auto" w:fill="auto"/>
                  <w:noWrap w:val="0"/>
                  <w:vAlign w:val="center"/>
                </w:tcPr>
                <w:p w14:paraId="75058FE2">
                  <w:pPr>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
                      <w:szCs w:val="2"/>
                      <w:highlight w:val="none"/>
                    </w:rPr>
                  </w:pPr>
                </w:p>
              </w:tc>
            </w:tr>
            <w:tr w14:paraId="74D87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5" w:hRule="atLeast"/>
              </w:trPr>
              <w:tc>
                <w:tcPr>
                  <w:tcW w:w="248" w:type="pct"/>
                  <w:vMerge w:val="restart"/>
                  <w:tcBorders>
                    <w:tl2br w:val="nil"/>
                    <w:tr2bl w:val="nil"/>
                  </w:tcBorders>
                  <w:shd w:val="clear" w:color="auto" w:fill="auto"/>
                  <w:noWrap w:val="0"/>
                  <w:vAlign w:val="center"/>
                </w:tcPr>
                <w:p w14:paraId="6832ABCE">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b w:val="0"/>
                      <w:bCs/>
                      <w:color w:val="000000"/>
                      <w:sz w:val="21"/>
                      <w:highlight w:val="none"/>
                    </w:rPr>
                  </w:pPr>
                  <w:r>
                    <w:rPr>
                      <w:rFonts w:hint="default" w:ascii="Times New Roman" w:hAnsi="Times New Roman" w:cs="Times New Roman"/>
                      <w:b w:val="0"/>
                      <w:bCs/>
                      <w:color w:val="000000"/>
                      <w:sz w:val="21"/>
                      <w:highlight w:val="none"/>
                    </w:rPr>
                    <w:t>声环境</w:t>
                  </w:r>
                </w:p>
              </w:tc>
              <w:tc>
                <w:tcPr>
                  <w:tcW w:w="979" w:type="pct"/>
                  <w:tcBorders>
                    <w:tl2br w:val="nil"/>
                    <w:tr2bl w:val="nil"/>
                  </w:tcBorders>
                  <w:shd w:val="clear" w:color="auto" w:fill="auto"/>
                  <w:noWrap w:val="0"/>
                  <w:vAlign w:val="center"/>
                </w:tcPr>
                <w:p w14:paraId="57EE1300">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cs="Times New Roman"/>
                      <w:color w:val="000000"/>
                      <w:spacing w:val="-1"/>
                      <w:sz w:val="21"/>
                      <w:highlight w:val="none"/>
                    </w:rPr>
                  </w:pPr>
                  <w:r>
                    <w:rPr>
                      <w:rFonts w:hint="eastAsia" w:ascii="Times New Roman" w:hAnsi="Times New Roman" w:eastAsia="宋体" w:cs="Times New Roman"/>
                      <w:color w:val="000000"/>
                      <w:sz w:val="21"/>
                      <w:highlight w:val="none"/>
                      <w:lang w:val="en-US" w:eastAsia="zh-CN"/>
                    </w:rPr>
                    <w:t>尹家务中学</w:t>
                  </w:r>
                </w:p>
              </w:tc>
              <w:tc>
                <w:tcPr>
                  <w:tcW w:w="867" w:type="pct"/>
                  <w:tcBorders>
                    <w:tl2br w:val="nil"/>
                    <w:tr2bl w:val="nil"/>
                  </w:tcBorders>
                  <w:shd w:val="clear" w:color="auto" w:fill="auto"/>
                  <w:noWrap w:val="0"/>
                  <w:vAlign w:val="center"/>
                </w:tcPr>
                <w:p w14:paraId="75C43CFD">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cs="Times New Roman"/>
                      <w:color w:val="000000"/>
                      <w:spacing w:val="-1"/>
                      <w:sz w:val="21"/>
                      <w:highlight w:val="none"/>
                    </w:rPr>
                  </w:pPr>
                  <w:r>
                    <w:rPr>
                      <w:rFonts w:hint="default" w:ascii="Times New Roman" w:hAnsi="Times New Roman" w:cs="Times New Roman"/>
                      <w:color w:val="000000"/>
                      <w:spacing w:val="-1"/>
                      <w:sz w:val="21"/>
                      <w:highlight w:val="none"/>
                    </w:rPr>
                    <w:t>107.3000083</w:t>
                  </w:r>
                </w:p>
              </w:tc>
              <w:tc>
                <w:tcPr>
                  <w:tcW w:w="767" w:type="pct"/>
                  <w:tcBorders>
                    <w:tl2br w:val="nil"/>
                    <w:tr2bl w:val="nil"/>
                  </w:tcBorders>
                  <w:shd w:val="clear" w:color="auto" w:fill="auto"/>
                  <w:noWrap w:val="0"/>
                  <w:vAlign w:val="center"/>
                </w:tcPr>
                <w:p w14:paraId="2F595E09">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cs="Times New Roman"/>
                      <w:color w:val="000000"/>
                      <w:sz w:val="21"/>
                      <w:highlight w:val="none"/>
                    </w:rPr>
                  </w:pPr>
                  <w:r>
                    <w:rPr>
                      <w:rFonts w:hint="default" w:ascii="Times New Roman" w:hAnsi="Times New Roman" w:cs="Times New Roman"/>
                      <w:color w:val="000000"/>
                      <w:spacing w:val="-1"/>
                      <w:sz w:val="21"/>
                      <w:highlight w:val="none"/>
                    </w:rPr>
                    <w:t>34.4619443</w:t>
                  </w:r>
                </w:p>
              </w:tc>
              <w:tc>
                <w:tcPr>
                  <w:tcW w:w="412" w:type="pct"/>
                  <w:tcBorders>
                    <w:tl2br w:val="nil"/>
                    <w:tr2bl w:val="nil"/>
                  </w:tcBorders>
                  <w:shd w:val="clear" w:color="auto" w:fill="auto"/>
                  <w:noWrap w:val="0"/>
                  <w:vAlign w:val="center"/>
                </w:tcPr>
                <w:p w14:paraId="364F2FBE">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cs="Times New Roman"/>
                      <w:color w:val="000000"/>
                      <w:sz w:val="21"/>
                      <w:highlight w:val="none"/>
                      <w:lang w:val="en-US"/>
                    </w:rPr>
                  </w:pPr>
                  <w:r>
                    <w:rPr>
                      <w:rFonts w:hint="eastAsia" w:ascii="Times New Roman" w:hAnsi="Times New Roman" w:eastAsia="宋体" w:cs="Times New Roman"/>
                      <w:color w:val="000000"/>
                      <w:sz w:val="21"/>
                      <w:highlight w:val="none"/>
                      <w:lang w:val="en-US" w:eastAsia="zh-CN"/>
                    </w:rPr>
                    <w:t>WS</w:t>
                  </w:r>
                </w:p>
              </w:tc>
              <w:tc>
                <w:tcPr>
                  <w:tcW w:w="506" w:type="pct"/>
                  <w:tcBorders>
                    <w:bottom w:val="single" w:color="auto" w:sz="4" w:space="0"/>
                    <w:tl2br w:val="nil"/>
                    <w:tr2bl w:val="nil"/>
                  </w:tcBorders>
                  <w:shd w:val="clear" w:color="auto" w:fill="auto"/>
                  <w:noWrap w:val="0"/>
                  <w:vAlign w:val="center"/>
                </w:tcPr>
                <w:p w14:paraId="0ED35E6D">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10</w:t>
                  </w:r>
                </w:p>
              </w:tc>
              <w:tc>
                <w:tcPr>
                  <w:tcW w:w="530" w:type="pct"/>
                  <w:tcBorders>
                    <w:top w:val="single" w:color="auto" w:sz="4" w:space="0"/>
                    <w:bottom w:val="single" w:color="auto" w:sz="4" w:space="0"/>
                    <w:right w:val="single" w:color="auto" w:sz="4" w:space="0"/>
                    <w:tl2br w:val="nil"/>
                    <w:tr2bl w:val="nil"/>
                  </w:tcBorders>
                  <w:shd w:val="clear" w:color="auto" w:fill="auto"/>
                  <w:noWrap w:val="0"/>
                  <w:vAlign w:val="center"/>
                </w:tcPr>
                <w:p w14:paraId="5D503C56">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eastAsia" w:ascii="Times New Roman" w:hAnsi="Times New Roman" w:eastAsia="宋体"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师生</w:t>
                  </w:r>
                </w:p>
              </w:tc>
              <w:tc>
                <w:tcPr>
                  <w:tcW w:w="687" w:type="pct"/>
                  <w:vMerge w:val="restart"/>
                  <w:tcBorders>
                    <w:left w:val="single" w:color="auto" w:sz="4" w:space="0"/>
                    <w:tl2br w:val="nil"/>
                    <w:tr2bl w:val="nil"/>
                  </w:tcBorders>
                  <w:shd w:val="clear" w:color="auto" w:fill="auto"/>
                  <w:noWrap w:val="0"/>
                  <w:vAlign w:val="center"/>
                </w:tcPr>
                <w:p w14:paraId="1DEE1334">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eastAsia" w:ascii="Times New Roman" w:hAnsi="Times New Roman" w:cs="Times New Roman"/>
                      <w:color w:val="000000"/>
                      <w:spacing w:val="-6"/>
                      <w:sz w:val="21"/>
                      <w:highlight w:val="none"/>
                      <w:lang w:val="en-US" w:eastAsia="zh-CN"/>
                    </w:rPr>
                  </w:pPr>
                  <w:r>
                    <w:rPr>
                      <w:rFonts w:hint="eastAsia" w:ascii="Times New Roman" w:hAnsi="Times New Roman" w:cs="Times New Roman"/>
                      <w:color w:val="000000"/>
                      <w:spacing w:val="-6"/>
                      <w:sz w:val="21"/>
                      <w:highlight w:val="none"/>
                      <w:lang w:val="en-US" w:eastAsia="zh-CN"/>
                    </w:rPr>
                    <w:t>2</w:t>
                  </w:r>
                  <w:r>
                    <w:rPr>
                      <w:rFonts w:hint="default" w:ascii="Times New Roman" w:hAnsi="Times New Roman" w:cs="Times New Roman"/>
                      <w:color w:val="000000"/>
                      <w:spacing w:val="-6"/>
                      <w:sz w:val="21"/>
                      <w:highlight w:val="none"/>
                    </w:rPr>
                    <w:t>类</w:t>
                  </w:r>
                  <w:r>
                    <w:rPr>
                      <w:rFonts w:hint="default" w:ascii="Times New Roman" w:hAnsi="Times New Roman" w:cs="Times New Roman"/>
                      <w:color w:val="000000"/>
                      <w:spacing w:val="-6"/>
                      <w:sz w:val="21"/>
                      <w:highlight w:val="none"/>
                      <w:lang w:val="en-US" w:eastAsia="zh-CN"/>
                    </w:rPr>
                    <w:t>声功能区</w:t>
                  </w:r>
                </w:p>
              </w:tc>
            </w:tr>
            <w:tr w14:paraId="4E5AD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48" w:type="pct"/>
                  <w:vMerge w:val="continue"/>
                  <w:tcBorders>
                    <w:tl2br w:val="nil"/>
                    <w:tr2bl w:val="nil"/>
                  </w:tcBorders>
                  <w:shd w:val="clear" w:color="auto" w:fill="auto"/>
                  <w:noWrap w:val="0"/>
                  <w:vAlign w:val="center"/>
                </w:tcPr>
                <w:p w14:paraId="69E07D6E">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1"/>
                      <w:highlight w:val="none"/>
                    </w:rPr>
                  </w:pPr>
                </w:p>
              </w:tc>
              <w:tc>
                <w:tcPr>
                  <w:tcW w:w="979" w:type="pct"/>
                  <w:tcBorders>
                    <w:tl2br w:val="nil"/>
                    <w:tr2bl w:val="nil"/>
                  </w:tcBorders>
                  <w:shd w:val="clear" w:color="auto" w:fill="auto"/>
                  <w:noWrap w:val="0"/>
                  <w:vAlign w:val="center"/>
                </w:tcPr>
                <w:p w14:paraId="65DB938B">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000000"/>
                      <w:spacing w:val="-1"/>
                      <w:sz w:val="21"/>
                      <w:highlight w:val="none"/>
                      <w:lang w:val="en-US" w:eastAsia="zh-CN"/>
                    </w:rPr>
                  </w:pPr>
                  <w:r>
                    <w:rPr>
                      <w:rFonts w:hint="eastAsia" w:ascii="Times New Roman" w:hAnsi="Times New Roman" w:cs="Times New Roman"/>
                      <w:color w:val="000000"/>
                      <w:spacing w:val="-1"/>
                      <w:sz w:val="21"/>
                      <w:highlight w:val="none"/>
                      <w:lang w:val="en-US" w:eastAsia="zh-CN"/>
                    </w:rPr>
                    <w:t>西北侧尹家务村</w:t>
                  </w:r>
                </w:p>
              </w:tc>
              <w:tc>
                <w:tcPr>
                  <w:tcW w:w="867" w:type="pct"/>
                  <w:tcBorders>
                    <w:tl2br w:val="nil"/>
                    <w:tr2bl w:val="nil"/>
                  </w:tcBorders>
                  <w:shd w:val="clear" w:color="auto" w:fill="auto"/>
                  <w:noWrap w:val="0"/>
                  <w:vAlign w:val="center"/>
                </w:tcPr>
                <w:p w14:paraId="5E94EF78">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cs="Times New Roman"/>
                      <w:color w:val="000000"/>
                      <w:kern w:val="0"/>
                      <w:sz w:val="21"/>
                      <w:szCs w:val="22"/>
                      <w:highlight w:val="none"/>
                      <w:lang w:val="en-US" w:eastAsia="en-US" w:bidi="ar-SA"/>
                    </w:rPr>
                  </w:pPr>
                  <w:r>
                    <w:rPr>
                      <w:rFonts w:hint="default" w:ascii="Times New Roman" w:hAnsi="Times New Roman" w:cs="Times New Roman"/>
                      <w:color w:val="000000"/>
                      <w:sz w:val="21"/>
                      <w:highlight w:val="none"/>
                    </w:rPr>
                    <w:t>107.2983373</w:t>
                  </w:r>
                </w:p>
              </w:tc>
              <w:tc>
                <w:tcPr>
                  <w:tcW w:w="767" w:type="pct"/>
                  <w:tcBorders>
                    <w:tl2br w:val="nil"/>
                    <w:tr2bl w:val="nil"/>
                  </w:tcBorders>
                  <w:shd w:val="clear" w:color="auto" w:fill="auto"/>
                  <w:noWrap w:val="0"/>
                  <w:vAlign w:val="center"/>
                </w:tcPr>
                <w:p w14:paraId="123DC712">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cs="Times New Roman"/>
                      <w:color w:val="000000"/>
                      <w:kern w:val="0"/>
                      <w:sz w:val="21"/>
                      <w:szCs w:val="22"/>
                      <w:highlight w:val="none"/>
                      <w:lang w:val="en-US" w:eastAsia="en-US" w:bidi="ar-SA"/>
                    </w:rPr>
                  </w:pPr>
                  <w:r>
                    <w:rPr>
                      <w:rFonts w:hint="default" w:ascii="Times New Roman" w:hAnsi="Times New Roman" w:cs="Times New Roman"/>
                      <w:color w:val="000000"/>
                      <w:sz w:val="21"/>
                      <w:highlight w:val="none"/>
                    </w:rPr>
                    <w:t>34.4638004</w:t>
                  </w:r>
                </w:p>
              </w:tc>
              <w:tc>
                <w:tcPr>
                  <w:tcW w:w="412" w:type="pct"/>
                  <w:tcBorders>
                    <w:tl2br w:val="nil"/>
                    <w:tr2bl w:val="nil"/>
                  </w:tcBorders>
                  <w:shd w:val="clear" w:color="auto" w:fill="auto"/>
                  <w:noWrap w:val="0"/>
                  <w:vAlign w:val="center"/>
                </w:tcPr>
                <w:p w14:paraId="754FB196">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WN</w:t>
                  </w:r>
                </w:p>
              </w:tc>
              <w:tc>
                <w:tcPr>
                  <w:tcW w:w="506" w:type="pct"/>
                  <w:tcBorders>
                    <w:top w:val="single" w:color="auto" w:sz="4" w:space="0"/>
                    <w:tl2br w:val="nil"/>
                    <w:tr2bl w:val="nil"/>
                  </w:tcBorders>
                  <w:shd w:val="clear" w:color="auto" w:fill="auto"/>
                  <w:noWrap w:val="0"/>
                  <w:vAlign w:val="center"/>
                </w:tcPr>
                <w:p w14:paraId="17E67059">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20</w:t>
                  </w:r>
                </w:p>
              </w:tc>
              <w:tc>
                <w:tcPr>
                  <w:tcW w:w="530" w:type="pct"/>
                  <w:tcBorders>
                    <w:top w:val="single" w:color="auto" w:sz="4" w:space="0"/>
                    <w:bottom w:val="single" w:color="auto" w:sz="4" w:space="0"/>
                    <w:right w:val="single" w:color="auto" w:sz="4" w:space="0"/>
                    <w:tl2br w:val="nil"/>
                    <w:tr2bl w:val="nil"/>
                  </w:tcBorders>
                  <w:shd w:val="clear" w:color="auto" w:fill="auto"/>
                  <w:noWrap w:val="0"/>
                  <w:vAlign w:val="center"/>
                </w:tcPr>
                <w:p w14:paraId="124854F4">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pacing w:val="-6"/>
                      <w:sz w:val="21"/>
                      <w:highlight w:val="none"/>
                      <w:lang w:val="en-US" w:eastAsia="zh-CN"/>
                    </w:rPr>
                  </w:pPr>
                  <w:r>
                    <w:rPr>
                      <w:rFonts w:hint="eastAsia" w:ascii="Times New Roman" w:hAnsi="Times New Roman" w:cs="Times New Roman"/>
                      <w:color w:val="000000"/>
                      <w:spacing w:val="-6"/>
                      <w:sz w:val="21"/>
                      <w:highlight w:val="none"/>
                      <w:lang w:val="en-US" w:eastAsia="zh-CN"/>
                    </w:rPr>
                    <w:t>村民</w:t>
                  </w:r>
                </w:p>
              </w:tc>
              <w:tc>
                <w:tcPr>
                  <w:tcW w:w="687" w:type="pct"/>
                  <w:vMerge w:val="continue"/>
                  <w:tcBorders>
                    <w:left w:val="single" w:color="auto" w:sz="4" w:space="0"/>
                    <w:tl2br w:val="nil"/>
                    <w:tr2bl w:val="nil"/>
                  </w:tcBorders>
                  <w:shd w:val="clear" w:color="auto" w:fill="auto"/>
                  <w:noWrap w:val="0"/>
                  <w:vAlign w:val="center"/>
                </w:tcPr>
                <w:p w14:paraId="7D90615F">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eastAsia" w:ascii="Times New Roman" w:hAnsi="Times New Roman" w:cs="Times New Roman"/>
                      <w:color w:val="000000"/>
                      <w:spacing w:val="-6"/>
                      <w:sz w:val="21"/>
                      <w:highlight w:val="none"/>
                      <w:lang w:val="en-US" w:eastAsia="zh-CN"/>
                    </w:rPr>
                  </w:pPr>
                </w:p>
              </w:tc>
            </w:tr>
            <w:tr w14:paraId="110D5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48" w:type="pct"/>
                  <w:vMerge w:val="continue"/>
                  <w:tcBorders>
                    <w:tl2br w:val="nil"/>
                    <w:tr2bl w:val="nil"/>
                  </w:tcBorders>
                  <w:shd w:val="clear" w:color="auto" w:fill="auto"/>
                  <w:noWrap w:val="0"/>
                  <w:vAlign w:val="center"/>
                </w:tcPr>
                <w:p w14:paraId="3DF6688B">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default" w:ascii="Times New Roman" w:hAnsi="Times New Roman" w:cs="Times New Roman"/>
                      <w:color w:val="000000"/>
                      <w:sz w:val="21"/>
                      <w:highlight w:val="none"/>
                    </w:rPr>
                  </w:pPr>
                </w:p>
              </w:tc>
              <w:tc>
                <w:tcPr>
                  <w:tcW w:w="979" w:type="pct"/>
                  <w:tcBorders>
                    <w:tl2br w:val="nil"/>
                    <w:tr2bl w:val="nil"/>
                  </w:tcBorders>
                  <w:shd w:val="clear" w:color="auto" w:fill="auto"/>
                  <w:noWrap w:val="0"/>
                  <w:vAlign w:val="center"/>
                </w:tcPr>
                <w:p w14:paraId="5CE2D3BA">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cs="Times New Roman"/>
                      <w:color w:val="000000"/>
                      <w:spacing w:val="-1"/>
                      <w:sz w:val="21"/>
                      <w:highlight w:val="none"/>
                      <w:lang w:val="en-US" w:eastAsia="zh-CN"/>
                    </w:rPr>
                  </w:pPr>
                  <w:r>
                    <w:rPr>
                      <w:rFonts w:hint="eastAsia" w:ascii="Times New Roman" w:hAnsi="Times New Roman" w:cs="Times New Roman"/>
                      <w:color w:val="000000"/>
                      <w:spacing w:val="-1"/>
                      <w:sz w:val="21"/>
                      <w:highlight w:val="none"/>
                      <w:lang w:val="en-US" w:eastAsia="zh-CN"/>
                    </w:rPr>
                    <w:t>东北侧尹家务村</w:t>
                  </w:r>
                </w:p>
              </w:tc>
              <w:tc>
                <w:tcPr>
                  <w:tcW w:w="867" w:type="pct"/>
                  <w:tcBorders>
                    <w:tl2br w:val="nil"/>
                    <w:tr2bl w:val="nil"/>
                  </w:tcBorders>
                  <w:shd w:val="clear" w:color="auto" w:fill="auto"/>
                  <w:noWrap w:val="0"/>
                  <w:vAlign w:val="center"/>
                </w:tcPr>
                <w:p w14:paraId="4CCDE839">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cs="Times New Roman"/>
                      <w:color w:val="000000"/>
                      <w:kern w:val="0"/>
                      <w:sz w:val="21"/>
                      <w:szCs w:val="22"/>
                      <w:highlight w:val="none"/>
                      <w:lang w:val="en-US" w:eastAsia="en-US" w:bidi="ar-SA"/>
                    </w:rPr>
                  </w:pPr>
                  <w:r>
                    <w:rPr>
                      <w:rFonts w:hint="default" w:ascii="Times New Roman" w:hAnsi="Times New Roman" w:cs="Times New Roman"/>
                      <w:color w:val="000000"/>
                      <w:sz w:val="21"/>
                      <w:highlight w:val="none"/>
                    </w:rPr>
                    <w:t>107.3010839</w:t>
                  </w:r>
                </w:p>
              </w:tc>
              <w:tc>
                <w:tcPr>
                  <w:tcW w:w="767" w:type="pct"/>
                  <w:tcBorders>
                    <w:tl2br w:val="nil"/>
                    <w:tr2bl w:val="nil"/>
                  </w:tcBorders>
                  <w:shd w:val="clear" w:color="auto" w:fill="auto"/>
                  <w:noWrap w:val="0"/>
                  <w:vAlign w:val="center"/>
                </w:tcPr>
                <w:p w14:paraId="4F1ADDE9">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cs="Times New Roman"/>
                      <w:color w:val="000000"/>
                      <w:kern w:val="0"/>
                      <w:sz w:val="21"/>
                      <w:szCs w:val="22"/>
                      <w:highlight w:val="none"/>
                      <w:lang w:val="en-US" w:eastAsia="zh-CN" w:bidi="ar-SA"/>
                    </w:rPr>
                  </w:pPr>
                  <w:r>
                    <w:rPr>
                      <w:rFonts w:hint="default" w:ascii="Times New Roman" w:hAnsi="Times New Roman" w:cs="Times New Roman"/>
                      <w:color w:val="000000"/>
                      <w:sz w:val="21"/>
                      <w:highlight w:val="none"/>
                    </w:rPr>
                    <w:t>34.4638755</w:t>
                  </w:r>
                </w:p>
              </w:tc>
              <w:tc>
                <w:tcPr>
                  <w:tcW w:w="412" w:type="pct"/>
                  <w:tcBorders>
                    <w:tl2br w:val="nil"/>
                    <w:tr2bl w:val="nil"/>
                  </w:tcBorders>
                  <w:shd w:val="clear" w:color="auto" w:fill="auto"/>
                  <w:noWrap w:val="0"/>
                  <w:vAlign w:val="center"/>
                </w:tcPr>
                <w:p w14:paraId="12921E32">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eastAsia="宋体" w:cs="Times New Roman"/>
                      <w:color w:val="000000"/>
                      <w:sz w:val="21"/>
                      <w:highlight w:val="none"/>
                      <w:lang w:val="en-US" w:eastAsia="zh-CN"/>
                    </w:rPr>
                  </w:pPr>
                  <w:r>
                    <w:rPr>
                      <w:rFonts w:hint="eastAsia" w:ascii="Times New Roman" w:hAnsi="Times New Roman" w:eastAsia="宋体" w:cs="Times New Roman"/>
                      <w:color w:val="000000"/>
                      <w:sz w:val="21"/>
                      <w:highlight w:val="none"/>
                      <w:lang w:val="en-US" w:eastAsia="zh-CN"/>
                    </w:rPr>
                    <w:t>EN</w:t>
                  </w:r>
                </w:p>
              </w:tc>
              <w:tc>
                <w:tcPr>
                  <w:tcW w:w="506" w:type="pct"/>
                  <w:tcBorders>
                    <w:tl2br w:val="nil"/>
                    <w:tr2bl w:val="nil"/>
                  </w:tcBorders>
                  <w:shd w:val="clear" w:color="auto" w:fill="auto"/>
                  <w:noWrap w:val="0"/>
                  <w:vAlign w:val="center"/>
                </w:tcPr>
                <w:p w14:paraId="6382A39E">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leftChars="0" w:right="0" w:rightChars="0" w:firstLine="0" w:firstLineChars="0"/>
                    <w:jc w:val="center"/>
                    <w:textAlignment w:val="auto"/>
                    <w:rPr>
                      <w:rFonts w:hint="default" w:ascii="Times New Roman" w:hAnsi="Times New Roman"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40</w:t>
                  </w:r>
                </w:p>
              </w:tc>
              <w:tc>
                <w:tcPr>
                  <w:tcW w:w="530" w:type="pct"/>
                  <w:tcBorders>
                    <w:top w:val="single" w:color="auto" w:sz="4" w:space="0"/>
                    <w:right w:val="single" w:color="auto" w:sz="4" w:space="0"/>
                    <w:tl2br w:val="nil"/>
                    <w:tr2bl w:val="nil"/>
                  </w:tcBorders>
                  <w:shd w:val="clear" w:color="auto" w:fill="auto"/>
                  <w:noWrap w:val="0"/>
                  <w:vAlign w:val="center"/>
                </w:tcPr>
                <w:p w14:paraId="0FF3B2D9">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eastAsia" w:ascii="Times New Roman" w:hAnsi="Times New Roman" w:cs="Times New Roman"/>
                      <w:color w:val="000000"/>
                      <w:spacing w:val="-6"/>
                      <w:sz w:val="21"/>
                      <w:highlight w:val="none"/>
                      <w:lang w:val="en-US" w:eastAsia="zh-CN"/>
                    </w:rPr>
                  </w:pPr>
                  <w:r>
                    <w:rPr>
                      <w:rFonts w:hint="eastAsia" w:ascii="Times New Roman" w:hAnsi="Times New Roman" w:cs="Times New Roman"/>
                      <w:color w:val="000000"/>
                      <w:spacing w:val="-6"/>
                      <w:sz w:val="21"/>
                      <w:highlight w:val="none"/>
                      <w:lang w:val="en-US" w:eastAsia="zh-CN"/>
                    </w:rPr>
                    <w:t>村民</w:t>
                  </w:r>
                </w:p>
              </w:tc>
              <w:tc>
                <w:tcPr>
                  <w:tcW w:w="687" w:type="pct"/>
                  <w:vMerge w:val="continue"/>
                  <w:tcBorders>
                    <w:left w:val="single" w:color="auto" w:sz="4" w:space="0"/>
                    <w:tl2br w:val="nil"/>
                    <w:tr2bl w:val="nil"/>
                  </w:tcBorders>
                  <w:shd w:val="clear" w:color="auto" w:fill="auto"/>
                  <w:noWrap w:val="0"/>
                  <w:vAlign w:val="center"/>
                </w:tcPr>
                <w:p w14:paraId="741A1B2D">
                  <w:pPr>
                    <w:pStyle w:val="143"/>
                    <w:keepNext w:val="0"/>
                    <w:keepLines w:val="0"/>
                    <w:pageBreakBefore w:val="0"/>
                    <w:widowControl w:val="0"/>
                    <w:shd w:val="clear" w:color="auto" w:fill="auto"/>
                    <w:kinsoku/>
                    <w:wordWrap/>
                    <w:overflowPunct/>
                    <w:topLinePunct w:val="0"/>
                    <w:autoSpaceDE w:val="0"/>
                    <w:autoSpaceDN w:val="0"/>
                    <w:bidi w:val="0"/>
                    <w:adjustRightInd w:val="0"/>
                    <w:snapToGrid w:val="0"/>
                    <w:spacing w:before="0" w:line="240" w:lineRule="auto"/>
                    <w:ind w:left="0" w:right="0" w:firstLine="0" w:firstLineChars="0"/>
                    <w:jc w:val="center"/>
                    <w:textAlignment w:val="auto"/>
                    <w:rPr>
                      <w:rFonts w:hint="eastAsia" w:ascii="Times New Roman" w:hAnsi="Times New Roman" w:cs="Times New Roman"/>
                      <w:color w:val="000000"/>
                      <w:spacing w:val="-6"/>
                      <w:sz w:val="21"/>
                      <w:highlight w:val="none"/>
                      <w:lang w:val="en-US" w:eastAsia="zh-CN"/>
                    </w:rPr>
                  </w:pPr>
                </w:p>
              </w:tc>
            </w:tr>
          </w:tbl>
          <w:p w14:paraId="6B72A842">
            <w:pPr>
              <w:pStyle w:val="45"/>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宋体" w:hAnsi="宋体" w:cs="宋体"/>
                <w:color w:val="000000"/>
                <w:kern w:val="0"/>
                <w:sz w:val="21"/>
                <w:szCs w:val="21"/>
                <w:highlight w:val="none"/>
                <w:lang w:val="en-US"/>
              </w:rPr>
            </w:pPr>
          </w:p>
        </w:tc>
      </w:tr>
      <w:tr w14:paraId="242A4C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8" w:hRule="atLeast"/>
          <w:jc w:val="center"/>
        </w:trPr>
        <w:tc>
          <w:tcPr>
            <w:tcW w:w="800" w:type="dxa"/>
            <w:shd w:val="clear" w:color="auto" w:fill="auto"/>
            <w:noWrap w:val="0"/>
            <w:tcMar>
              <w:top w:w="0" w:type="dxa"/>
              <w:left w:w="28" w:type="dxa"/>
              <w:bottom w:w="0" w:type="dxa"/>
              <w:right w:w="28" w:type="dxa"/>
            </w:tcMar>
            <w:vAlign w:val="center"/>
          </w:tcPr>
          <w:p w14:paraId="4BA04546">
            <w:pPr>
              <w:shd w:val="clear" w:color="auto" w:fill="auto"/>
              <w:adjustRightInd w:val="0"/>
              <w:snapToGrid w:val="0"/>
              <w:jc w:val="center"/>
              <w:rPr>
                <w:rFonts w:hint="eastAsia" w:ascii="宋体" w:hAnsi="宋体" w:cs="宋体"/>
                <w:color w:val="000000"/>
                <w:kern w:val="0"/>
                <w:sz w:val="21"/>
                <w:szCs w:val="21"/>
                <w:highlight w:val="none"/>
              </w:rPr>
            </w:pPr>
            <w:r>
              <w:rPr>
                <w:rFonts w:hint="eastAsia" w:ascii="宋体" w:hAnsi="宋体" w:cs="宋体"/>
                <w:color w:val="000000"/>
                <w:kern w:val="0"/>
                <w:sz w:val="21"/>
                <w:szCs w:val="21"/>
                <w:highlight w:val="none"/>
              </w:rPr>
              <w:t>污染</w:t>
            </w:r>
          </w:p>
          <w:p w14:paraId="7E037C3F">
            <w:pPr>
              <w:shd w:val="clear" w:color="auto" w:fill="auto"/>
              <w:adjustRightInd w:val="0"/>
              <w:snapToGrid w:val="0"/>
              <w:jc w:val="center"/>
              <w:rPr>
                <w:rFonts w:hint="eastAsia" w:ascii="宋体" w:hAnsi="宋体" w:cs="宋体"/>
                <w:color w:val="000000"/>
                <w:kern w:val="0"/>
                <w:sz w:val="21"/>
                <w:szCs w:val="21"/>
                <w:highlight w:val="none"/>
              </w:rPr>
            </w:pPr>
            <w:r>
              <w:rPr>
                <w:rFonts w:hint="eastAsia" w:ascii="宋体" w:hAnsi="宋体" w:cs="宋体"/>
                <w:color w:val="000000"/>
                <w:kern w:val="0"/>
                <w:sz w:val="21"/>
                <w:szCs w:val="21"/>
                <w:highlight w:val="none"/>
              </w:rPr>
              <w:t>物排</w:t>
            </w:r>
          </w:p>
          <w:p w14:paraId="15FAD95A">
            <w:pPr>
              <w:shd w:val="clear" w:color="auto" w:fill="auto"/>
              <w:adjustRightInd w:val="0"/>
              <w:snapToGrid w:val="0"/>
              <w:jc w:val="center"/>
              <w:rPr>
                <w:rFonts w:hint="eastAsia" w:ascii="宋体" w:hAnsi="宋体" w:cs="宋体"/>
                <w:color w:val="000000"/>
                <w:kern w:val="0"/>
                <w:sz w:val="21"/>
                <w:szCs w:val="21"/>
                <w:highlight w:val="none"/>
              </w:rPr>
            </w:pPr>
            <w:r>
              <w:rPr>
                <w:rFonts w:hint="eastAsia" w:ascii="宋体" w:hAnsi="宋体" w:cs="宋体"/>
                <w:color w:val="000000"/>
                <w:kern w:val="0"/>
                <w:sz w:val="21"/>
                <w:szCs w:val="21"/>
                <w:highlight w:val="none"/>
              </w:rPr>
              <w:t>放控</w:t>
            </w:r>
          </w:p>
          <w:p w14:paraId="669DCCCE">
            <w:pPr>
              <w:shd w:val="clear" w:color="auto" w:fill="auto"/>
              <w:adjustRightInd w:val="0"/>
              <w:snapToGrid w:val="0"/>
              <w:jc w:val="center"/>
              <w:rPr>
                <w:rFonts w:hint="eastAsia" w:ascii="宋体" w:hAnsi="宋体" w:cs="宋体"/>
                <w:color w:val="000000"/>
                <w:kern w:val="0"/>
                <w:sz w:val="21"/>
                <w:szCs w:val="21"/>
                <w:highlight w:val="none"/>
              </w:rPr>
            </w:pPr>
            <w:r>
              <w:rPr>
                <w:rFonts w:hint="eastAsia" w:ascii="宋体" w:hAnsi="宋体" w:cs="宋体"/>
                <w:color w:val="000000"/>
                <w:kern w:val="0"/>
                <w:sz w:val="21"/>
                <w:szCs w:val="21"/>
                <w:highlight w:val="none"/>
              </w:rPr>
              <w:t>制标</w:t>
            </w:r>
          </w:p>
          <w:p w14:paraId="02963683">
            <w:pPr>
              <w:shd w:val="clear" w:color="auto" w:fill="auto"/>
              <w:adjustRightInd w:val="0"/>
              <w:snapToGrid w:val="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准</w:t>
            </w:r>
          </w:p>
        </w:tc>
        <w:tc>
          <w:tcPr>
            <w:tcW w:w="8190" w:type="dxa"/>
            <w:shd w:val="clear" w:color="auto" w:fill="auto"/>
            <w:noWrap w:val="0"/>
            <w:vAlign w:val="center"/>
          </w:tcPr>
          <w:p w14:paraId="2F023E88">
            <w:pPr>
              <w:widowControl/>
              <w:numPr>
                <w:ilvl w:val="0"/>
                <w:numId w:val="4"/>
              </w:numPr>
              <w:shd w:val="clear" w:color="auto" w:fill="auto"/>
              <w:spacing w:line="360" w:lineRule="auto"/>
              <w:ind w:firstLine="422" w:firstLineChars="200"/>
              <w:rPr>
                <w:rFonts w:hint="eastAsia"/>
                <w:b/>
                <w:bCs/>
                <w:color w:val="000000"/>
                <w:sz w:val="21"/>
                <w:szCs w:val="21"/>
                <w:highlight w:val="none"/>
                <w:lang w:val="en-US" w:eastAsia="zh-CN"/>
              </w:rPr>
            </w:pPr>
            <w:r>
              <w:rPr>
                <w:rFonts w:hint="eastAsia"/>
                <w:b/>
                <w:bCs/>
                <w:color w:val="000000"/>
                <w:sz w:val="21"/>
                <w:szCs w:val="21"/>
                <w:highlight w:val="none"/>
                <w:lang w:val="en-US" w:eastAsia="zh-CN"/>
              </w:rPr>
              <w:t>废气排放标准</w:t>
            </w:r>
          </w:p>
          <w:p w14:paraId="2C527699">
            <w:pPr>
              <w:shd w:val="clear" w:color="auto" w:fill="auto"/>
              <w:adjustRightInd w:val="0"/>
              <w:snapToGrid w:val="0"/>
              <w:spacing w:line="360" w:lineRule="auto"/>
              <w:ind w:firstLine="420" w:firstLineChars="20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rPr>
              <w:t>运营期</w:t>
            </w:r>
            <w:r>
              <w:rPr>
                <w:rFonts w:hint="eastAsia" w:ascii="Times New Roman" w:hAnsi="Times New Roman" w:eastAsia="宋体" w:cs="Times New Roman"/>
                <w:color w:val="000000"/>
                <w:sz w:val="21"/>
                <w:szCs w:val="21"/>
                <w:highlight w:val="none"/>
                <w:lang w:val="en-US" w:eastAsia="zh-CN"/>
              </w:rPr>
              <w:t>原料粉碎过程中产生的粉尘</w:t>
            </w:r>
            <w:r>
              <w:rPr>
                <w:rFonts w:hint="default" w:ascii="Times New Roman" w:hAnsi="Times New Roman" w:eastAsia="宋体" w:cs="Times New Roman"/>
                <w:color w:val="000000"/>
                <w:sz w:val="21"/>
                <w:szCs w:val="21"/>
                <w:highlight w:val="none"/>
              </w:rPr>
              <w:t>执行《大气污染物综合排放标准》（GB16297-1996）中表2</w:t>
            </w:r>
            <w:r>
              <w:rPr>
                <w:rFonts w:hint="default" w:ascii="Times New Roman" w:hAnsi="Times New Roman" w:eastAsia="宋体" w:cs="Times New Roman"/>
                <w:color w:val="000000"/>
                <w:sz w:val="21"/>
                <w:szCs w:val="21"/>
                <w:highlight w:val="none"/>
                <w:lang w:val="en-US" w:eastAsia="zh-CN"/>
              </w:rPr>
              <w:t>二级标准以及</w:t>
            </w:r>
            <w:r>
              <w:rPr>
                <w:rFonts w:hint="default" w:ascii="Times New Roman" w:hAnsi="Times New Roman" w:eastAsia="宋体" w:cs="Times New Roman"/>
                <w:color w:val="000000"/>
                <w:sz w:val="21"/>
                <w:szCs w:val="21"/>
                <w:highlight w:val="none"/>
                <w:lang w:eastAsia="zh-CN"/>
              </w:rPr>
              <w:t>无组织排放</w:t>
            </w:r>
            <w:r>
              <w:rPr>
                <w:rFonts w:hint="eastAsia" w:ascii="Times New Roman" w:hAnsi="Times New Roman" w:eastAsia="宋体" w:cs="Times New Roman"/>
                <w:color w:val="000000"/>
                <w:sz w:val="21"/>
                <w:szCs w:val="21"/>
                <w:highlight w:val="none"/>
                <w:lang w:val="en-US" w:eastAsia="zh-CN"/>
              </w:rPr>
              <w:t>标准</w:t>
            </w:r>
            <w:r>
              <w:rPr>
                <w:rFonts w:hint="default" w:ascii="Times New Roman" w:hAnsi="Times New Roman" w:eastAsia="宋体" w:cs="Times New Roman"/>
                <w:color w:val="000000"/>
                <w:sz w:val="21"/>
                <w:szCs w:val="21"/>
                <w:highlight w:val="none"/>
                <w:lang w:eastAsia="zh-CN"/>
              </w:rPr>
              <w:t>限值</w:t>
            </w:r>
            <w:r>
              <w:rPr>
                <w:rFonts w:hint="eastAsia" w:ascii="Times New Roman" w:hAnsi="Times New Roman" w:eastAsia="宋体" w:cs="Times New Roman"/>
                <w:color w:val="000000"/>
                <w:sz w:val="21"/>
                <w:szCs w:val="21"/>
                <w:highlight w:val="none"/>
                <w:lang w:eastAsia="zh-CN"/>
              </w:rPr>
              <w:t>；</w:t>
            </w:r>
            <w:r>
              <w:rPr>
                <w:rFonts w:hint="eastAsia" w:ascii="Times New Roman" w:hAnsi="Times New Roman" w:eastAsia="宋体" w:cs="Times New Roman"/>
                <w:color w:val="000000"/>
                <w:sz w:val="21"/>
                <w:szCs w:val="21"/>
                <w:highlight w:val="none"/>
                <w:lang w:val="en-US" w:eastAsia="zh-CN"/>
              </w:rPr>
              <w:t>酒糟堆存过程中产生的臭气浓度，污水处理站产生的臭气浓度、氨和硫化氢排放执行《恶臭污染物排放标准》（GB14554-93）表2有组织排放标准及表1二级新改扩建相关标准限值；锅炉废气中颗粒物、二氧化硫排放执行</w:t>
            </w:r>
            <w:r>
              <w:rPr>
                <w:rFonts w:ascii="Times New Roman" w:hAnsi="Times New Roman" w:eastAsia="宋体" w:cs="Times New Roman"/>
                <w:color w:val="000000"/>
                <w:szCs w:val="21"/>
                <w:highlight w:val="none"/>
              </w:rPr>
              <w:t>《锅炉大气污染物排放标准》（DB61/1226-2018）</w:t>
            </w:r>
            <w:r>
              <w:rPr>
                <w:rFonts w:hint="eastAsia" w:ascii="Times New Roman" w:hAnsi="Times New Roman" w:cs="Times New Roman"/>
                <w:color w:val="000000"/>
                <w:szCs w:val="21"/>
                <w:highlight w:val="none"/>
                <w:lang w:val="en-US" w:eastAsia="zh-CN"/>
              </w:rPr>
              <w:t>中</w:t>
            </w:r>
            <w:r>
              <w:rPr>
                <w:rFonts w:hint="eastAsia" w:ascii="Times New Roman" w:hAnsi="Times New Roman" w:eastAsia="宋体" w:cs="Times New Roman"/>
                <w:color w:val="000000"/>
                <w:szCs w:val="21"/>
                <w:highlight w:val="none"/>
              </w:rPr>
              <w:t>燃气锅炉排放</w:t>
            </w:r>
            <w:r>
              <w:rPr>
                <w:rFonts w:ascii="Times New Roman" w:hAnsi="Times New Roman" w:eastAsia="宋体" w:cs="Times New Roman"/>
                <w:color w:val="000000"/>
                <w:szCs w:val="21"/>
                <w:highlight w:val="none"/>
              </w:rPr>
              <w:t>标准要求</w:t>
            </w:r>
            <w:r>
              <w:rPr>
                <w:rFonts w:hint="eastAsia" w:cs="Times New Roman"/>
                <w:color w:val="000000"/>
                <w:szCs w:val="21"/>
                <w:highlight w:val="none"/>
                <w:lang w:eastAsia="zh-CN"/>
              </w:rPr>
              <w:t>；</w:t>
            </w:r>
            <w:r>
              <w:rPr>
                <w:rFonts w:hint="eastAsia" w:ascii="Times New Roman" w:hAnsi="Times New Roman" w:eastAsia="宋体" w:cs="Times New Roman"/>
                <w:color w:val="000000"/>
                <w:szCs w:val="21"/>
                <w:highlight w:val="none"/>
                <w:lang w:eastAsia="zh-CN"/>
              </w:rPr>
              <w:t>氮氧化物企业承诺执行《宝鸡市锅炉大气污染专项整治行动方案》（宝气专办发〔2023〕7号）中的低于30mg/m3限值要求</w:t>
            </w:r>
            <w:r>
              <w:rPr>
                <w:rFonts w:hint="eastAsia" w:ascii="Times New Roman" w:hAnsi="Times New Roman" w:eastAsia="宋体" w:cs="Times New Roman"/>
                <w:color w:val="000000"/>
                <w:szCs w:val="21"/>
                <w:highlight w:val="none"/>
                <w:lang w:val="en-US" w:eastAsia="zh-CN"/>
              </w:rPr>
              <w:t>；烟气黑度执行</w:t>
            </w:r>
            <w:r>
              <w:rPr>
                <w:rFonts w:ascii="Times New Roman" w:hAnsi="Times New Roman" w:eastAsia="宋体" w:cs="Times New Roman"/>
                <w:color w:val="000000"/>
                <w:szCs w:val="21"/>
                <w:highlight w:val="none"/>
              </w:rPr>
              <w:t>《锅炉大气污染物排放标准》</w:t>
            </w:r>
            <w:r>
              <w:rPr>
                <w:rFonts w:hint="eastAsia" w:ascii="Times New Roman" w:hAnsi="Times New Roman" w:eastAsia="宋体" w:cs="Times New Roman"/>
                <w:color w:val="000000"/>
                <w:szCs w:val="21"/>
                <w:highlight w:val="none"/>
                <w:lang w:eastAsia="zh-CN"/>
              </w:rPr>
              <w:t>（GB13271-201</w:t>
            </w:r>
            <w:r>
              <w:rPr>
                <w:rFonts w:hint="eastAsia" w:ascii="Times New Roman" w:hAnsi="Times New Roman" w:eastAsia="宋体" w:cs="Times New Roman"/>
                <w:color w:val="000000"/>
                <w:szCs w:val="21"/>
                <w:highlight w:val="none"/>
                <w:lang w:val="en-US" w:eastAsia="zh-CN"/>
              </w:rPr>
              <w:t>4</w:t>
            </w:r>
            <w:r>
              <w:rPr>
                <w:rFonts w:hint="eastAsia" w:ascii="Times New Roman" w:hAnsi="Times New Roman" w:eastAsia="宋体" w:cs="Times New Roman"/>
                <w:color w:val="000000"/>
                <w:szCs w:val="21"/>
                <w:highlight w:val="none"/>
                <w:lang w:eastAsia="zh-CN"/>
              </w:rPr>
              <w:t>）</w:t>
            </w:r>
            <w:r>
              <w:rPr>
                <w:rFonts w:hint="eastAsia" w:ascii="Times New Roman" w:hAnsi="Times New Roman" w:eastAsia="宋体" w:cs="Times New Roman"/>
                <w:color w:val="000000"/>
                <w:szCs w:val="21"/>
                <w:highlight w:val="none"/>
                <w:lang w:val="en-US" w:eastAsia="zh-CN"/>
              </w:rPr>
              <w:t>表3中相关标准限值。</w:t>
            </w:r>
            <w:r>
              <w:rPr>
                <w:rFonts w:hint="eastAsia" w:ascii="Times New Roman" w:hAnsi="Times New Roman" w:cs="Times New Roman"/>
                <w:bCs/>
                <w:color w:val="000000"/>
                <w:sz w:val="21"/>
                <w:szCs w:val="21"/>
                <w:highlight w:val="none"/>
                <w:lang w:val="en-US" w:eastAsia="zh-CN"/>
              </w:rPr>
              <w:t>食堂油烟排放执行</w:t>
            </w:r>
            <w:r>
              <w:rPr>
                <w:rFonts w:ascii="Times New Roman" w:hAnsi="Times New Roman" w:cs="Times New Roman"/>
                <w:color w:val="000000"/>
                <w:sz w:val="21"/>
                <w:szCs w:val="21"/>
                <w:highlight w:val="none"/>
              </w:rPr>
              <w:t>《饮食业油烟排放标准》（试行）（GB18483-2001）</w:t>
            </w:r>
            <w:r>
              <w:rPr>
                <w:rFonts w:hint="eastAsia" w:ascii="Times New Roman" w:hAnsi="Times New Roman" w:cs="Times New Roman"/>
                <w:color w:val="000000"/>
                <w:sz w:val="21"/>
                <w:szCs w:val="21"/>
                <w:highlight w:val="none"/>
                <w:lang w:val="en-US" w:eastAsia="zh-CN"/>
              </w:rPr>
              <w:t>中的小型相关标准。</w:t>
            </w:r>
          </w:p>
          <w:p w14:paraId="2AF2DCE7">
            <w:pPr>
              <w:keepNext w:val="0"/>
              <w:keepLines w:val="0"/>
              <w:pageBreakBefore w:val="0"/>
              <w:widowControl/>
              <w:shd w:val="clear" w:color="auto" w:fill="auto"/>
              <w:kinsoku/>
              <w:wordWrap/>
              <w:overflowPunct/>
              <w:topLinePunct w:val="0"/>
              <w:autoSpaceDE/>
              <w:autoSpaceDN/>
              <w:bidi w:val="0"/>
              <w:adjustRightInd w:val="0"/>
              <w:snapToGrid w:val="0"/>
              <w:spacing w:line="360" w:lineRule="auto"/>
              <w:ind w:firstLine="420" w:firstLineChars="200"/>
              <w:textAlignment w:val="auto"/>
              <w:rPr>
                <w:rFonts w:hint="eastAsia"/>
                <w:color w:val="000000"/>
                <w:sz w:val="21"/>
                <w:szCs w:val="21"/>
                <w:highlight w:val="none"/>
              </w:rPr>
            </w:pPr>
            <w:r>
              <w:rPr>
                <w:rFonts w:hint="eastAsia"/>
                <w:color w:val="000000"/>
                <w:sz w:val="21"/>
                <w:szCs w:val="21"/>
                <w:highlight w:val="none"/>
                <w:lang w:val="en-US" w:eastAsia="zh-CN"/>
              </w:rPr>
              <w:t>具体</w:t>
            </w:r>
            <w:r>
              <w:rPr>
                <w:color w:val="000000"/>
                <w:sz w:val="21"/>
                <w:szCs w:val="21"/>
                <w:highlight w:val="none"/>
              </w:rPr>
              <w:t>详见</w:t>
            </w:r>
            <w:r>
              <w:rPr>
                <w:rFonts w:hint="eastAsia"/>
                <w:color w:val="000000"/>
                <w:sz w:val="21"/>
                <w:szCs w:val="21"/>
                <w:highlight w:val="none"/>
                <w:lang w:val="en-US" w:eastAsia="zh-CN"/>
              </w:rPr>
              <w:t>下</w:t>
            </w:r>
            <w:r>
              <w:rPr>
                <w:color w:val="000000"/>
                <w:sz w:val="21"/>
                <w:szCs w:val="21"/>
                <w:highlight w:val="none"/>
              </w:rPr>
              <w:t>表</w:t>
            </w:r>
            <w:r>
              <w:rPr>
                <w:rFonts w:hint="eastAsia"/>
                <w:color w:val="000000"/>
                <w:sz w:val="21"/>
                <w:szCs w:val="21"/>
                <w:highlight w:val="none"/>
              </w:rPr>
              <w:t>。</w:t>
            </w:r>
          </w:p>
          <w:p w14:paraId="6EF83F57">
            <w:pPr>
              <w:pageBreakBefore w:val="0"/>
              <w:widowControl/>
              <w:shd w:val="clear" w:color="auto" w:fill="auto"/>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color w:val="000000"/>
                <w:sz w:val="21"/>
                <w:szCs w:val="21"/>
                <w:highlight w:val="none"/>
                <w:lang w:eastAsia="zh-CN"/>
              </w:rPr>
            </w:pPr>
            <w:r>
              <w:rPr>
                <w:rFonts w:hint="default" w:ascii="Times New Roman" w:hAnsi="Times New Roman" w:eastAsia="宋体" w:cs="Times New Roman"/>
                <w:b/>
                <w:color w:val="000000"/>
                <w:sz w:val="21"/>
                <w:szCs w:val="21"/>
                <w:highlight w:val="none"/>
              </w:rPr>
              <w:t>表</w:t>
            </w:r>
            <w:r>
              <w:rPr>
                <w:rFonts w:hint="default" w:ascii="Times New Roman" w:hAnsi="Times New Roman" w:eastAsia="宋体" w:cs="Times New Roman"/>
                <w:b/>
                <w:color w:val="000000"/>
                <w:sz w:val="21"/>
                <w:szCs w:val="21"/>
                <w:highlight w:val="none"/>
                <w:lang w:val="en-US" w:eastAsia="zh-CN"/>
              </w:rPr>
              <w:t>3-</w:t>
            </w:r>
            <w:r>
              <w:rPr>
                <w:rFonts w:hint="eastAsia" w:ascii="Times New Roman" w:hAnsi="Times New Roman" w:eastAsia="宋体" w:cs="Times New Roman"/>
                <w:b/>
                <w:color w:val="000000"/>
                <w:sz w:val="21"/>
                <w:szCs w:val="21"/>
                <w:highlight w:val="none"/>
                <w:lang w:val="en-US" w:eastAsia="zh-CN"/>
              </w:rPr>
              <w:t>5</w:t>
            </w:r>
            <w:r>
              <w:rPr>
                <w:rFonts w:hint="default" w:ascii="Times New Roman" w:hAnsi="Times New Roman" w:eastAsia="宋体" w:cs="Times New Roman"/>
                <w:b/>
                <w:color w:val="000000"/>
                <w:sz w:val="21"/>
                <w:szCs w:val="21"/>
                <w:highlight w:val="none"/>
              </w:rPr>
              <w:t xml:space="preserve"> </w:t>
            </w:r>
            <w:r>
              <w:rPr>
                <w:rFonts w:hint="eastAsia" w:ascii="Times New Roman" w:hAnsi="Times New Roman" w:eastAsia="宋体" w:cs="Times New Roman"/>
                <w:b/>
                <w:color w:val="000000"/>
                <w:sz w:val="21"/>
                <w:szCs w:val="21"/>
                <w:highlight w:val="none"/>
                <w:lang w:val="en-US" w:eastAsia="zh-CN"/>
              </w:rPr>
              <w:t xml:space="preserve"> </w:t>
            </w:r>
            <w:r>
              <w:rPr>
                <w:rFonts w:hint="default" w:ascii="Times New Roman" w:hAnsi="Times New Roman" w:eastAsia="宋体" w:cs="Times New Roman"/>
                <w:b/>
                <w:color w:val="000000"/>
                <w:sz w:val="21"/>
                <w:szCs w:val="21"/>
                <w:highlight w:val="none"/>
              </w:rPr>
              <w:t>《大气污染物综合排放标准》（GB16297-1996）</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3"/>
              <w:gridCol w:w="1501"/>
              <w:gridCol w:w="1392"/>
              <w:gridCol w:w="1245"/>
              <w:gridCol w:w="1743"/>
              <w:gridCol w:w="1168"/>
            </w:tblGrid>
            <w:tr w14:paraId="109BB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2" w:hRule="atLeast"/>
                <w:jc w:val="center"/>
              </w:trPr>
              <w:tc>
                <w:tcPr>
                  <w:tcW w:w="573" w:type="pct"/>
                  <w:vMerge w:val="restart"/>
                  <w:tcBorders>
                    <w:tl2br w:val="nil"/>
                    <w:tr2bl w:val="nil"/>
                  </w:tcBorders>
                  <w:shd w:val="clear" w:color="auto" w:fill="auto"/>
                  <w:noWrap w:val="0"/>
                  <w:vAlign w:val="center"/>
                </w:tcPr>
                <w:p w14:paraId="7D735F35">
                  <w:pPr>
                    <w:shd w:val="clear" w:color="auto" w:fill="auto"/>
                    <w:jc w:val="center"/>
                    <w:rPr>
                      <w:b/>
                      <w:color w:val="000000"/>
                      <w:sz w:val="21"/>
                      <w:szCs w:val="21"/>
                      <w:highlight w:val="none"/>
                    </w:rPr>
                  </w:pPr>
                  <w:r>
                    <w:rPr>
                      <w:b/>
                      <w:color w:val="000000"/>
                      <w:sz w:val="21"/>
                      <w:szCs w:val="21"/>
                      <w:highlight w:val="none"/>
                    </w:rPr>
                    <w:t>污染物</w:t>
                  </w:r>
                </w:p>
              </w:tc>
              <w:tc>
                <w:tcPr>
                  <w:tcW w:w="2598" w:type="pct"/>
                  <w:gridSpan w:val="3"/>
                  <w:tcBorders>
                    <w:tl2br w:val="nil"/>
                    <w:tr2bl w:val="nil"/>
                  </w:tcBorders>
                  <w:shd w:val="clear" w:color="auto" w:fill="auto"/>
                  <w:noWrap w:val="0"/>
                  <w:vAlign w:val="center"/>
                </w:tcPr>
                <w:p w14:paraId="1DDA2E29">
                  <w:pPr>
                    <w:shd w:val="clear" w:color="auto" w:fill="auto"/>
                    <w:jc w:val="center"/>
                    <w:rPr>
                      <w:b/>
                      <w:color w:val="000000"/>
                      <w:sz w:val="21"/>
                      <w:szCs w:val="21"/>
                      <w:highlight w:val="none"/>
                    </w:rPr>
                  </w:pPr>
                  <w:r>
                    <w:rPr>
                      <w:b/>
                      <w:color w:val="000000"/>
                      <w:sz w:val="21"/>
                      <w:szCs w:val="21"/>
                      <w:highlight w:val="none"/>
                    </w:rPr>
                    <w:t>有组织排放浓度限值</w:t>
                  </w:r>
                </w:p>
              </w:tc>
              <w:tc>
                <w:tcPr>
                  <w:tcW w:w="1827" w:type="pct"/>
                  <w:gridSpan w:val="2"/>
                  <w:tcBorders>
                    <w:tl2br w:val="nil"/>
                    <w:tr2bl w:val="nil"/>
                  </w:tcBorders>
                  <w:shd w:val="clear" w:color="auto" w:fill="auto"/>
                  <w:noWrap w:val="0"/>
                  <w:vAlign w:val="center"/>
                </w:tcPr>
                <w:p w14:paraId="7CA9DD53">
                  <w:pPr>
                    <w:shd w:val="clear" w:color="auto" w:fill="auto"/>
                    <w:jc w:val="center"/>
                    <w:rPr>
                      <w:b/>
                      <w:color w:val="000000"/>
                      <w:sz w:val="21"/>
                      <w:szCs w:val="21"/>
                      <w:highlight w:val="none"/>
                    </w:rPr>
                  </w:pPr>
                  <w:r>
                    <w:rPr>
                      <w:b/>
                      <w:color w:val="000000"/>
                      <w:sz w:val="21"/>
                      <w:szCs w:val="21"/>
                      <w:highlight w:val="none"/>
                    </w:rPr>
                    <w:t>无组织排放监控浓度限值</w:t>
                  </w:r>
                </w:p>
              </w:tc>
            </w:tr>
            <w:tr w14:paraId="0090B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73" w:type="pct"/>
                  <w:vMerge w:val="continue"/>
                  <w:tcBorders>
                    <w:tl2br w:val="nil"/>
                    <w:tr2bl w:val="nil"/>
                  </w:tcBorders>
                  <w:shd w:val="clear" w:color="auto" w:fill="auto"/>
                  <w:noWrap w:val="0"/>
                  <w:vAlign w:val="center"/>
                </w:tcPr>
                <w:p w14:paraId="5746FAD8">
                  <w:pPr>
                    <w:shd w:val="clear" w:color="auto" w:fill="auto"/>
                    <w:jc w:val="center"/>
                    <w:rPr>
                      <w:b/>
                      <w:color w:val="000000"/>
                      <w:sz w:val="21"/>
                      <w:szCs w:val="21"/>
                      <w:highlight w:val="none"/>
                    </w:rPr>
                  </w:pPr>
                </w:p>
              </w:tc>
              <w:tc>
                <w:tcPr>
                  <w:tcW w:w="942" w:type="pct"/>
                  <w:tcBorders>
                    <w:tl2br w:val="nil"/>
                    <w:tr2bl w:val="nil"/>
                  </w:tcBorders>
                  <w:shd w:val="clear" w:color="auto" w:fill="auto"/>
                  <w:noWrap w:val="0"/>
                  <w:vAlign w:val="center"/>
                </w:tcPr>
                <w:p w14:paraId="48237F10">
                  <w:pPr>
                    <w:shd w:val="clear" w:color="auto" w:fill="auto"/>
                    <w:jc w:val="center"/>
                    <w:rPr>
                      <w:b/>
                      <w:color w:val="000000"/>
                      <w:sz w:val="21"/>
                      <w:szCs w:val="21"/>
                      <w:highlight w:val="none"/>
                    </w:rPr>
                  </w:pPr>
                  <w:r>
                    <w:rPr>
                      <w:b/>
                      <w:color w:val="000000"/>
                      <w:sz w:val="21"/>
                      <w:szCs w:val="21"/>
                      <w:highlight w:val="none"/>
                    </w:rPr>
                    <w:t>最高允许排放浓度（mg/</w:t>
                  </w:r>
                  <w:r>
                    <w:rPr>
                      <w:rFonts w:hint="eastAsia"/>
                      <w:b/>
                      <w:color w:val="000000"/>
                      <w:sz w:val="21"/>
                      <w:szCs w:val="21"/>
                      <w:highlight w:val="none"/>
                      <w:lang w:eastAsia="zh-CN"/>
                    </w:rPr>
                    <w:t>m³</w:t>
                  </w:r>
                  <w:r>
                    <w:rPr>
                      <w:b/>
                      <w:color w:val="000000"/>
                      <w:sz w:val="21"/>
                      <w:szCs w:val="21"/>
                      <w:highlight w:val="none"/>
                    </w:rPr>
                    <w:t>）</w:t>
                  </w:r>
                </w:p>
              </w:tc>
              <w:tc>
                <w:tcPr>
                  <w:tcW w:w="874" w:type="pct"/>
                  <w:tcBorders>
                    <w:tl2br w:val="nil"/>
                    <w:tr2bl w:val="nil"/>
                  </w:tcBorders>
                  <w:shd w:val="clear" w:color="auto" w:fill="auto"/>
                  <w:noWrap w:val="0"/>
                  <w:vAlign w:val="center"/>
                </w:tcPr>
                <w:p w14:paraId="0658E5D8">
                  <w:pPr>
                    <w:shd w:val="clear" w:color="auto" w:fill="auto"/>
                    <w:jc w:val="center"/>
                    <w:rPr>
                      <w:rFonts w:hint="eastAsia"/>
                      <w:b/>
                      <w:color w:val="000000"/>
                      <w:sz w:val="21"/>
                      <w:szCs w:val="21"/>
                      <w:highlight w:val="none"/>
                    </w:rPr>
                  </w:pPr>
                  <w:r>
                    <w:rPr>
                      <w:b/>
                      <w:color w:val="000000"/>
                      <w:sz w:val="21"/>
                      <w:szCs w:val="21"/>
                      <w:highlight w:val="none"/>
                    </w:rPr>
                    <w:t>排放速率</w:t>
                  </w:r>
                </w:p>
                <w:p w14:paraId="40B6749A">
                  <w:pPr>
                    <w:pStyle w:val="27"/>
                    <w:shd w:val="clear" w:color="auto" w:fill="auto"/>
                    <w:ind w:firstLine="420"/>
                    <w:rPr>
                      <w:b/>
                      <w:color w:val="000000"/>
                      <w:sz w:val="21"/>
                      <w:szCs w:val="21"/>
                      <w:highlight w:val="none"/>
                    </w:rPr>
                  </w:pPr>
                  <w:r>
                    <w:rPr>
                      <w:rFonts w:hint="eastAsia"/>
                      <w:b/>
                      <w:color w:val="000000"/>
                      <w:sz w:val="21"/>
                      <w:szCs w:val="21"/>
                      <w:highlight w:val="none"/>
                      <w:lang w:eastAsia="zh-CN"/>
                    </w:rPr>
                    <w:t>(</w:t>
                  </w:r>
                  <w:r>
                    <w:rPr>
                      <w:rFonts w:hint="eastAsia"/>
                      <w:b/>
                      <w:color w:val="000000"/>
                      <w:sz w:val="21"/>
                      <w:szCs w:val="21"/>
                      <w:highlight w:val="none"/>
                    </w:rPr>
                    <w:t>kg/h</w:t>
                  </w:r>
                  <w:r>
                    <w:rPr>
                      <w:rFonts w:hint="eastAsia"/>
                      <w:b/>
                      <w:color w:val="000000"/>
                      <w:sz w:val="21"/>
                      <w:szCs w:val="21"/>
                      <w:highlight w:val="none"/>
                      <w:lang w:eastAsia="zh-CN"/>
                    </w:rPr>
                    <w:t>)</w:t>
                  </w:r>
                </w:p>
              </w:tc>
              <w:tc>
                <w:tcPr>
                  <w:tcW w:w="782" w:type="pct"/>
                  <w:tcBorders>
                    <w:tl2br w:val="nil"/>
                    <w:tr2bl w:val="nil"/>
                  </w:tcBorders>
                  <w:shd w:val="clear" w:color="auto" w:fill="auto"/>
                  <w:noWrap w:val="0"/>
                  <w:vAlign w:val="center"/>
                </w:tcPr>
                <w:p w14:paraId="37AA0436">
                  <w:pPr>
                    <w:shd w:val="clear" w:color="auto" w:fill="auto"/>
                    <w:jc w:val="center"/>
                    <w:rPr>
                      <w:b/>
                      <w:color w:val="000000"/>
                      <w:sz w:val="21"/>
                      <w:szCs w:val="21"/>
                      <w:highlight w:val="none"/>
                    </w:rPr>
                  </w:pPr>
                  <w:r>
                    <w:rPr>
                      <w:rFonts w:hint="eastAsia"/>
                      <w:b/>
                      <w:color w:val="000000"/>
                      <w:sz w:val="21"/>
                      <w:szCs w:val="21"/>
                      <w:highlight w:val="none"/>
                    </w:rPr>
                    <w:t>排气筒高度（m）</w:t>
                  </w:r>
                </w:p>
              </w:tc>
              <w:tc>
                <w:tcPr>
                  <w:tcW w:w="1094" w:type="pct"/>
                  <w:tcBorders>
                    <w:tl2br w:val="nil"/>
                    <w:tr2bl w:val="nil"/>
                  </w:tcBorders>
                  <w:shd w:val="clear" w:color="auto" w:fill="auto"/>
                  <w:noWrap w:val="0"/>
                  <w:vAlign w:val="center"/>
                </w:tcPr>
                <w:p w14:paraId="6419C6B3">
                  <w:pPr>
                    <w:shd w:val="clear" w:color="auto" w:fill="auto"/>
                    <w:jc w:val="center"/>
                    <w:rPr>
                      <w:b/>
                      <w:color w:val="000000"/>
                      <w:sz w:val="21"/>
                      <w:szCs w:val="21"/>
                      <w:highlight w:val="none"/>
                    </w:rPr>
                  </w:pPr>
                  <w:r>
                    <w:rPr>
                      <w:b/>
                      <w:color w:val="000000"/>
                      <w:sz w:val="21"/>
                      <w:szCs w:val="21"/>
                      <w:highlight w:val="none"/>
                    </w:rPr>
                    <w:t>监控点</w:t>
                  </w:r>
                </w:p>
              </w:tc>
              <w:tc>
                <w:tcPr>
                  <w:tcW w:w="733" w:type="pct"/>
                  <w:tcBorders>
                    <w:tl2br w:val="nil"/>
                    <w:tr2bl w:val="nil"/>
                  </w:tcBorders>
                  <w:shd w:val="clear" w:color="auto" w:fill="auto"/>
                  <w:noWrap w:val="0"/>
                  <w:vAlign w:val="center"/>
                </w:tcPr>
                <w:p w14:paraId="0EEA1A1E">
                  <w:pPr>
                    <w:shd w:val="clear" w:color="auto" w:fill="auto"/>
                    <w:jc w:val="center"/>
                    <w:rPr>
                      <w:b/>
                      <w:color w:val="000000"/>
                      <w:sz w:val="21"/>
                      <w:szCs w:val="21"/>
                      <w:highlight w:val="none"/>
                    </w:rPr>
                  </w:pPr>
                  <w:r>
                    <w:rPr>
                      <w:b/>
                      <w:color w:val="000000"/>
                      <w:sz w:val="21"/>
                      <w:szCs w:val="21"/>
                      <w:highlight w:val="none"/>
                    </w:rPr>
                    <w:t>浓度（mg/</w:t>
                  </w:r>
                  <w:r>
                    <w:rPr>
                      <w:rFonts w:hint="eastAsia"/>
                      <w:b/>
                      <w:color w:val="000000"/>
                      <w:sz w:val="21"/>
                      <w:szCs w:val="21"/>
                      <w:highlight w:val="none"/>
                      <w:lang w:eastAsia="zh-CN"/>
                    </w:rPr>
                    <w:t>m³</w:t>
                  </w:r>
                  <w:r>
                    <w:rPr>
                      <w:b/>
                      <w:color w:val="000000"/>
                      <w:sz w:val="21"/>
                      <w:szCs w:val="21"/>
                      <w:highlight w:val="none"/>
                    </w:rPr>
                    <w:t>）</w:t>
                  </w:r>
                </w:p>
              </w:tc>
            </w:tr>
            <w:tr w14:paraId="0F9F2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3" w:type="pct"/>
                  <w:tcBorders>
                    <w:tl2br w:val="nil"/>
                    <w:tr2bl w:val="nil"/>
                  </w:tcBorders>
                  <w:shd w:val="clear" w:color="auto" w:fill="auto"/>
                  <w:noWrap w:val="0"/>
                  <w:vAlign w:val="center"/>
                </w:tcPr>
                <w:p w14:paraId="7D903202">
                  <w:pPr>
                    <w:shd w:val="clear" w:color="auto" w:fill="auto"/>
                    <w:jc w:val="center"/>
                    <w:rPr>
                      <w:color w:val="000000"/>
                      <w:sz w:val="21"/>
                      <w:szCs w:val="21"/>
                      <w:highlight w:val="none"/>
                    </w:rPr>
                  </w:pPr>
                  <w:r>
                    <w:rPr>
                      <w:color w:val="000000"/>
                      <w:sz w:val="21"/>
                      <w:szCs w:val="21"/>
                      <w:highlight w:val="none"/>
                    </w:rPr>
                    <w:t>颗粒物</w:t>
                  </w:r>
                </w:p>
              </w:tc>
              <w:tc>
                <w:tcPr>
                  <w:tcW w:w="942" w:type="pct"/>
                  <w:tcBorders>
                    <w:tl2br w:val="nil"/>
                    <w:tr2bl w:val="nil"/>
                  </w:tcBorders>
                  <w:shd w:val="clear" w:color="auto" w:fill="auto"/>
                  <w:noWrap w:val="0"/>
                  <w:vAlign w:val="center"/>
                </w:tcPr>
                <w:p w14:paraId="52922FA5">
                  <w:pPr>
                    <w:shd w:val="clear" w:color="auto" w:fill="auto"/>
                    <w:jc w:val="center"/>
                    <w:rPr>
                      <w:color w:val="000000"/>
                      <w:sz w:val="21"/>
                      <w:szCs w:val="21"/>
                      <w:highlight w:val="none"/>
                    </w:rPr>
                  </w:pPr>
                  <w:r>
                    <w:rPr>
                      <w:rFonts w:hint="eastAsia"/>
                      <w:color w:val="000000"/>
                      <w:sz w:val="21"/>
                      <w:szCs w:val="21"/>
                      <w:highlight w:val="none"/>
                    </w:rPr>
                    <w:t>120</w:t>
                  </w:r>
                </w:p>
              </w:tc>
              <w:tc>
                <w:tcPr>
                  <w:tcW w:w="874" w:type="pct"/>
                  <w:tcBorders>
                    <w:tl2br w:val="nil"/>
                    <w:tr2bl w:val="nil"/>
                  </w:tcBorders>
                  <w:shd w:val="clear" w:color="auto" w:fill="auto"/>
                  <w:noWrap w:val="0"/>
                  <w:vAlign w:val="center"/>
                </w:tcPr>
                <w:p w14:paraId="515989C5">
                  <w:pPr>
                    <w:shd w:val="clear" w:color="auto" w:fill="auto"/>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5.9</w:t>
                  </w:r>
                </w:p>
              </w:tc>
              <w:tc>
                <w:tcPr>
                  <w:tcW w:w="782" w:type="pct"/>
                  <w:tcBorders>
                    <w:tl2br w:val="nil"/>
                    <w:tr2bl w:val="nil"/>
                  </w:tcBorders>
                  <w:shd w:val="clear" w:color="auto" w:fill="auto"/>
                  <w:noWrap w:val="0"/>
                  <w:vAlign w:val="center"/>
                </w:tcPr>
                <w:p w14:paraId="1108DE9D">
                  <w:pPr>
                    <w:shd w:val="clear" w:color="auto" w:fill="auto"/>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20</w:t>
                  </w:r>
                </w:p>
              </w:tc>
              <w:tc>
                <w:tcPr>
                  <w:tcW w:w="1094" w:type="pct"/>
                  <w:vMerge w:val="restart"/>
                  <w:tcBorders>
                    <w:tl2br w:val="nil"/>
                    <w:tr2bl w:val="nil"/>
                  </w:tcBorders>
                  <w:shd w:val="clear" w:color="auto" w:fill="auto"/>
                  <w:noWrap w:val="0"/>
                  <w:vAlign w:val="center"/>
                </w:tcPr>
                <w:p w14:paraId="042BC337">
                  <w:pPr>
                    <w:shd w:val="clear" w:color="auto" w:fill="auto"/>
                    <w:jc w:val="center"/>
                    <w:rPr>
                      <w:color w:val="000000"/>
                      <w:sz w:val="21"/>
                      <w:szCs w:val="21"/>
                      <w:highlight w:val="none"/>
                    </w:rPr>
                  </w:pPr>
                  <w:r>
                    <w:rPr>
                      <w:color w:val="000000"/>
                      <w:sz w:val="21"/>
                      <w:szCs w:val="21"/>
                      <w:highlight w:val="none"/>
                    </w:rPr>
                    <w:t>周界外浓度最高点</w:t>
                  </w:r>
                </w:p>
              </w:tc>
              <w:tc>
                <w:tcPr>
                  <w:tcW w:w="733" w:type="pct"/>
                  <w:tcBorders>
                    <w:tl2br w:val="nil"/>
                    <w:tr2bl w:val="nil"/>
                  </w:tcBorders>
                  <w:shd w:val="clear" w:color="auto" w:fill="auto"/>
                  <w:noWrap w:val="0"/>
                  <w:vAlign w:val="center"/>
                </w:tcPr>
                <w:p w14:paraId="508B3371">
                  <w:pPr>
                    <w:shd w:val="clear" w:color="auto" w:fill="auto"/>
                    <w:jc w:val="center"/>
                    <w:rPr>
                      <w:color w:val="000000"/>
                      <w:sz w:val="21"/>
                      <w:szCs w:val="21"/>
                      <w:highlight w:val="none"/>
                    </w:rPr>
                  </w:pPr>
                  <w:r>
                    <w:rPr>
                      <w:color w:val="000000"/>
                      <w:sz w:val="21"/>
                      <w:szCs w:val="21"/>
                      <w:highlight w:val="none"/>
                    </w:rPr>
                    <w:t>1.0</w:t>
                  </w:r>
                </w:p>
              </w:tc>
            </w:tr>
            <w:tr w14:paraId="47A67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73" w:type="pct"/>
                  <w:tcBorders>
                    <w:tl2br w:val="nil"/>
                    <w:tr2bl w:val="nil"/>
                  </w:tcBorders>
                  <w:shd w:val="clear" w:color="auto" w:fill="auto"/>
                  <w:noWrap w:val="0"/>
                  <w:vAlign w:val="center"/>
                </w:tcPr>
                <w:p w14:paraId="1108FA0F">
                  <w:pPr>
                    <w:shd w:val="clear" w:color="auto" w:fill="auto"/>
                    <w:jc w:val="center"/>
                    <w:rPr>
                      <w:rFonts w:hint="eastAsia" w:eastAsia="宋体"/>
                      <w:color w:val="000000"/>
                      <w:sz w:val="21"/>
                      <w:szCs w:val="21"/>
                      <w:highlight w:val="none"/>
                      <w:lang w:val="en-US" w:eastAsia="zh-CN"/>
                    </w:rPr>
                  </w:pPr>
                  <w:r>
                    <w:rPr>
                      <w:rFonts w:hint="eastAsia"/>
                      <w:color w:val="000000"/>
                      <w:sz w:val="21"/>
                      <w:szCs w:val="21"/>
                      <w:highlight w:val="none"/>
                      <w:lang w:val="en-US" w:eastAsia="zh-CN"/>
                    </w:rPr>
                    <w:t>硫酸雾</w:t>
                  </w:r>
                </w:p>
              </w:tc>
              <w:tc>
                <w:tcPr>
                  <w:tcW w:w="942" w:type="pct"/>
                  <w:tcBorders>
                    <w:tl2br w:val="nil"/>
                    <w:tr2bl w:val="nil"/>
                  </w:tcBorders>
                  <w:shd w:val="clear" w:color="auto" w:fill="auto"/>
                  <w:noWrap w:val="0"/>
                  <w:vAlign w:val="center"/>
                </w:tcPr>
                <w:p w14:paraId="34B432A8">
                  <w:pPr>
                    <w:shd w:val="clear" w:color="auto" w:fill="auto"/>
                    <w:jc w:val="center"/>
                    <w:rPr>
                      <w:rFonts w:hint="eastAsia" w:eastAsia="宋体"/>
                      <w:color w:val="000000"/>
                      <w:sz w:val="21"/>
                      <w:szCs w:val="21"/>
                      <w:highlight w:val="none"/>
                      <w:lang w:val="en-US" w:eastAsia="zh-CN"/>
                    </w:rPr>
                  </w:pPr>
                  <w:r>
                    <w:rPr>
                      <w:rFonts w:hint="eastAsia"/>
                      <w:color w:val="000000"/>
                      <w:sz w:val="21"/>
                      <w:szCs w:val="21"/>
                      <w:highlight w:val="none"/>
                      <w:lang w:val="en-US" w:eastAsia="zh-CN"/>
                    </w:rPr>
                    <w:t>/</w:t>
                  </w:r>
                </w:p>
              </w:tc>
              <w:tc>
                <w:tcPr>
                  <w:tcW w:w="874" w:type="pct"/>
                  <w:tcBorders>
                    <w:tl2br w:val="nil"/>
                    <w:tr2bl w:val="nil"/>
                  </w:tcBorders>
                  <w:shd w:val="clear" w:color="auto" w:fill="auto"/>
                  <w:noWrap w:val="0"/>
                  <w:vAlign w:val="center"/>
                </w:tcPr>
                <w:p w14:paraId="6A863F06">
                  <w:pPr>
                    <w:shd w:val="clear" w:color="auto" w:fill="auto"/>
                    <w:jc w:val="center"/>
                    <w:rPr>
                      <w:rFonts w:hint="default"/>
                      <w:color w:val="000000"/>
                      <w:sz w:val="21"/>
                      <w:szCs w:val="21"/>
                      <w:highlight w:val="none"/>
                      <w:lang w:val="en-US" w:eastAsia="zh-CN"/>
                    </w:rPr>
                  </w:pPr>
                  <w:r>
                    <w:rPr>
                      <w:rFonts w:hint="eastAsia"/>
                      <w:color w:val="000000"/>
                      <w:sz w:val="21"/>
                      <w:szCs w:val="21"/>
                      <w:highlight w:val="none"/>
                      <w:lang w:val="en-US" w:eastAsia="zh-CN"/>
                    </w:rPr>
                    <w:t>/</w:t>
                  </w:r>
                </w:p>
              </w:tc>
              <w:tc>
                <w:tcPr>
                  <w:tcW w:w="782" w:type="pct"/>
                  <w:tcBorders>
                    <w:tl2br w:val="nil"/>
                    <w:tr2bl w:val="nil"/>
                  </w:tcBorders>
                  <w:shd w:val="clear" w:color="auto" w:fill="auto"/>
                  <w:noWrap w:val="0"/>
                  <w:vAlign w:val="center"/>
                </w:tcPr>
                <w:p w14:paraId="026269F7">
                  <w:pPr>
                    <w:shd w:val="clear" w:color="auto" w:fill="auto"/>
                    <w:jc w:val="center"/>
                    <w:rPr>
                      <w:rFonts w:hint="default"/>
                      <w:color w:val="000000"/>
                      <w:sz w:val="21"/>
                      <w:szCs w:val="21"/>
                      <w:highlight w:val="none"/>
                      <w:lang w:val="en-US" w:eastAsia="zh-CN"/>
                    </w:rPr>
                  </w:pPr>
                  <w:r>
                    <w:rPr>
                      <w:rFonts w:hint="eastAsia"/>
                      <w:color w:val="000000"/>
                      <w:sz w:val="21"/>
                      <w:szCs w:val="21"/>
                      <w:highlight w:val="none"/>
                      <w:lang w:val="en-US" w:eastAsia="zh-CN"/>
                    </w:rPr>
                    <w:t>/</w:t>
                  </w:r>
                </w:p>
              </w:tc>
              <w:tc>
                <w:tcPr>
                  <w:tcW w:w="1094" w:type="pct"/>
                  <w:vMerge w:val="continue"/>
                  <w:tcBorders>
                    <w:tl2br w:val="nil"/>
                    <w:tr2bl w:val="nil"/>
                  </w:tcBorders>
                  <w:shd w:val="clear" w:color="auto" w:fill="auto"/>
                  <w:noWrap w:val="0"/>
                  <w:vAlign w:val="center"/>
                </w:tcPr>
                <w:p w14:paraId="4E8EE40F">
                  <w:pPr>
                    <w:shd w:val="clear" w:color="auto" w:fill="auto"/>
                    <w:jc w:val="center"/>
                    <w:rPr>
                      <w:color w:val="000000"/>
                      <w:sz w:val="21"/>
                      <w:szCs w:val="21"/>
                      <w:highlight w:val="none"/>
                    </w:rPr>
                  </w:pPr>
                </w:p>
              </w:tc>
              <w:tc>
                <w:tcPr>
                  <w:tcW w:w="733" w:type="pct"/>
                  <w:tcBorders>
                    <w:tl2br w:val="nil"/>
                    <w:tr2bl w:val="nil"/>
                  </w:tcBorders>
                  <w:shd w:val="clear" w:color="auto" w:fill="auto"/>
                  <w:noWrap w:val="0"/>
                  <w:vAlign w:val="center"/>
                </w:tcPr>
                <w:p w14:paraId="791E50F8">
                  <w:pPr>
                    <w:shd w:val="clear" w:color="auto" w:fill="auto"/>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1.2</w:t>
                  </w:r>
                </w:p>
              </w:tc>
            </w:tr>
          </w:tbl>
          <w:p w14:paraId="138E0FF3">
            <w:pPr>
              <w:shd w:val="clear" w:color="auto" w:fill="auto"/>
              <w:bidi w:val="0"/>
              <w:jc w:val="center"/>
              <w:rPr>
                <w:rFonts w:hint="default" w:ascii="Times New Roman" w:hAnsi="Times New Roman" w:eastAsia="宋体" w:cs="Times New Roman"/>
                <w:b/>
                <w:bCs/>
                <w:snapToGrid/>
                <w:color w:val="000000"/>
                <w:kern w:val="2"/>
                <w:szCs w:val="21"/>
                <w:highlight w:val="none"/>
                <w:lang w:val="en-US" w:eastAsia="zh-CN" w:bidi="ar-SA"/>
              </w:rPr>
            </w:pPr>
            <w:r>
              <w:rPr>
                <w:rFonts w:hint="default"/>
                <w:b/>
                <w:bCs/>
                <w:color w:val="000000"/>
                <w:highlight w:val="none"/>
                <w:lang w:val="en-US" w:eastAsia="zh-CN"/>
              </w:rPr>
              <w:t>表</w:t>
            </w:r>
            <w:r>
              <w:rPr>
                <w:rFonts w:hint="eastAsia"/>
                <w:b/>
                <w:bCs/>
                <w:color w:val="000000"/>
                <w:highlight w:val="none"/>
                <w:lang w:val="en-US" w:eastAsia="zh-CN"/>
              </w:rPr>
              <w:t>3</w:t>
            </w:r>
            <w:r>
              <w:rPr>
                <w:rFonts w:hint="default"/>
                <w:b/>
                <w:bCs/>
                <w:color w:val="000000"/>
                <w:highlight w:val="none"/>
                <w:lang w:val="en-US" w:eastAsia="zh-CN"/>
              </w:rPr>
              <w:t>-</w:t>
            </w:r>
            <w:r>
              <w:rPr>
                <w:rFonts w:hint="eastAsia"/>
                <w:b/>
                <w:bCs/>
                <w:color w:val="000000"/>
                <w:highlight w:val="none"/>
                <w:lang w:val="en-US" w:eastAsia="zh-CN"/>
              </w:rPr>
              <w:t xml:space="preserve">6     </w:t>
            </w:r>
            <w:r>
              <w:rPr>
                <w:rFonts w:cs="Times New Roman"/>
                <w:b/>
                <w:bCs/>
                <w:color w:val="000000"/>
                <w:highlight w:val="none"/>
              </w:rPr>
              <w:t>锅炉大气污染物排放标准</w:t>
            </w:r>
          </w:p>
          <w:tbl>
            <w:tblPr>
              <w:tblStyle w:val="12"/>
              <w:tblW w:w="7943" w:type="dxa"/>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8"/>
              <w:gridCol w:w="778"/>
              <w:gridCol w:w="1683"/>
              <w:gridCol w:w="1307"/>
              <w:gridCol w:w="1467"/>
            </w:tblGrid>
            <w:tr w14:paraId="5EF5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86" w:type="dxa"/>
                  <w:gridSpan w:val="2"/>
                  <w:vMerge w:val="restart"/>
                  <w:tcBorders>
                    <w:tl2br w:val="nil"/>
                    <w:tr2bl w:val="nil"/>
                  </w:tcBorders>
                  <w:noWrap w:val="0"/>
                  <w:vAlign w:val="center"/>
                </w:tcPr>
                <w:p w14:paraId="50442EE2">
                  <w:pPr>
                    <w:pStyle w:val="155"/>
                    <w:shd w:val="clear" w:color="auto" w:fill="auto"/>
                    <w:rPr>
                      <w:rFonts w:cs="Times New Roman"/>
                      <w:b/>
                      <w:bCs/>
                      <w:color w:val="000000"/>
                      <w:highlight w:val="none"/>
                    </w:rPr>
                  </w:pPr>
                  <w:r>
                    <w:rPr>
                      <w:rFonts w:cs="Times New Roman"/>
                      <w:b/>
                      <w:bCs/>
                      <w:color w:val="000000"/>
                      <w:highlight w:val="none"/>
                    </w:rPr>
                    <w:t>标准名称及类别</w:t>
                  </w:r>
                </w:p>
              </w:tc>
              <w:tc>
                <w:tcPr>
                  <w:tcW w:w="1683" w:type="dxa"/>
                  <w:vMerge w:val="restart"/>
                  <w:tcBorders>
                    <w:tl2br w:val="nil"/>
                    <w:tr2bl w:val="nil"/>
                  </w:tcBorders>
                  <w:noWrap w:val="0"/>
                  <w:vAlign w:val="center"/>
                </w:tcPr>
                <w:p w14:paraId="174AF55A">
                  <w:pPr>
                    <w:pStyle w:val="155"/>
                    <w:shd w:val="clear" w:color="auto" w:fill="auto"/>
                    <w:rPr>
                      <w:rFonts w:cs="Times New Roman"/>
                      <w:b/>
                      <w:bCs/>
                      <w:color w:val="000000"/>
                      <w:highlight w:val="none"/>
                    </w:rPr>
                  </w:pPr>
                  <w:r>
                    <w:rPr>
                      <w:rFonts w:cs="Times New Roman"/>
                      <w:b/>
                      <w:bCs/>
                      <w:color w:val="000000"/>
                      <w:highlight w:val="none"/>
                    </w:rPr>
                    <w:t>污染因子</w:t>
                  </w:r>
                </w:p>
              </w:tc>
              <w:tc>
                <w:tcPr>
                  <w:tcW w:w="2774" w:type="dxa"/>
                  <w:gridSpan w:val="2"/>
                  <w:tcBorders>
                    <w:tl2br w:val="nil"/>
                    <w:tr2bl w:val="nil"/>
                  </w:tcBorders>
                  <w:noWrap w:val="0"/>
                  <w:vAlign w:val="center"/>
                </w:tcPr>
                <w:p w14:paraId="729D9588">
                  <w:pPr>
                    <w:pStyle w:val="155"/>
                    <w:shd w:val="clear" w:color="auto" w:fill="auto"/>
                    <w:rPr>
                      <w:rFonts w:cs="Times New Roman"/>
                      <w:b/>
                      <w:bCs/>
                      <w:color w:val="000000"/>
                      <w:highlight w:val="none"/>
                    </w:rPr>
                  </w:pPr>
                  <w:r>
                    <w:rPr>
                      <w:rFonts w:cs="Times New Roman"/>
                      <w:b/>
                      <w:bCs/>
                      <w:color w:val="000000"/>
                      <w:highlight w:val="none"/>
                    </w:rPr>
                    <w:t>标准值</w:t>
                  </w:r>
                </w:p>
              </w:tc>
            </w:tr>
            <w:tr w14:paraId="4CD11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86" w:type="dxa"/>
                  <w:gridSpan w:val="2"/>
                  <w:vMerge w:val="continue"/>
                  <w:tcBorders>
                    <w:tl2br w:val="nil"/>
                    <w:tr2bl w:val="nil"/>
                  </w:tcBorders>
                  <w:noWrap w:val="0"/>
                  <w:vAlign w:val="center"/>
                </w:tcPr>
                <w:p w14:paraId="4F475F16">
                  <w:pPr>
                    <w:pStyle w:val="155"/>
                    <w:shd w:val="clear" w:color="auto" w:fill="auto"/>
                    <w:rPr>
                      <w:rFonts w:cs="Times New Roman"/>
                      <w:b/>
                      <w:bCs/>
                      <w:color w:val="000000"/>
                      <w:highlight w:val="none"/>
                    </w:rPr>
                  </w:pPr>
                </w:p>
              </w:tc>
              <w:tc>
                <w:tcPr>
                  <w:tcW w:w="1683" w:type="dxa"/>
                  <w:vMerge w:val="continue"/>
                  <w:tcBorders>
                    <w:tl2br w:val="nil"/>
                    <w:tr2bl w:val="nil"/>
                  </w:tcBorders>
                  <w:noWrap w:val="0"/>
                  <w:vAlign w:val="center"/>
                </w:tcPr>
                <w:p w14:paraId="7F29C757">
                  <w:pPr>
                    <w:pStyle w:val="155"/>
                    <w:shd w:val="clear" w:color="auto" w:fill="auto"/>
                    <w:rPr>
                      <w:rFonts w:cs="Times New Roman"/>
                      <w:b/>
                      <w:bCs/>
                      <w:color w:val="000000"/>
                      <w:highlight w:val="none"/>
                    </w:rPr>
                  </w:pPr>
                </w:p>
              </w:tc>
              <w:tc>
                <w:tcPr>
                  <w:tcW w:w="1307" w:type="dxa"/>
                  <w:tcBorders>
                    <w:tl2br w:val="nil"/>
                    <w:tr2bl w:val="nil"/>
                  </w:tcBorders>
                  <w:noWrap w:val="0"/>
                  <w:vAlign w:val="center"/>
                </w:tcPr>
                <w:p w14:paraId="55D758B3">
                  <w:pPr>
                    <w:pStyle w:val="155"/>
                    <w:shd w:val="clear" w:color="auto" w:fill="auto"/>
                    <w:rPr>
                      <w:rFonts w:cs="Times New Roman"/>
                      <w:b/>
                      <w:bCs/>
                      <w:color w:val="000000"/>
                      <w:highlight w:val="none"/>
                    </w:rPr>
                  </w:pPr>
                  <w:r>
                    <w:rPr>
                      <w:rFonts w:cs="Times New Roman"/>
                      <w:b/>
                      <w:bCs/>
                      <w:color w:val="000000"/>
                      <w:highlight w:val="none"/>
                    </w:rPr>
                    <w:t>单位</w:t>
                  </w:r>
                </w:p>
              </w:tc>
              <w:tc>
                <w:tcPr>
                  <w:tcW w:w="1467" w:type="dxa"/>
                  <w:tcBorders>
                    <w:tl2br w:val="nil"/>
                    <w:tr2bl w:val="nil"/>
                  </w:tcBorders>
                  <w:noWrap w:val="0"/>
                  <w:vAlign w:val="center"/>
                </w:tcPr>
                <w:p w14:paraId="60051C8C">
                  <w:pPr>
                    <w:pStyle w:val="155"/>
                    <w:shd w:val="clear" w:color="auto" w:fill="auto"/>
                    <w:rPr>
                      <w:rFonts w:cs="Times New Roman"/>
                      <w:b/>
                      <w:bCs/>
                      <w:color w:val="000000"/>
                      <w:highlight w:val="none"/>
                    </w:rPr>
                  </w:pPr>
                  <w:r>
                    <w:rPr>
                      <w:rFonts w:cs="Times New Roman"/>
                      <w:b/>
                      <w:bCs/>
                      <w:color w:val="000000"/>
                      <w:highlight w:val="none"/>
                    </w:rPr>
                    <w:t>限值</w:t>
                  </w:r>
                </w:p>
              </w:tc>
            </w:tr>
            <w:tr w14:paraId="2E54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vMerge w:val="restart"/>
                  <w:tcBorders>
                    <w:tl2br w:val="nil"/>
                    <w:tr2bl w:val="nil"/>
                  </w:tcBorders>
                  <w:noWrap w:val="0"/>
                  <w:vAlign w:val="center"/>
                </w:tcPr>
                <w:p w14:paraId="4B4AC6A4">
                  <w:pPr>
                    <w:pStyle w:val="155"/>
                    <w:shd w:val="clear" w:color="auto" w:fill="auto"/>
                    <w:rPr>
                      <w:rFonts w:cs="Times New Roman"/>
                      <w:color w:val="000000"/>
                      <w:highlight w:val="none"/>
                    </w:rPr>
                  </w:pPr>
                  <w:r>
                    <w:rPr>
                      <w:rFonts w:cs="Times New Roman"/>
                      <w:color w:val="000000"/>
                      <w:highlight w:val="none"/>
                    </w:rPr>
                    <w:t>《锅炉大气污染物排放标准》（DB61/1226-2018）</w:t>
                  </w:r>
                </w:p>
              </w:tc>
              <w:tc>
                <w:tcPr>
                  <w:tcW w:w="778" w:type="dxa"/>
                  <w:vMerge w:val="restart"/>
                  <w:tcBorders>
                    <w:tl2br w:val="nil"/>
                    <w:tr2bl w:val="nil"/>
                  </w:tcBorders>
                  <w:noWrap w:val="0"/>
                  <w:vAlign w:val="center"/>
                </w:tcPr>
                <w:p w14:paraId="52EE54E0">
                  <w:pPr>
                    <w:shd w:val="clear" w:color="auto" w:fill="auto"/>
                    <w:jc w:val="center"/>
                    <w:rPr>
                      <w:rFonts w:hint="default" w:ascii="Times New Roman" w:hAnsi="Times New Roman" w:eastAsia="宋体" w:cs="Times New Roman"/>
                      <w:color w:val="000000"/>
                      <w:highlight w:val="none"/>
                      <w:lang w:val="en-US" w:eastAsia="zh-CN"/>
                    </w:rPr>
                  </w:pPr>
                  <w:r>
                    <w:rPr>
                      <w:rFonts w:hint="eastAsia" w:ascii="Times New Roman" w:hAnsi="Times New Roman" w:cs="Times New Roman"/>
                      <w:color w:val="000000"/>
                      <w:highlight w:val="none"/>
                      <w:lang w:val="en-US" w:eastAsia="zh-CN"/>
                    </w:rPr>
                    <w:t>有组织废气</w:t>
                  </w:r>
                </w:p>
              </w:tc>
              <w:tc>
                <w:tcPr>
                  <w:tcW w:w="1683" w:type="dxa"/>
                  <w:tcBorders>
                    <w:tl2br w:val="nil"/>
                    <w:tr2bl w:val="nil"/>
                  </w:tcBorders>
                  <w:noWrap w:val="0"/>
                  <w:vAlign w:val="center"/>
                </w:tcPr>
                <w:p w14:paraId="6593593B">
                  <w:pPr>
                    <w:pStyle w:val="155"/>
                    <w:shd w:val="clear" w:color="auto" w:fill="auto"/>
                    <w:rPr>
                      <w:rFonts w:cs="Times New Roman"/>
                      <w:color w:val="000000"/>
                      <w:highlight w:val="none"/>
                    </w:rPr>
                  </w:pPr>
                  <w:r>
                    <w:rPr>
                      <w:rFonts w:cs="Times New Roman"/>
                      <w:color w:val="000000"/>
                      <w:highlight w:val="none"/>
                    </w:rPr>
                    <w:t>烟尘</w:t>
                  </w:r>
                </w:p>
              </w:tc>
              <w:tc>
                <w:tcPr>
                  <w:tcW w:w="1307" w:type="dxa"/>
                  <w:tcBorders>
                    <w:tl2br w:val="nil"/>
                    <w:tr2bl w:val="nil"/>
                  </w:tcBorders>
                  <w:noWrap w:val="0"/>
                  <w:vAlign w:val="center"/>
                </w:tcPr>
                <w:p w14:paraId="47E85F3A">
                  <w:pPr>
                    <w:pStyle w:val="155"/>
                    <w:shd w:val="clear" w:color="auto" w:fill="auto"/>
                    <w:rPr>
                      <w:rFonts w:hint="eastAsia" w:eastAsia="宋体" w:cs="Times New Roman"/>
                      <w:color w:val="000000"/>
                      <w:highlight w:val="none"/>
                      <w:lang w:eastAsia="zh-CN"/>
                    </w:rPr>
                  </w:pPr>
                  <w:r>
                    <w:rPr>
                      <w:rFonts w:cs="Times New Roman"/>
                      <w:color w:val="000000"/>
                      <w:highlight w:val="none"/>
                    </w:rPr>
                    <w:t>mg/</w:t>
                  </w:r>
                  <w:r>
                    <w:rPr>
                      <w:rFonts w:hint="eastAsia" w:cs="Times New Roman"/>
                      <w:color w:val="000000"/>
                      <w:highlight w:val="none"/>
                      <w:lang w:eastAsia="zh-CN"/>
                    </w:rPr>
                    <w:t>m³</w:t>
                  </w:r>
                </w:p>
              </w:tc>
              <w:tc>
                <w:tcPr>
                  <w:tcW w:w="1467" w:type="dxa"/>
                  <w:tcBorders>
                    <w:tl2br w:val="nil"/>
                    <w:tr2bl w:val="nil"/>
                  </w:tcBorders>
                  <w:noWrap w:val="0"/>
                  <w:vAlign w:val="center"/>
                </w:tcPr>
                <w:p w14:paraId="628B5637">
                  <w:pPr>
                    <w:pStyle w:val="155"/>
                    <w:shd w:val="clear" w:color="auto" w:fill="auto"/>
                    <w:rPr>
                      <w:rFonts w:cs="Times New Roman"/>
                      <w:color w:val="000000"/>
                      <w:highlight w:val="none"/>
                    </w:rPr>
                  </w:pPr>
                  <w:r>
                    <w:rPr>
                      <w:rFonts w:cs="Times New Roman"/>
                      <w:color w:val="000000"/>
                      <w:highlight w:val="none"/>
                    </w:rPr>
                    <w:t>10</w:t>
                  </w:r>
                </w:p>
              </w:tc>
            </w:tr>
            <w:tr w14:paraId="41C8B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708" w:type="dxa"/>
                  <w:vMerge w:val="continue"/>
                  <w:tcBorders>
                    <w:tl2br w:val="nil"/>
                    <w:tr2bl w:val="nil"/>
                  </w:tcBorders>
                  <w:noWrap w:val="0"/>
                  <w:vAlign w:val="center"/>
                </w:tcPr>
                <w:p w14:paraId="7F6D3B33">
                  <w:pPr>
                    <w:pStyle w:val="155"/>
                    <w:shd w:val="clear" w:color="auto" w:fill="auto"/>
                    <w:rPr>
                      <w:rFonts w:cs="Times New Roman"/>
                      <w:color w:val="000000"/>
                      <w:highlight w:val="none"/>
                    </w:rPr>
                  </w:pPr>
                </w:p>
              </w:tc>
              <w:tc>
                <w:tcPr>
                  <w:tcW w:w="778" w:type="dxa"/>
                  <w:vMerge w:val="continue"/>
                  <w:tcBorders>
                    <w:tl2br w:val="nil"/>
                    <w:tr2bl w:val="nil"/>
                  </w:tcBorders>
                  <w:noWrap w:val="0"/>
                  <w:vAlign w:val="center"/>
                </w:tcPr>
                <w:p w14:paraId="2C75D33B">
                  <w:pPr>
                    <w:shd w:val="clear" w:color="auto" w:fill="auto"/>
                    <w:jc w:val="center"/>
                    <w:rPr>
                      <w:rFonts w:ascii="Times New Roman" w:hAnsi="Times New Roman" w:cs="Times New Roman"/>
                      <w:color w:val="000000"/>
                      <w:highlight w:val="none"/>
                    </w:rPr>
                  </w:pPr>
                </w:p>
              </w:tc>
              <w:tc>
                <w:tcPr>
                  <w:tcW w:w="1683" w:type="dxa"/>
                  <w:tcBorders>
                    <w:tl2br w:val="nil"/>
                    <w:tr2bl w:val="nil"/>
                  </w:tcBorders>
                  <w:noWrap w:val="0"/>
                  <w:vAlign w:val="center"/>
                </w:tcPr>
                <w:p w14:paraId="2A48DF01">
                  <w:pPr>
                    <w:pStyle w:val="155"/>
                    <w:shd w:val="clear" w:color="auto" w:fill="auto"/>
                    <w:rPr>
                      <w:rFonts w:cs="Times New Roman"/>
                      <w:color w:val="000000"/>
                      <w:highlight w:val="none"/>
                    </w:rPr>
                  </w:pPr>
                  <w:r>
                    <w:rPr>
                      <w:rFonts w:cs="Times New Roman"/>
                      <w:color w:val="000000"/>
                      <w:highlight w:val="none"/>
                    </w:rPr>
                    <w:t>SO</w:t>
                  </w:r>
                  <w:r>
                    <w:rPr>
                      <w:rFonts w:cs="Times New Roman"/>
                      <w:color w:val="000000"/>
                      <w:sz w:val="21"/>
                      <w:highlight w:val="none"/>
                      <w:vertAlign w:val="subscript"/>
                    </w:rPr>
                    <w:t>2</w:t>
                  </w:r>
                </w:p>
              </w:tc>
              <w:tc>
                <w:tcPr>
                  <w:tcW w:w="1307" w:type="dxa"/>
                  <w:tcBorders>
                    <w:tl2br w:val="nil"/>
                    <w:tr2bl w:val="nil"/>
                  </w:tcBorders>
                  <w:noWrap w:val="0"/>
                  <w:vAlign w:val="center"/>
                </w:tcPr>
                <w:p w14:paraId="591ADB09">
                  <w:pPr>
                    <w:pStyle w:val="155"/>
                    <w:shd w:val="clear" w:color="auto" w:fill="auto"/>
                    <w:rPr>
                      <w:rFonts w:hint="eastAsia" w:eastAsia="宋体" w:cs="Times New Roman"/>
                      <w:color w:val="000000"/>
                      <w:highlight w:val="none"/>
                      <w:lang w:eastAsia="zh-CN"/>
                    </w:rPr>
                  </w:pPr>
                  <w:r>
                    <w:rPr>
                      <w:rFonts w:cs="Times New Roman"/>
                      <w:color w:val="000000"/>
                      <w:highlight w:val="none"/>
                    </w:rPr>
                    <w:t>mg/</w:t>
                  </w:r>
                  <w:r>
                    <w:rPr>
                      <w:rFonts w:hint="eastAsia" w:cs="Times New Roman"/>
                      <w:color w:val="000000"/>
                      <w:highlight w:val="none"/>
                      <w:lang w:eastAsia="zh-CN"/>
                    </w:rPr>
                    <w:t>m³</w:t>
                  </w:r>
                </w:p>
              </w:tc>
              <w:tc>
                <w:tcPr>
                  <w:tcW w:w="1467" w:type="dxa"/>
                  <w:tcBorders>
                    <w:tl2br w:val="nil"/>
                    <w:tr2bl w:val="nil"/>
                  </w:tcBorders>
                  <w:noWrap w:val="0"/>
                  <w:vAlign w:val="center"/>
                </w:tcPr>
                <w:p w14:paraId="00D2D4D4">
                  <w:pPr>
                    <w:pStyle w:val="155"/>
                    <w:shd w:val="clear" w:color="auto" w:fill="auto"/>
                    <w:rPr>
                      <w:rFonts w:cs="Times New Roman"/>
                      <w:color w:val="000000"/>
                      <w:highlight w:val="none"/>
                    </w:rPr>
                  </w:pPr>
                  <w:r>
                    <w:rPr>
                      <w:rFonts w:cs="Times New Roman"/>
                      <w:color w:val="000000"/>
                      <w:highlight w:val="none"/>
                    </w:rPr>
                    <w:t>20</w:t>
                  </w:r>
                </w:p>
              </w:tc>
            </w:tr>
            <w:tr w14:paraId="54989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08" w:type="dxa"/>
                  <w:tcBorders>
                    <w:tl2br w:val="nil"/>
                    <w:tr2bl w:val="nil"/>
                  </w:tcBorders>
                  <w:noWrap w:val="0"/>
                  <w:vAlign w:val="center"/>
                </w:tcPr>
                <w:p w14:paraId="6C29850B">
                  <w:pPr>
                    <w:pStyle w:val="155"/>
                    <w:shd w:val="clear" w:color="auto" w:fill="auto"/>
                    <w:rPr>
                      <w:rFonts w:cs="Times New Roman"/>
                      <w:color w:val="000000"/>
                      <w:highlight w:val="none"/>
                    </w:rPr>
                  </w:pPr>
                  <w:r>
                    <w:rPr>
                      <w:rFonts w:hint="eastAsia" w:ascii="Times New Roman" w:hAnsi="Times New Roman" w:eastAsia="宋体" w:cs="Times New Roman"/>
                      <w:color w:val="000000"/>
                      <w:szCs w:val="21"/>
                      <w:highlight w:val="none"/>
                      <w:lang w:val="en-US" w:eastAsia="zh-CN"/>
                    </w:rPr>
                    <w:t>《宝鸡市锅炉大气污染专项整治行动方案》</w:t>
                  </w:r>
                </w:p>
              </w:tc>
              <w:tc>
                <w:tcPr>
                  <w:tcW w:w="778" w:type="dxa"/>
                  <w:vMerge w:val="continue"/>
                  <w:tcBorders>
                    <w:tl2br w:val="nil"/>
                    <w:tr2bl w:val="nil"/>
                  </w:tcBorders>
                  <w:noWrap w:val="0"/>
                  <w:vAlign w:val="center"/>
                </w:tcPr>
                <w:p w14:paraId="685E59E5">
                  <w:pPr>
                    <w:shd w:val="clear" w:color="auto" w:fill="auto"/>
                    <w:jc w:val="center"/>
                    <w:rPr>
                      <w:rFonts w:ascii="Times New Roman" w:hAnsi="Times New Roman" w:cs="Times New Roman"/>
                      <w:color w:val="000000"/>
                      <w:highlight w:val="none"/>
                    </w:rPr>
                  </w:pPr>
                </w:p>
              </w:tc>
              <w:tc>
                <w:tcPr>
                  <w:tcW w:w="1683" w:type="dxa"/>
                  <w:tcBorders>
                    <w:tl2br w:val="nil"/>
                    <w:tr2bl w:val="nil"/>
                  </w:tcBorders>
                  <w:noWrap w:val="0"/>
                  <w:vAlign w:val="center"/>
                </w:tcPr>
                <w:p w14:paraId="24A54935">
                  <w:pPr>
                    <w:pStyle w:val="155"/>
                    <w:shd w:val="clear" w:color="auto" w:fill="auto"/>
                    <w:rPr>
                      <w:rFonts w:cs="Times New Roman"/>
                      <w:color w:val="000000"/>
                      <w:kern w:val="2"/>
                      <w:sz w:val="21"/>
                      <w:szCs w:val="21"/>
                      <w:highlight w:val="none"/>
                      <w:lang w:val="en-US" w:eastAsia="zh-CN" w:bidi="ar-SA"/>
                    </w:rPr>
                  </w:pPr>
                  <w:r>
                    <w:rPr>
                      <w:rFonts w:cs="Times New Roman"/>
                      <w:color w:val="000000"/>
                      <w:highlight w:val="none"/>
                    </w:rPr>
                    <w:t>NO</w:t>
                  </w:r>
                  <w:r>
                    <w:rPr>
                      <w:rFonts w:cs="Times New Roman"/>
                      <w:color w:val="000000"/>
                      <w:highlight w:val="none"/>
                      <w:vertAlign w:val="subscript"/>
                    </w:rPr>
                    <w:t>X</w:t>
                  </w:r>
                </w:p>
              </w:tc>
              <w:tc>
                <w:tcPr>
                  <w:tcW w:w="1307" w:type="dxa"/>
                  <w:tcBorders>
                    <w:tl2br w:val="nil"/>
                    <w:tr2bl w:val="nil"/>
                  </w:tcBorders>
                  <w:noWrap w:val="0"/>
                  <w:vAlign w:val="center"/>
                </w:tcPr>
                <w:p w14:paraId="76DDB8DB">
                  <w:pPr>
                    <w:pStyle w:val="155"/>
                    <w:shd w:val="clear" w:color="auto" w:fill="auto"/>
                    <w:rPr>
                      <w:rFonts w:hint="eastAsia" w:eastAsia="宋体" w:cs="Times New Roman"/>
                      <w:color w:val="000000"/>
                      <w:kern w:val="2"/>
                      <w:sz w:val="21"/>
                      <w:szCs w:val="21"/>
                      <w:highlight w:val="none"/>
                      <w:lang w:val="en-US" w:eastAsia="zh-CN" w:bidi="ar-SA"/>
                    </w:rPr>
                  </w:pPr>
                  <w:r>
                    <w:rPr>
                      <w:rFonts w:cs="Times New Roman"/>
                      <w:color w:val="000000"/>
                      <w:highlight w:val="none"/>
                    </w:rPr>
                    <w:t>mg/</w:t>
                  </w:r>
                  <w:r>
                    <w:rPr>
                      <w:rFonts w:hint="eastAsia" w:cs="Times New Roman"/>
                      <w:color w:val="000000"/>
                      <w:highlight w:val="none"/>
                      <w:lang w:eastAsia="zh-CN"/>
                    </w:rPr>
                    <w:t>m³</w:t>
                  </w:r>
                </w:p>
              </w:tc>
              <w:tc>
                <w:tcPr>
                  <w:tcW w:w="1467" w:type="dxa"/>
                  <w:tcBorders>
                    <w:tl2br w:val="nil"/>
                    <w:tr2bl w:val="nil"/>
                  </w:tcBorders>
                  <w:noWrap w:val="0"/>
                  <w:vAlign w:val="center"/>
                </w:tcPr>
                <w:p w14:paraId="011D8DFA">
                  <w:pPr>
                    <w:pStyle w:val="155"/>
                    <w:shd w:val="clear" w:color="auto" w:fill="auto"/>
                    <w:rPr>
                      <w:rFonts w:hint="default" w:eastAsia="宋体" w:cs="Times New Roman"/>
                      <w:color w:val="000000"/>
                      <w:kern w:val="2"/>
                      <w:sz w:val="21"/>
                      <w:szCs w:val="21"/>
                      <w:highlight w:val="none"/>
                      <w:lang w:val="en-US" w:eastAsia="zh-CN" w:bidi="ar-SA"/>
                    </w:rPr>
                  </w:pPr>
                  <w:r>
                    <w:rPr>
                      <w:rFonts w:hint="eastAsia" w:cs="Times New Roman"/>
                      <w:color w:val="000000"/>
                      <w:highlight w:val="none"/>
                      <w:lang w:val="en-US" w:eastAsia="zh-CN"/>
                    </w:rPr>
                    <w:t>30</w:t>
                  </w:r>
                </w:p>
              </w:tc>
            </w:tr>
            <w:tr w14:paraId="69C55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Borders>
                    <w:tl2br w:val="nil"/>
                    <w:tr2bl w:val="nil"/>
                  </w:tcBorders>
                  <w:noWrap w:val="0"/>
                  <w:vAlign w:val="center"/>
                </w:tcPr>
                <w:p w14:paraId="54D99B1E">
                  <w:pPr>
                    <w:pStyle w:val="155"/>
                    <w:shd w:val="clear" w:color="auto" w:fill="auto"/>
                    <w:rPr>
                      <w:rFonts w:cs="Times New Roman"/>
                      <w:color w:val="000000"/>
                      <w:highlight w:val="none"/>
                    </w:rPr>
                  </w:pPr>
                  <w:r>
                    <w:rPr>
                      <w:rFonts w:ascii="Times New Roman" w:hAnsi="Times New Roman" w:eastAsia="宋体" w:cs="Times New Roman"/>
                      <w:color w:val="000000"/>
                      <w:szCs w:val="21"/>
                      <w:highlight w:val="none"/>
                    </w:rPr>
                    <w:t>《锅炉大气污染物排放标准》</w:t>
                  </w:r>
                  <w:r>
                    <w:rPr>
                      <w:rFonts w:hint="eastAsia" w:ascii="Times New Roman" w:hAnsi="Times New Roman" w:eastAsia="宋体" w:cs="Times New Roman"/>
                      <w:color w:val="000000"/>
                      <w:szCs w:val="21"/>
                      <w:highlight w:val="none"/>
                      <w:lang w:eastAsia="zh-CN"/>
                    </w:rPr>
                    <w:t>（GB13271-201</w:t>
                  </w:r>
                  <w:r>
                    <w:rPr>
                      <w:rFonts w:hint="eastAsia" w:ascii="Times New Roman" w:hAnsi="Times New Roman" w:eastAsia="宋体" w:cs="Times New Roman"/>
                      <w:color w:val="000000"/>
                      <w:szCs w:val="21"/>
                      <w:highlight w:val="none"/>
                      <w:lang w:val="en-US" w:eastAsia="zh-CN"/>
                    </w:rPr>
                    <w:t>4</w:t>
                  </w:r>
                  <w:r>
                    <w:rPr>
                      <w:rFonts w:hint="eastAsia" w:ascii="Times New Roman" w:hAnsi="Times New Roman" w:eastAsia="宋体" w:cs="Times New Roman"/>
                      <w:color w:val="000000"/>
                      <w:szCs w:val="21"/>
                      <w:highlight w:val="none"/>
                      <w:lang w:eastAsia="zh-CN"/>
                    </w:rPr>
                    <w:t>）</w:t>
                  </w:r>
                </w:p>
              </w:tc>
              <w:tc>
                <w:tcPr>
                  <w:tcW w:w="778" w:type="dxa"/>
                  <w:vMerge w:val="continue"/>
                  <w:tcBorders>
                    <w:tl2br w:val="nil"/>
                    <w:tr2bl w:val="nil"/>
                  </w:tcBorders>
                  <w:noWrap w:val="0"/>
                  <w:vAlign w:val="center"/>
                </w:tcPr>
                <w:p w14:paraId="4F43A1F7">
                  <w:pPr>
                    <w:shd w:val="clear" w:color="auto" w:fill="auto"/>
                    <w:jc w:val="center"/>
                    <w:rPr>
                      <w:rFonts w:ascii="Times New Roman" w:hAnsi="Times New Roman" w:cs="Times New Roman"/>
                      <w:color w:val="000000"/>
                      <w:highlight w:val="none"/>
                    </w:rPr>
                  </w:pPr>
                </w:p>
              </w:tc>
              <w:tc>
                <w:tcPr>
                  <w:tcW w:w="1683" w:type="dxa"/>
                  <w:tcBorders>
                    <w:tl2br w:val="nil"/>
                    <w:tr2bl w:val="nil"/>
                  </w:tcBorders>
                  <w:noWrap w:val="0"/>
                  <w:vAlign w:val="center"/>
                </w:tcPr>
                <w:p w14:paraId="014C2BDB">
                  <w:pPr>
                    <w:pStyle w:val="155"/>
                    <w:shd w:val="clear" w:color="auto" w:fill="auto"/>
                    <w:rPr>
                      <w:rFonts w:hint="eastAsia" w:eastAsia="宋体" w:cs="Times New Roman"/>
                      <w:color w:val="000000"/>
                      <w:kern w:val="2"/>
                      <w:sz w:val="21"/>
                      <w:szCs w:val="21"/>
                      <w:highlight w:val="none"/>
                      <w:lang w:val="en-US" w:eastAsia="zh-CN" w:bidi="ar-SA"/>
                    </w:rPr>
                  </w:pPr>
                  <w:r>
                    <w:rPr>
                      <w:rFonts w:hint="eastAsia" w:cs="Times New Roman"/>
                      <w:color w:val="000000"/>
                      <w:highlight w:val="none"/>
                      <w:lang w:val="en-US" w:eastAsia="zh-CN"/>
                    </w:rPr>
                    <w:t>烟气黑度（林格曼黑度）</w:t>
                  </w:r>
                </w:p>
              </w:tc>
              <w:tc>
                <w:tcPr>
                  <w:tcW w:w="1307" w:type="dxa"/>
                  <w:tcBorders>
                    <w:tl2br w:val="nil"/>
                    <w:tr2bl w:val="nil"/>
                  </w:tcBorders>
                  <w:noWrap w:val="0"/>
                  <w:vAlign w:val="center"/>
                </w:tcPr>
                <w:p w14:paraId="7955D3C5">
                  <w:pPr>
                    <w:pStyle w:val="155"/>
                    <w:shd w:val="clear" w:color="auto" w:fill="auto"/>
                    <w:rPr>
                      <w:rFonts w:hint="eastAsia" w:eastAsia="宋体" w:cs="Times New Roman"/>
                      <w:color w:val="000000"/>
                      <w:kern w:val="2"/>
                      <w:sz w:val="21"/>
                      <w:szCs w:val="21"/>
                      <w:highlight w:val="none"/>
                      <w:lang w:val="en-US" w:eastAsia="zh-CN" w:bidi="ar-SA"/>
                    </w:rPr>
                  </w:pPr>
                  <w:r>
                    <w:rPr>
                      <w:rFonts w:hint="eastAsia" w:cs="Times New Roman"/>
                      <w:color w:val="000000"/>
                      <w:highlight w:val="none"/>
                      <w:lang w:val="en-US" w:eastAsia="zh-CN"/>
                    </w:rPr>
                    <w:t>/</w:t>
                  </w:r>
                </w:p>
              </w:tc>
              <w:tc>
                <w:tcPr>
                  <w:tcW w:w="1467" w:type="dxa"/>
                  <w:tcBorders>
                    <w:tl2br w:val="nil"/>
                    <w:tr2bl w:val="nil"/>
                  </w:tcBorders>
                  <w:noWrap w:val="0"/>
                  <w:vAlign w:val="center"/>
                </w:tcPr>
                <w:p w14:paraId="749DDD3B">
                  <w:pPr>
                    <w:pStyle w:val="155"/>
                    <w:shd w:val="clear" w:color="auto" w:fill="auto"/>
                    <w:rPr>
                      <w:rFonts w:hint="default" w:eastAsia="宋体" w:cs="Times New Roman"/>
                      <w:color w:val="000000"/>
                      <w:kern w:val="2"/>
                      <w:sz w:val="21"/>
                      <w:szCs w:val="21"/>
                      <w:highlight w:val="none"/>
                      <w:lang w:val="en-US" w:eastAsia="zh-CN" w:bidi="ar-SA"/>
                    </w:rPr>
                  </w:pPr>
                  <w:r>
                    <w:rPr>
                      <w:rFonts w:hint="default" w:ascii="Arial" w:hAnsi="Arial" w:cs="Arial"/>
                      <w:color w:val="000000"/>
                      <w:highlight w:val="none"/>
                    </w:rPr>
                    <w:t>≤</w:t>
                  </w:r>
                  <w:r>
                    <w:rPr>
                      <w:rFonts w:hint="eastAsia" w:cs="Times New Roman"/>
                      <w:color w:val="000000"/>
                      <w:highlight w:val="none"/>
                      <w:lang w:val="en-US" w:eastAsia="zh-CN"/>
                    </w:rPr>
                    <w:t>1</w:t>
                  </w:r>
                </w:p>
              </w:tc>
            </w:tr>
          </w:tbl>
          <w:p w14:paraId="0D94D477">
            <w:pPr>
              <w:shd w:val="clear" w:color="auto" w:fill="auto"/>
              <w:bidi w:val="0"/>
              <w:jc w:val="center"/>
              <w:rPr>
                <w:rFonts w:hint="eastAsia"/>
                <w:b/>
                <w:bCs/>
                <w:color w:val="000000"/>
                <w:highlight w:val="none"/>
                <w:lang w:val="en-US" w:eastAsia="zh-CN"/>
              </w:rPr>
            </w:pPr>
            <w:r>
              <w:rPr>
                <w:rFonts w:hint="default"/>
                <w:b/>
                <w:bCs/>
                <w:color w:val="000000"/>
                <w:highlight w:val="none"/>
                <w:lang w:val="en-US" w:eastAsia="zh-CN"/>
              </w:rPr>
              <w:t>表</w:t>
            </w:r>
            <w:r>
              <w:rPr>
                <w:rFonts w:hint="eastAsia"/>
                <w:b/>
                <w:bCs/>
                <w:color w:val="000000"/>
                <w:highlight w:val="none"/>
                <w:lang w:val="en-US" w:eastAsia="zh-CN"/>
              </w:rPr>
              <w:t>3</w:t>
            </w:r>
            <w:r>
              <w:rPr>
                <w:rFonts w:hint="default"/>
                <w:b/>
                <w:bCs/>
                <w:color w:val="000000"/>
                <w:highlight w:val="none"/>
                <w:lang w:val="en-US" w:eastAsia="zh-CN"/>
              </w:rPr>
              <w:t>-</w:t>
            </w:r>
            <w:r>
              <w:rPr>
                <w:rFonts w:hint="eastAsia"/>
                <w:b/>
                <w:bCs/>
                <w:color w:val="000000"/>
                <w:highlight w:val="none"/>
                <w:lang w:val="en-US" w:eastAsia="zh-CN"/>
              </w:rPr>
              <w:t>7     恶臭污染物排放标准</w:t>
            </w:r>
          </w:p>
          <w:tbl>
            <w:tblPr>
              <w:tblStyle w:val="21"/>
              <w:tblW w:w="79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29"/>
              <w:gridCol w:w="2100"/>
              <w:gridCol w:w="1723"/>
              <w:gridCol w:w="1394"/>
              <w:gridCol w:w="1517"/>
            </w:tblGrid>
            <w:tr w14:paraId="07F4D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229" w:type="dxa"/>
                  <w:vMerge w:val="restart"/>
                  <w:tcBorders>
                    <w:tl2br w:val="nil"/>
                    <w:tr2bl w:val="nil"/>
                  </w:tcBorders>
                  <w:shd w:val="clear" w:color="auto" w:fill="auto"/>
                  <w:noWrap w:val="0"/>
                  <w:vAlign w:val="center"/>
                </w:tcPr>
                <w:p w14:paraId="7FE4BE05">
                  <w:pPr>
                    <w:shd w:val="clear" w:color="auto" w:fill="auto"/>
                    <w:jc w:val="center"/>
                    <w:rPr>
                      <w:b/>
                      <w:color w:val="000000"/>
                      <w:sz w:val="21"/>
                      <w:szCs w:val="21"/>
                      <w:highlight w:val="none"/>
                    </w:rPr>
                  </w:pPr>
                  <w:r>
                    <w:rPr>
                      <w:b/>
                      <w:color w:val="000000"/>
                      <w:sz w:val="21"/>
                      <w:szCs w:val="21"/>
                      <w:highlight w:val="none"/>
                    </w:rPr>
                    <w:t>污染物</w:t>
                  </w:r>
                </w:p>
              </w:tc>
              <w:tc>
                <w:tcPr>
                  <w:tcW w:w="3823" w:type="dxa"/>
                  <w:gridSpan w:val="2"/>
                  <w:tcBorders>
                    <w:tl2br w:val="nil"/>
                    <w:tr2bl w:val="nil"/>
                  </w:tcBorders>
                  <w:shd w:val="clear" w:color="auto" w:fill="auto"/>
                  <w:noWrap w:val="0"/>
                  <w:vAlign w:val="center"/>
                </w:tcPr>
                <w:p w14:paraId="1ECDDE9F">
                  <w:pPr>
                    <w:shd w:val="clear" w:color="auto" w:fill="auto"/>
                    <w:jc w:val="center"/>
                    <w:rPr>
                      <w:b/>
                      <w:color w:val="000000"/>
                      <w:sz w:val="21"/>
                      <w:szCs w:val="21"/>
                      <w:highlight w:val="none"/>
                    </w:rPr>
                  </w:pPr>
                  <w:r>
                    <w:rPr>
                      <w:b/>
                      <w:color w:val="000000"/>
                      <w:sz w:val="21"/>
                      <w:szCs w:val="21"/>
                      <w:highlight w:val="none"/>
                    </w:rPr>
                    <w:t>有组织排放限值</w:t>
                  </w:r>
                </w:p>
              </w:tc>
              <w:tc>
                <w:tcPr>
                  <w:tcW w:w="2911" w:type="dxa"/>
                  <w:gridSpan w:val="2"/>
                  <w:tcBorders>
                    <w:tl2br w:val="nil"/>
                    <w:tr2bl w:val="nil"/>
                  </w:tcBorders>
                  <w:shd w:val="clear" w:color="auto" w:fill="auto"/>
                  <w:noWrap w:val="0"/>
                  <w:vAlign w:val="center"/>
                </w:tcPr>
                <w:p w14:paraId="0BB11F15">
                  <w:pPr>
                    <w:shd w:val="clear" w:color="auto" w:fill="auto"/>
                    <w:jc w:val="center"/>
                    <w:rPr>
                      <w:b/>
                      <w:color w:val="000000"/>
                      <w:sz w:val="21"/>
                      <w:szCs w:val="21"/>
                      <w:highlight w:val="none"/>
                    </w:rPr>
                  </w:pPr>
                  <w:r>
                    <w:rPr>
                      <w:b/>
                      <w:color w:val="000000"/>
                      <w:sz w:val="21"/>
                      <w:szCs w:val="21"/>
                      <w:highlight w:val="none"/>
                    </w:rPr>
                    <w:t>无组织排放监控浓度限值</w:t>
                  </w:r>
                </w:p>
              </w:tc>
            </w:tr>
            <w:tr w14:paraId="55406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Merge w:val="continue"/>
                  <w:tcBorders>
                    <w:tl2br w:val="nil"/>
                    <w:tr2bl w:val="nil"/>
                  </w:tcBorders>
                  <w:shd w:val="clear" w:color="auto" w:fill="auto"/>
                  <w:noWrap w:val="0"/>
                  <w:vAlign w:val="center"/>
                </w:tcPr>
                <w:p w14:paraId="1B4A97E0">
                  <w:pPr>
                    <w:shd w:val="clear" w:color="auto" w:fill="auto"/>
                    <w:jc w:val="center"/>
                    <w:rPr>
                      <w:b/>
                      <w:color w:val="000000"/>
                      <w:sz w:val="21"/>
                      <w:szCs w:val="21"/>
                      <w:highlight w:val="none"/>
                    </w:rPr>
                  </w:pPr>
                </w:p>
              </w:tc>
              <w:tc>
                <w:tcPr>
                  <w:tcW w:w="2100" w:type="dxa"/>
                  <w:tcBorders>
                    <w:tl2br w:val="nil"/>
                    <w:tr2bl w:val="nil"/>
                  </w:tcBorders>
                  <w:shd w:val="clear" w:color="auto" w:fill="auto"/>
                  <w:noWrap w:val="0"/>
                  <w:vAlign w:val="center"/>
                </w:tcPr>
                <w:p w14:paraId="03B82B86">
                  <w:pPr>
                    <w:pStyle w:val="27"/>
                    <w:shd w:val="clear" w:color="auto" w:fill="auto"/>
                    <w:ind w:left="0" w:leftChars="0" w:firstLine="0" w:firstLineChars="0"/>
                    <w:jc w:val="center"/>
                    <w:rPr>
                      <w:rFonts w:hint="default" w:eastAsia="宋体"/>
                      <w:b/>
                      <w:color w:val="000000"/>
                      <w:sz w:val="21"/>
                      <w:szCs w:val="21"/>
                      <w:highlight w:val="none"/>
                      <w:lang w:val="en-US" w:eastAsia="zh-CN"/>
                    </w:rPr>
                  </w:pPr>
                  <w:r>
                    <w:rPr>
                      <w:rFonts w:hint="eastAsia"/>
                      <w:b/>
                      <w:color w:val="000000"/>
                      <w:sz w:val="21"/>
                      <w:szCs w:val="21"/>
                      <w:highlight w:val="none"/>
                      <w:lang w:val="en-US" w:eastAsia="zh-CN"/>
                    </w:rPr>
                    <w:t>排放速率（kg/h）</w:t>
                  </w:r>
                </w:p>
              </w:tc>
              <w:tc>
                <w:tcPr>
                  <w:tcW w:w="1723" w:type="dxa"/>
                  <w:tcBorders>
                    <w:tl2br w:val="nil"/>
                    <w:tr2bl w:val="nil"/>
                  </w:tcBorders>
                  <w:shd w:val="clear" w:color="auto" w:fill="auto"/>
                  <w:noWrap w:val="0"/>
                  <w:vAlign w:val="center"/>
                </w:tcPr>
                <w:p w14:paraId="2DE837F3">
                  <w:pPr>
                    <w:shd w:val="clear" w:color="auto" w:fill="auto"/>
                    <w:jc w:val="center"/>
                    <w:rPr>
                      <w:b/>
                      <w:color w:val="000000"/>
                      <w:sz w:val="21"/>
                      <w:szCs w:val="21"/>
                      <w:highlight w:val="none"/>
                    </w:rPr>
                  </w:pPr>
                  <w:r>
                    <w:rPr>
                      <w:rFonts w:hint="eastAsia"/>
                      <w:b/>
                      <w:color w:val="000000"/>
                      <w:sz w:val="21"/>
                      <w:szCs w:val="21"/>
                      <w:highlight w:val="none"/>
                    </w:rPr>
                    <w:t>排气筒高度（m）</w:t>
                  </w:r>
                </w:p>
              </w:tc>
              <w:tc>
                <w:tcPr>
                  <w:tcW w:w="1394" w:type="dxa"/>
                  <w:tcBorders>
                    <w:tl2br w:val="nil"/>
                    <w:tr2bl w:val="nil"/>
                  </w:tcBorders>
                  <w:shd w:val="clear" w:color="auto" w:fill="auto"/>
                  <w:noWrap w:val="0"/>
                  <w:vAlign w:val="center"/>
                </w:tcPr>
                <w:p w14:paraId="15C05EA7">
                  <w:pPr>
                    <w:shd w:val="clear" w:color="auto" w:fill="auto"/>
                    <w:jc w:val="center"/>
                    <w:rPr>
                      <w:b/>
                      <w:color w:val="000000"/>
                      <w:sz w:val="21"/>
                      <w:szCs w:val="21"/>
                      <w:highlight w:val="none"/>
                    </w:rPr>
                  </w:pPr>
                  <w:r>
                    <w:rPr>
                      <w:b/>
                      <w:color w:val="000000"/>
                      <w:sz w:val="21"/>
                      <w:szCs w:val="21"/>
                      <w:highlight w:val="none"/>
                    </w:rPr>
                    <w:t>监控点</w:t>
                  </w:r>
                </w:p>
              </w:tc>
              <w:tc>
                <w:tcPr>
                  <w:tcW w:w="1517" w:type="dxa"/>
                  <w:tcBorders>
                    <w:tl2br w:val="nil"/>
                    <w:tr2bl w:val="nil"/>
                  </w:tcBorders>
                  <w:shd w:val="clear" w:color="auto" w:fill="auto"/>
                  <w:noWrap w:val="0"/>
                  <w:vAlign w:val="center"/>
                </w:tcPr>
                <w:p w14:paraId="65B1CE6A">
                  <w:pPr>
                    <w:shd w:val="clear" w:color="auto" w:fill="auto"/>
                    <w:jc w:val="center"/>
                    <w:rPr>
                      <w:b/>
                      <w:color w:val="000000"/>
                      <w:sz w:val="21"/>
                      <w:szCs w:val="21"/>
                      <w:highlight w:val="none"/>
                    </w:rPr>
                  </w:pPr>
                  <w:r>
                    <w:rPr>
                      <w:b/>
                      <w:color w:val="000000"/>
                      <w:sz w:val="21"/>
                      <w:szCs w:val="21"/>
                      <w:highlight w:val="none"/>
                    </w:rPr>
                    <w:t>浓度（mg/</w:t>
                  </w:r>
                  <w:r>
                    <w:rPr>
                      <w:rFonts w:hint="eastAsia"/>
                      <w:b/>
                      <w:color w:val="000000"/>
                      <w:sz w:val="21"/>
                      <w:szCs w:val="21"/>
                      <w:highlight w:val="none"/>
                      <w:lang w:eastAsia="zh-CN"/>
                    </w:rPr>
                    <w:t>m³</w:t>
                  </w:r>
                  <w:r>
                    <w:rPr>
                      <w:b/>
                      <w:color w:val="000000"/>
                      <w:sz w:val="21"/>
                      <w:szCs w:val="21"/>
                      <w:highlight w:val="none"/>
                    </w:rPr>
                    <w:t>）</w:t>
                  </w:r>
                </w:p>
              </w:tc>
            </w:tr>
            <w:tr w14:paraId="6D64E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229" w:type="dxa"/>
                  <w:tcBorders>
                    <w:tl2br w:val="nil"/>
                    <w:tr2bl w:val="nil"/>
                  </w:tcBorders>
                  <w:shd w:val="clear" w:color="auto" w:fill="auto"/>
                  <w:noWrap w:val="0"/>
                  <w:vAlign w:val="center"/>
                </w:tcPr>
                <w:p w14:paraId="710F3C3A">
                  <w:pPr>
                    <w:shd w:val="clear" w:color="auto" w:fill="auto"/>
                    <w:bidi w:val="0"/>
                    <w:jc w:val="center"/>
                    <w:rPr>
                      <w:color w:val="000000"/>
                      <w:sz w:val="21"/>
                      <w:szCs w:val="21"/>
                      <w:highlight w:val="none"/>
                    </w:rPr>
                  </w:pPr>
                  <w:r>
                    <w:rPr>
                      <w:rFonts w:hint="eastAsia"/>
                      <w:color w:val="000000"/>
                      <w:highlight w:val="none"/>
                      <w:lang w:val="en-US" w:eastAsia="zh-CN"/>
                    </w:rPr>
                    <w:t>氨</w:t>
                  </w:r>
                </w:p>
              </w:tc>
              <w:tc>
                <w:tcPr>
                  <w:tcW w:w="2100" w:type="dxa"/>
                  <w:tcBorders>
                    <w:tl2br w:val="nil"/>
                    <w:tr2bl w:val="nil"/>
                  </w:tcBorders>
                  <w:shd w:val="clear" w:color="auto" w:fill="auto"/>
                  <w:noWrap w:val="0"/>
                  <w:vAlign w:val="center"/>
                </w:tcPr>
                <w:p w14:paraId="0B41A131">
                  <w:pPr>
                    <w:shd w:val="clear" w:color="auto" w:fill="auto"/>
                    <w:jc w:val="center"/>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4.9</w:t>
                  </w:r>
                </w:p>
              </w:tc>
              <w:tc>
                <w:tcPr>
                  <w:tcW w:w="1723" w:type="dxa"/>
                  <w:vMerge w:val="restart"/>
                  <w:tcBorders>
                    <w:tl2br w:val="nil"/>
                    <w:tr2bl w:val="nil"/>
                  </w:tcBorders>
                  <w:shd w:val="clear" w:color="auto" w:fill="auto"/>
                  <w:noWrap w:val="0"/>
                  <w:vAlign w:val="center"/>
                </w:tcPr>
                <w:p w14:paraId="2DBB5DDC">
                  <w:pPr>
                    <w:shd w:val="clear" w:color="auto" w:fill="auto"/>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15</w:t>
                  </w:r>
                </w:p>
              </w:tc>
              <w:tc>
                <w:tcPr>
                  <w:tcW w:w="1394" w:type="dxa"/>
                  <w:vMerge w:val="restart"/>
                  <w:tcBorders>
                    <w:tl2br w:val="nil"/>
                    <w:tr2bl w:val="nil"/>
                  </w:tcBorders>
                  <w:shd w:val="clear" w:color="auto" w:fill="auto"/>
                  <w:noWrap w:val="0"/>
                  <w:vAlign w:val="center"/>
                </w:tcPr>
                <w:p w14:paraId="1AC9B47A">
                  <w:pPr>
                    <w:shd w:val="clear" w:color="auto" w:fill="auto"/>
                    <w:jc w:val="center"/>
                    <w:rPr>
                      <w:color w:val="000000"/>
                      <w:sz w:val="21"/>
                      <w:szCs w:val="21"/>
                      <w:highlight w:val="none"/>
                    </w:rPr>
                  </w:pPr>
                  <w:r>
                    <w:rPr>
                      <w:color w:val="000000"/>
                      <w:sz w:val="21"/>
                      <w:szCs w:val="21"/>
                      <w:highlight w:val="none"/>
                    </w:rPr>
                    <w:t>周界外浓度最高点</w:t>
                  </w:r>
                </w:p>
              </w:tc>
              <w:tc>
                <w:tcPr>
                  <w:tcW w:w="1517" w:type="dxa"/>
                  <w:tcBorders>
                    <w:tl2br w:val="nil"/>
                    <w:tr2bl w:val="nil"/>
                  </w:tcBorders>
                  <w:shd w:val="clear" w:color="auto" w:fill="auto"/>
                  <w:noWrap w:val="0"/>
                  <w:vAlign w:val="center"/>
                </w:tcPr>
                <w:p w14:paraId="3A082924">
                  <w:pPr>
                    <w:shd w:val="clear" w:color="auto" w:fill="auto"/>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1.5</w:t>
                  </w:r>
                </w:p>
              </w:tc>
            </w:tr>
            <w:tr w14:paraId="4BC9E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229" w:type="dxa"/>
                  <w:tcBorders>
                    <w:tl2br w:val="nil"/>
                    <w:tr2bl w:val="nil"/>
                  </w:tcBorders>
                  <w:shd w:val="clear" w:color="auto" w:fill="auto"/>
                  <w:noWrap w:val="0"/>
                  <w:vAlign w:val="center"/>
                </w:tcPr>
                <w:p w14:paraId="5CCEA3D7">
                  <w:pPr>
                    <w:shd w:val="clear" w:color="auto" w:fill="auto"/>
                    <w:bidi w:val="0"/>
                    <w:jc w:val="center"/>
                    <w:rPr>
                      <w:color w:val="000000"/>
                      <w:sz w:val="21"/>
                      <w:szCs w:val="21"/>
                      <w:highlight w:val="none"/>
                    </w:rPr>
                  </w:pPr>
                  <w:r>
                    <w:rPr>
                      <w:rFonts w:hint="eastAsia"/>
                      <w:color w:val="000000"/>
                      <w:highlight w:val="none"/>
                      <w:lang w:val="en-US" w:eastAsia="zh-CN"/>
                    </w:rPr>
                    <w:t>硫化氢</w:t>
                  </w:r>
                </w:p>
              </w:tc>
              <w:tc>
                <w:tcPr>
                  <w:tcW w:w="2100" w:type="dxa"/>
                  <w:tcBorders>
                    <w:tl2br w:val="nil"/>
                    <w:tr2bl w:val="nil"/>
                  </w:tcBorders>
                  <w:shd w:val="clear" w:color="auto" w:fill="auto"/>
                  <w:noWrap w:val="0"/>
                  <w:vAlign w:val="center"/>
                </w:tcPr>
                <w:p w14:paraId="7761C853">
                  <w:pPr>
                    <w:shd w:val="clear" w:color="auto" w:fill="auto"/>
                    <w:jc w:val="center"/>
                    <w:rPr>
                      <w:rFonts w:hint="default"/>
                      <w:color w:val="000000"/>
                      <w:sz w:val="21"/>
                      <w:szCs w:val="21"/>
                      <w:highlight w:val="none"/>
                      <w:lang w:val="en-US" w:eastAsia="zh-CN"/>
                    </w:rPr>
                  </w:pPr>
                  <w:r>
                    <w:rPr>
                      <w:rFonts w:hint="eastAsia"/>
                      <w:color w:val="000000"/>
                      <w:sz w:val="21"/>
                      <w:szCs w:val="21"/>
                      <w:highlight w:val="none"/>
                      <w:lang w:val="en-US" w:eastAsia="zh-CN"/>
                    </w:rPr>
                    <w:t>0.33</w:t>
                  </w:r>
                </w:p>
              </w:tc>
              <w:tc>
                <w:tcPr>
                  <w:tcW w:w="1723" w:type="dxa"/>
                  <w:vMerge w:val="continue"/>
                  <w:tcBorders>
                    <w:tl2br w:val="nil"/>
                    <w:tr2bl w:val="nil"/>
                  </w:tcBorders>
                  <w:shd w:val="clear" w:color="auto" w:fill="auto"/>
                  <w:noWrap w:val="0"/>
                  <w:vAlign w:val="center"/>
                </w:tcPr>
                <w:p w14:paraId="2CE225A6">
                  <w:pPr>
                    <w:shd w:val="clear" w:color="auto" w:fill="auto"/>
                    <w:jc w:val="center"/>
                    <w:rPr>
                      <w:rFonts w:hint="eastAsia"/>
                      <w:color w:val="000000"/>
                      <w:sz w:val="21"/>
                      <w:szCs w:val="21"/>
                      <w:highlight w:val="none"/>
                      <w:lang w:val="en-US" w:eastAsia="zh-CN"/>
                    </w:rPr>
                  </w:pPr>
                </w:p>
              </w:tc>
              <w:tc>
                <w:tcPr>
                  <w:tcW w:w="1394" w:type="dxa"/>
                  <w:vMerge w:val="continue"/>
                  <w:tcBorders>
                    <w:tl2br w:val="nil"/>
                    <w:tr2bl w:val="nil"/>
                  </w:tcBorders>
                  <w:shd w:val="clear" w:color="auto" w:fill="auto"/>
                  <w:noWrap w:val="0"/>
                  <w:vAlign w:val="center"/>
                </w:tcPr>
                <w:p w14:paraId="56DD101D">
                  <w:pPr>
                    <w:shd w:val="clear" w:color="auto" w:fill="auto"/>
                    <w:jc w:val="center"/>
                    <w:rPr>
                      <w:color w:val="000000"/>
                      <w:sz w:val="21"/>
                      <w:szCs w:val="21"/>
                      <w:highlight w:val="none"/>
                    </w:rPr>
                  </w:pPr>
                </w:p>
              </w:tc>
              <w:tc>
                <w:tcPr>
                  <w:tcW w:w="1517" w:type="dxa"/>
                  <w:tcBorders>
                    <w:tl2br w:val="nil"/>
                    <w:tr2bl w:val="nil"/>
                  </w:tcBorders>
                  <w:shd w:val="clear" w:color="auto" w:fill="auto"/>
                  <w:noWrap w:val="0"/>
                  <w:vAlign w:val="center"/>
                </w:tcPr>
                <w:p w14:paraId="6BEC61D8">
                  <w:pPr>
                    <w:shd w:val="clear" w:color="auto" w:fill="auto"/>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0.06</w:t>
                  </w:r>
                </w:p>
              </w:tc>
            </w:tr>
            <w:tr w14:paraId="2D926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tcBorders>
                    <w:tl2br w:val="nil"/>
                    <w:tr2bl w:val="nil"/>
                  </w:tcBorders>
                  <w:shd w:val="clear" w:color="auto" w:fill="auto"/>
                  <w:noWrap w:val="0"/>
                  <w:vAlign w:val="center"/>
                </w:tcPr>
                <w:p w14:paraId="18DF5DC0">
                  <w:pPr>
                    <w:shd w:val="clear" w:color="auto" w:fill="auto"/>
                    <w:bidi w:val="0"/>
                    <w:jc w:val="center"/>
                    <w:rPr>
                      <w:color w:val="000000"/>
                      <w:sz w:val="21"/>
                      <w:szCs w:val="21"/>
                      <w:highlight w:val="none"/>
                    </w:rPr>
                  </w:pPr>
                  <w:r>
                    <w:rPr>
                      <w:rFonts w:hint="eastAsia"/>
                      <w:color w:val="000000"/>
                      <w:highlight w:val="none"/>
                      <w:lang w:val="en-US" w:eastAsia="zh-CN"/>
                    </w:rPr>
                    <w:t>臭气浓度</w:t>
                  </w:r>
                </w:p>
              </w:tc>
              <w:tc>
                <w:tcPr>
                  <w:tcW w:w="2100" w:type="dxa"/>
                  <w:tcBorders>
                    <w:tl2br w:val="nil"/>
                    <w:tr2bl w:val="nil"/>
                  </w:tcBorders>
                  <w:shd w:val="clear" w:color="auto" w:fill="auto"/>
                  <w:noWrap w:val="0"/>
                  <w:vAlign w:val="center"/>
                </w:tcPr>
                <w:p w14:paraId="78E7A31E">
                  <w:pPr>
                    <w:shd w:val="clear" w:color="auto" w:fill="auto"/>
                    <w:jc w:val="center"/>
                    <w:rPr>
                      <w:rFonts w:hint="default"/>
                      <w:color w:val="000000"/>
                      <w:sz w:val="21"/>
                      <w:szCs w:val="21"/>
                      <w:highlight w:val="none"/>
                      <w:lang w:val="en-US" w:eastAsia="zh-CN"/>
                    </w:rPr>
                  </w:pPr>
                  <w:r>
                    <w:rPr>
                      <w:rFonts w:hint="eastAsia"/>
                      <w:color w:val="000000"/>
                      <w:sz w:val="21"/>
                      <w:szCs w:val="21"/>
                      <w:highlight w:val="none"/>
                      <w:lang w:val="en-US" w:eastAsia="zh-CN"/>
                    </w:rPr>
                    <w:t>2000（无量纲）</w:t>
                  </w:r>
                </w:p>
              </w:tc>
              <w:tc>
                <w:tcPr>
                  <w:tcW w:w="1723" w:type="dxa"/>
                  <w:vMerge w:val="continue"/>
                  <w:tcBorders>
                    <w:tl2br w:val="nil"/>
                    <w:tr2bl w:val="nil"/>
                  </w:tcBorders>
                  <w:shd w:val="clear" w:color="auto" w:fill="auto"/>
                  <w:noWrap w:val="0"/>
                  <w:vAlign w:val="center"/>
                </w:tcPr>
                <w:p w14:paraId="01C2400A">
                  <w:pPr>
                    <w:shd w:val="clear" w:color="auto" w:fill="auto"/>
                    <w:jc w:val="center"/>
                    <w:rPr>
                      <w:rFonts w:hint="eastAsia"/>
                      <w:color w:val="000000"/>
                      <w:sz w:val="21"/>
                      <w:szCs w:val="21"/>
                      <w:highlight w:val="none"/>
                      <w:lang w:val="en-US" w:eastAsia="zh-CN"/>
                    </w:rPr>
                  </w:pPr>
                </w:p>
              </w:tc>
              <w:tc>
                <w:tcPr>
                  <w:tcW w:w="1394" w:type="dxa"/>
                  <w:vMerge w:val="continue"/>
                  <w:tcBorders>
                    <w:tl2br w:val="nil"/>
                    <w:tr2bl w:val="nil"/>
                  </w:tcBorders>
                  <w:shd w:val="clear" w:color="auto" w:fill="auto"/>
                  <w:noWrap w:val="0"/>
                  <w:vAlign w:val="center"/>
                </w:tcPr>
                <w:p w14:paraId="121FC7DF">
                  <w:pPr>
                    <w:shd w:val="clear" w:color="auto" w:fill="auto"/>
                    <w:jc w:val="center"/>
                    <w:rPr>
                      <w:color w:val="000000"/>
                      <w:sz w:val="21"/>
                      <w:szCs w:val="21"/>
                      <w:highlight w:val="none"/>
                    </w:rPr>
                  </w:pPr>
                </w:p>
              </w:tc>
              <w:tc>
                <w:tcPr>
                  <w:tcW w:w="1517" w:type="dxa"/>
                  <w:tcBorders>
                    <w:tl2br w:val="nil"/>
                    <w:tr2bl w:val="nil"/>
                  </w:tcBorders>
                  <w:shd w:val="clear" w:color="auto" w:fill="auto"/>
                  <w:noWrap w:val="0"/>
                  <w:vAlign w:val="center"/>
                </w:tcPr>
                <w:p w14:paraId="2849CF3B">
                  <w:pPr>
                    <w:shd w:val="clear" w:color="auto" w:fill="auto"/>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20（无量纲）</w:t>
                  </w:r>
                </w:p>
              </w:tc>
            </w:tr>
          </w:tbl>
          <w:p w14:paraId="67DAE3AA">
            <w:pPr>
              <w:shd w:val="clear" w:color="auto" w:fill="auto"/>
              <w:adjustRightInd w:val="0"/>
              <w:snapToGrid w:val="0"/>
              <w:jc w:val="center"/>
              <w:rPr>
                <w:rFonts w:hint="default" w:ascii="Times New Roman" w:hAnsi="Times New Roman" w:cs="Times New Roman"/>
                <w:b/>
                <w:bCs w:val="0"/>
                <w:color w:val="000000"/>
                <w:sz w:val="21"/>
                <w:szCs w:val="21"/>
                <w:highlight w:val="none"/>
                <w:lang w:val="en-US" w:eastAsia="zh-CN"/>
              </w:rPr>
            </w:pPr>
            <w:r>
              <w:rPr>
                <w:rFonts w:hint="default" w:ascii="Times New Roman" w:hAnsi="Times New Roman" w:cs="Times New Roman"/>
                <w:b/>
                <w:bCs w:val="0"/>
                <w:color w:val="000000"/>
                <w:sz w:val="21"/>
                <w:szCs w:val="21"/>
                <w:highlight w:val="none"/>
                <w:lang w:val="en-US" w:eastAsia="zh-CN"/>
              </w:rPr>
              <w:t>表</w:t>
            </w:r>
            <w:r>
              <w:rPr>
                <w:rFonts w:hint="eastAsia" w:ascii="Times New Roman" w:hAnsi="Times New Roman" w:cs="Times New Roman"/>
                <w:b/>
                <w:bCs w:val="0"/>
                <w:color w:val="000000"/>
                <w:sz w:val="21"/>
                <w:szCs w:val="21"/>
                <w:highlight w:val="none"/>
                <w:lang w:val="en-US" w:eastAsia="zh-CN"/>
              </w:rPr>
              <w:t>3-8</w:t>
            </w:r>
            <w:r>
              <w:rPr>
                <w:rFonts w:hint="default" w:ascii="Times New Roman" w:hAnsi="Times New Roman" w:cs="Times New Roman"/>
                <w:b/>
                <w:bCs w:val="0"/>
                <w:color w:val="000000"/>
                <w:sz w:val="21"/>
                <w:szCs w:val="21"/>
                <w:highlight w:val="none"/>
                <w:lang w:val="en-US" w:eastAsia="zh-CN"/>
              </w:rPr>
              <w:t xml:space="preserve"> </w:t>
            </w:r>
            <w:r>
              <w:rPr>
                <w:rFonts w:ascii="Times New Roman" w:hAnsi="Times New Roman" w:cs="Times New Roman"/>
                <w:b/>
                <w:bCs w:val="0"/>
                <w:color w:val="000000"/>
                <w:sz w:val="21"/>
                <w:szCs w:val="21"/>
                <w:highlight w:val="none"/>
              </w:rPr>
              <w:t>《饮食业油烟排放标准》（试行）（GB18483-2001）</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388"/>
              <w:gridCol w:w="2573"/>
            </w:tblGrid>
            <w:tr w14:paraId="2364A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5388" w:type="dxa"/>
                  <w:tcBorders>
                    <w:tl2br w:val="nil"/>
                    <w:tr2bl w:val="nil"/>
                  </w:tcBorders>
                  <w:shd w:val="clear" w:color="auto" w:fill="auto"/>
                  <w:noWrap w:val="0"/>
                  <w:vAlign w:val="center"/>
                </w:tcPr>
                <w:p w14:paraId="5292A560">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eastAsia="宋体" w:cs="Times New Roman"/>
                      <w:b w:val="0"/>
                      <w:bCs w:val="0"/>
                      <w:color w:val="000000"/>
                      <w:sz w:val="21"/>
                      <w:szCs w:val="21"/>
                      <w:highlight w:val="none"/>
                      <w:lang w:eastAsia="zh-CN"/>
                    </w:rPr>
                    <w:t>规格</w:t>
                  </w:r>
                </w:p>
              </w:tc>
              <w:tc>
                <w:tcPr>
                  <w:tcW w:w="2573" w:type="dxa"/>
                  <w:tcBorders>
                    <w:tl2br w:val="nil"/>
                    <w:tr2bl w:val="nil"/>
                  </w:tcBorders>
                  <w:shd w:val="clear" w:color="auto" w:fill="auto"/>
                  <w:noWrap w:val="0"/>
                  <w:vAlign w:val="center"/>
                </w:tcPr>
                <w:p w14:paraId="2CB4FEB7">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b/>
                      <w:bCs/>
                      <w:color w:val="000000"/>
                      <w:sz w:val="21"/>
                      <w:szCs w:val="21"/>
                      <w:highlight w:val="none"/>
                      <w:lang w:eastAsia="zh-CN"/>
                    </w:rPr>
                  </w:pPr>
                  <w:r>
                    <w:rPr>
                      <w:rFonts w:hint="eastAsia" w:ascii="Times New Roman" w:hAnsi="Times New Roman" w:eastAsia="宋体" w:cs="Times New Roman"/>
                      <w:b w:val="0"/>
                      <w:bCs w:val="0"/>
                      <w:color w:val="000000"/>
                      <w:sz w:val="21"/>
                      <w:szCs w:val="21"/>
                      <w:highlight w:val="none"/>
                      <w:lang w:val="en-US" w:eastAsia="zh-CN"/>
                    </w:rPr>
                    <w:t>小</w:t>
                  </w:r>
                  <w:r>
                    <w:rPr>
                      <w:rFonts w:hint="default" w:ascii="Times New Roman" w:hAnsi="Times New Roman" w:eastAsia="宋体" w:cs="Times New Roman"/>
                      <w:b w:val="0"/>
                      <w:bCs w:val="0"/>
                      <w:color w:val="000000"/>
                      <w:sz w:val="21"/>
                      <w:szCs w:val="21"/>
                      <w:highlight w:val="none"/>
                      <w:lang w:eastAsia="zh-CN"/>
                    </w:rPr>
                    <w:t>型</w:t>
                  </w:r>
                </w:p>
              </w:tc>
            </w:tr>
            <w:tr w14:paraId="0BEA1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5388" w:type="dxa"/>
                  <w:tcBorders>
                    <w:tl2br w:val="nil"/>
                    <w:tr2bl w:val="nil"/>
                  </w:tcBorders>
                  <w:shd w:val="clear" w:color="auto" w:fill="auto"/>
                  <w:noWrap w:val="0"/>
                  <w:vAlign w:val="center"/>
                </w:tcPr>
                <w:p w14:paraId="58E9AEA1">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eastAsia="宋体" w:cs="Times New Roman"/>
                      <w:b w:val="0"/>
                      <w:bCs w:val="0"/>
                      <w:color w:val="000000"/>
                      <w:sz w:val="21"/>
                      <w:szCs w:val="21"/>
                      <w:highlight w:val="none"/>
                      <w:lang w:eastAsia="zh-CN"/>
                    </w:rPr>
                    <w:t>基准灶头数</w:t>
                  </w:r>
                </w:p>
              </w:tc>
              <w:tc>
                <w:tcPr>
                  <w:tcW w:w="2573" w:type="dxa"/>
                  <w:tcBorders>
                    <w:tl2br w:val="nil"/>
                    <w:tr2bl w:val="nil"/>
                  </w:tcBorders>
                  <w:shd w:val="clear" w:color="auto" w:fill="auto"/>
                  <w:noWrap w:val="0"/>
                  <w:vAlign w:val="center"/>
                </w:tcPr>
                <w:p w14:paraId="37CF9516">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w:t>
                  </w:r>
                  <w:r>
                    <w:rPr>
                      <w:rFonts w:hint="eastAsia" w:cs="Times New Roman"/>
                      <w:color w:val="000000"/>
                      <w:sz w:val="21"/>
                      <w:szCs w:val="21"/>
                      <w:highlight w:val="none"/>
                      <w:lang w:val="en-US" w:eastAsia="zh-CN"/>
                    </w:rPr>
                    <w:t>,&lt;</w:t>
                  </w:r>
                  <w:r>
                    <w:rPr>
                      <w:rFonts w:hint="eastAsia" w:ascii="Times New Roman" w:hAnsi="Times New Roman" w:eastAsia="宋体" w:cs="Times New Roman"/>
                      <w:color w:val="000000"/>
                      <w:sz w:val="21"/>
                      <w:szCs w:val="21"/>
                      <w:highlight w:val="none"/>
                      <w:lang w:val="en-US" w:eastAsia="zh-CN"/>
                    </w:rPr>
                    <w:t>3</w:t>
                  </w:r>
                </w:p>
              </w:tc>
            </w:tr>
            <w:tr w14:paraId="2DCA3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5388" w:type="dxa"/>
                  <w:tcBorders>
                    <w:tl2br w:val="nil"/>
                    <w:tr2bl w:val="nil"/>
                  </w:tcBorders>
                  <w:shd w:val="clear" w:color="auto" w:fill="auto"/>
                  <w:noWrap w:val="0"/>
                  <w:vAlign w:val="center"/>
                </w:tcPr>
                <w:p w14:paraId="4B13391F">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eastAsia="宋体" w:cs="Times New Roman"/>
                      <w:b w:val="0"/>
                      <w:bCs w:val="0"/>
                      <w:color w:val="000000"/>
                      <w:sz w:val="21"/>
                      <w:szCs w:val="21"/>
                      <w:highlight w:val="none"/>
                      <w:lang w:eastAsia="zh-CN"/>
                    </w:rPr>
                    <w:t>对应灶头总功率（</w:t>
                  </w:r>
                  <w:r>
                    <w:rPr>
                      <w:rFonts w:hint="default" w:ascii="Times New Roman" w:hAnsi="Times New Roman" w:eastAsia="宋体" w:cs="Times New Roman"/>
                      <w:b w:val="0"/>
                      <w:bCs w:val="0"/>
                      <w:color w:val="000000"/>
                      <w:sz w:val="21"/>
                      <w:szCs w:val="21"/>
                      <w:highlight w:val="none"/>
                      <w:lang w:val="en-US" w:eastAsia="zh-CN"/>
                    </w:rPr>
                    <w:t>10</w:t>
                  </w:r>
                  <w:r>
                    <w:rPr>
                      <w:rFonts w:hint="default" w:ascii="Times New Roman" w:hAnsi="Times New Roman" w:eastAsia="宋体" w:cs="Times New Roman"/>
                      <w:b w:val="0"/>
                      <w:bCs w:val="0"/>
                      <w:color w:val="000000"/>
                      <w:sz w:val="21"/>
                      <w:szCs w:val="21"/>
                      <w:highlight w:val="none"/>
                      <w:vertAlign w:val="superscript"/>
                      <w:lang w:val="en-US" w:eastAsia="zh-CN"/>
                    </w:rPr>
                    <w:t>8</w:t>
                  </w:r>
                  <w:r>
                    <w:rPr>
                      <w:rFonts w:hint="default" w:ascii="Times New Roman" w:hAnsi="Times New Roman" w:eastAsia="宋体" w:cs="Times New Roman"/>
                      <w:b w:val="0"/>
                      <w:bCs w:val="0"/>
                      <w:color w:val="000000"/>
                      <w:sz w:val="21"/>
                      <w:szCs w:val="21"/>
                      <w:highlight w:val="none"/>
                      <w:lang w:val="en-US" w:eastAsia="zh-CN"/>
                    </w:rPr>
                    <w:t>J/h</w:t>
                  </w:r>
                  <w:r>
                    <w:rPr>
                      <w:rFonts w:hint="default" w:ascii="Times New Roman" w:hAnsi="Times New Roman" w:eastAsia="宋体" w:cs="Times New Roman"/>
                      <w:b w:val="0"/>
                      <w:bCs w:val="0"/>
                      <w:color w:val="000000"/>
                      <w:sz w:val="21"/>
                      <w:szCs w:val="21"/>
                      <w:highlight w:val="none"/>
                      <w:lang w:eastAsia="zh-CN"/>
                    </w:rPr>
                    <w:t>）</w:t>
                  </w:r>
                </w:p>
              </w:tc>
              <w:tc>
                <w:tcPr>
                  <w:tcW w:w="2573" w:type="dxa"/>
                  <w:tcBorders>
                    <w:tl2br w:val="nil"/>
                    <w:tr2bl w:val="nil"/>
                  </w:tcBorders>
                  <w:shd w:val="clear" w:color="auto" w:fill="auto"/>
                  <w:noWrap w:val="0"/>
                  <w:vAlign w:val="center"/>
                </w:tcPr>
                <w:p w14:paraId="77D35D15">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1.67</w:t>
                  </w:r>
                  <w:r>
                    <w:rPr>
                      <w:rFonts w:hint="eastAsia" w:cs="Times New Roman"/>
                      <w:color w:val="000000"/>
                      <w:sz w:val="21"/>
                      <w:szCs w:val="21"/>
                      <w:highlight w:val="none"/>
                      <w:lang w:val="en-US" w:eastAsia="zh-CN"/>
                    </w:rPr>
                    <w:t>,&lt;</w:t>
                  </w:r>
                  <w:r>
                    <w:rPr>
                      <w:rFonts w:hint="default" w:ascii="Times New Roman" w:hAnsi="Times New Roman" w:eastAsia="宋体" w:cs="Times New Roman"/>
                      <w:color w:val="000000"/>
                      <w:sz w:val="21"/>
                      <w:szCs w:val="21"/>
                      <w:highlight w:val="none"/>
                      <w:lang w:val="en-US" w:eastAsia="zh-CN"/>
                    </w:rPr>
                    <w:t>5.00</w:t>
                  </w:r>
                </w:p>
              </w:tc>
            </w:tr>
            <w:tr w14:paraId="6077C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5388" w:type="dxa"/>
                  <w:tcBorders>
                    <w:tl2br w:val="nil"/>
                    <w:tr2bl w:val="nil"/>
                  </w:tcBorders>
                  <w:shd w:val="clear" w:color="auto" w:fill="auto"/>
                  <w:noWrap w:val="0"/>
                  <w:vAlign w:val="center"/>
                </w:tcPr>
                <w:p w14:paraId="171AFB6D">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eastAsia="宋体" w:cs="Times New Roman"/>
                      <w:b w:val="0"/>
                      <w:bCs w:val="0"/>
                      <w:color w:val="000000"/>
                      <w:sz w:val="21"/>
                      <w:szCs w:val="21"/>
                      <w:highlight w:val="none"/>
                      <w:lang w:eastAsia="zh-CN"/>
                    </w:rPr>
                    <w:t>对应排气罩</w:t>
                  </w:r>
                  <w:r>
                    <w:rPr>
                      <w:rFonts w:hint="eastAsia" w:cs="Times New Roman"/>
                      <w:b w:val="0"/>
                      <w:bCs w:val="0"/>
                      <w:color w:val="000000"/>
                      <w:sz w:val="21"/>
                      <w:szCs w:val="21"/>
                      <w:highlight w:val="none"/>
                      <w:lang w:val="en-US" w:eastAsia="zh-CN"/>
                    </w:rPr>
                    <w:t>与</w:t>
                  </w:r>
                  <w:r>
                    <w:rPr>
                      <w:rFonts w:hint="default" w:ascii="Times New Roman" w:hAnsi="Times New Roman" w:eastAsia="宋体" w:cs="Times New Roman"/>
                      <w:b w:val="0"/>
                      <w:bCs w:val="0"/>
                      <w:color w:val="000000"/>
                      <w:sz w:val="21"/>
                      <w:szCs w:val="21"/>
                      <w:highlight w:val="none"/>
                      <w:lang w:eastAsia="zh-CN"/>
                    </w:rPr>
                    <w:t>灶面总投影面积（</w:t>
                  </w:r>
                  <w:r>
                    <w:rPr>
                      <w:rFonts w:hint="default" w:ascii="Times New Roman" w:hAnsi="Times New Roman" w:eastAsia="宋体" w:cs="Times New Roman"/>
                      <w:b w:val="0"/>
                      <w:bCs w:val="0"/>
                      <w:color w:val="000000"/>
                      <w:sz w:val="21"/>
                      <w:szCs w:val="21"/>
                      <w:highlight w:val="none"/>
                      <w:lang w:val="en-US" w:eastAsia="zh-CN"/>
                    </w:rPr>
                    <w:t>m</w:t>
                  </w:r>
                  <w:r>
                    <w:rPr>
                      <w:rFonts w:hint="default" w:ascii="Times New Roman" w:hAnsi="Times New Roman" w:eastAsia="宋体" w:cs="Times New Roman"/>
                      <w:b w:val="0"/>
                      <w:bCs w:val="0"/>
                      <w:color w:val="000000"/>
                      <w:sz w:val="21"/>
                      <w:szCs w:val="21"/>
                      <w:highlight w:val="none"/>
                      <w:vertAlign w:val="superscript"/>
                      <w:lang w:val="en-US" w:eastAsia="zh-CN"/>
                    </w:rPr>
                    <w:t>2</w:t>
                  </w:r>
                  <w:r>
                    <w:rPr>
                      <w:rFonts w:hint="default" w:ascii="Times New Roman" w:hAnsi="Times New Roman" w:eastAsia="宋体" w:cs="Times New Roman"/>
                      <w:b w:val="0"/>
                      <w:bCs w:val="0"/>
                      <w:color w:val="000000"/>
                      <w:sz w:val="21"/>
                      <w:szCs w:val="21"/>
                      <w:highlight w:val="none"/>
                      <w:lang w:eastAsia="zh-CN"/>
                    </w:rPr>
                    <w:t>）</w:t>
                  </w:r>
                </w:p>
              </w:tc>
              <w:tc>
                <w:tcPr>
                  <w:tcW w:w="2573" w:type="dxa"/>
                  <w:tcBorders>
                    <w:tl2br w:val="nil"/>
                    <w:tr2bl w:val="nil"/>
                  </w:tcBorders>
                  <w:shd w:val="clear" w:color="auto" w:fill="auto"/>
                  <w:noWrap w:val="0"/>
                  <w:vAlign w:val="center"/>
                </w:tcPr>
                <w:p w14:paraId="65F4DEF2">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1. 1</w:t>
                  </w:r>
                  <w:r>
                    <w:rPr>
                      <w:rFonts w:hint="eastAsia" w:cs="Times New Roman"/>
                      <w:color w:val="000000"/>
                      <w:sz w:val="21"/>
                      <w:szCs w:val="21"/>
                      <w:highlight w:val="none"/>
                      <w:lang w:val="en-US" w:eastAsia="zh-CN"/>
                    </w:rPr>
                    <w:t>,&lt;</w:t>
                  </w:r>
                  <w:r>
                    <w:rPr>
                      <w:rFonts w:hint="default" w:ascii="Times New Roman" w:hAnsi="Times New Roman" w:eastAsia="宋体" w:cs="Times New Roman"/>
                      <w:color w:val="000000"/>
                      <w:sz w:val="21"/>
                      <w:szCs w:val="21"/>
                      <w:highlight w:val="none"/>
                      <w:lang w:val="en-US" w:eastAsia="zh-CN"/>
                    </w:rPr>
                    <w:t>3. 3</w:t>
                  </w:r>
                </w:p>
              </w:tc>
            </w:tr>
            <w:tr w14:paraId="169E6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5388" w:type="dxa"/>
                  <w:tcBorders>
                    <w:tl2br w:val="nil"/>
                    <w:tr2bl w:val="nil"/>
                  </w:tcBorders>
                  <w:shd w:val="clear" w:color="auto" w:fill="auto"/>
                  <w:noWrap w:val="0"/>
                  <w:vAlign w:val="center"/>
                </w:tcPr>
                <w:p w14:paraId="46CF5F0B">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最高允许排放浓度（mg/m</w:t>
                  </w:r>
                  <w:r>
                    <w:rPr>
                      <w:rFonts w:hint="default" w:ascii="Times New Roman" w:hAnsi="Times New Roman" w:eastAsia="宋体" w:cs="Times New Roman"/>
                      <w:b w:val="0"/>
                      <w:bCs w:val="0"/>
                      <w:color w:val="000000"/>
                      <w:sz w:val="21"/>
                      <w:szCs w:val="21"/>
                      <w:highlight w:val="none"/>
                      <w:vertAlign w:val="superscript"/>
                      <w:lang w:val="en-US" w:eastAsia="zh-CN"/>
                    </w:rPr>
                    <w:t>3</w:t>
                  </w:r>
                  <w:r>
                    <w:rPr>
                      <w:rFonts w:hint="default" w:ascii="Times New Roman" w:hAnsi="Times New Roman" w:eastAsia="宋体" w:cs="Times New Roman"/>
                      <w:b w:val="0"/>
                      <w:bCs w:val="0"/>
                      <w:color w:val="000000"/>
                      <w:sz w:val="21"/>
                      <w:szCs w:val="21"/>
                      <w:highlight w:val="none"/>
                      <w:lang w:val="en-US" w:eastAsia="zh-CN"/>
                    </w:rPr>
                    <w:t>）</w:t>
                  </w:r>
                </w:p>
              </w:tc>
              <w:tc>
                <w:tcPr>
                  <w:tcW w:w="2573" w:type="dxa"/>
                  <w:tcBorders>
                    <w:tl2br w:val="nil"/>
                    <w:tr2bl w:val="nil"/>
                  </w:tcBorders>
                  <w:shd w:val="clear" w:color="auto" w:fill="auto"/>
                  <w:noWrap w:val="0"/>
                  <w:vAlign w:val="center"/>
                </w:tcPr>
                <w:p w14:paraId="61B9A2EE">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2.0</w:t>
                  </w:r>
                </w:p>
              </w:tc>
            </w:tr>
            <w:tr w14:paraId="621A2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5388" w:type="dxa"/>
                  <w:tcBorders>
                    <w:tl2br w:val="nil"/>
                    <w:tr2bl w:val="nil"/>
                  </w:tcBorders>
                  <w:shd w:val="clear" w:color="auto" w:fill="auto"/>
                  <w:noWrap w:val="0"/>
                  <w:vAlign w:val="center"/>
                </w:tcPr>
                <w:p w14:paraId="32AE493B">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净化设施最低去除效率（%）</w:t>
                  </w:r>
                </w:p>
              </w:tc>
              <w:tc>
                <w:tcPr>
                  <w:tcW w:w="2573" w:type="dxa"/>
                  <w:tcBorders>
                    <w:tl2br w:val="nil"/>
                    <w:tr2bl w:val="nil"/>
                  </w:tcBorders>
                  <w:shd w:val="clear" w:color="auto" w:fill="auto"/>
                  <w:noWrap w:val="0"/>
                  <w:vAlign w:val="center"/>
                </w:tcPr>
                <w:p w14:paraId="5BBBD3CF">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60</w:t>
                  </w:r>
                </w:p>
              </w:tc>
            </w:tr>
          </w:tbl>
          <w:p w14:paraId="3C869378">
            <w:pPr>
              <w:widowControl/>
              <w:shd w:val="clear" w:color="auto" w:fill="auto"/>
              <w:spacing w:line="360" w:lineRule="auto"/>
              <w:ind w:firstLine="422" w:firstLineChars="200"/>
              <w:rPr>
                <w:b/>
                <w:bCs/>
                <w:color w:val="000000"/>
                <w:sz w:val="21"/>
                <w:szCs w:val="21"/>
                <w:highlight w:val="none"/>
              </w:rPr>
            </w:pPr>
            <w:r>
              <w:rPr>
                <w:rFonts w:hint="eastAsia"/>
                <w:b/>
                <w:bCs/>
                <w:color w:val="000000"/>
                <w:sz w:val="21"/>
                <w:szCs w:val="21"/>
                <w:highlight w:val="none"/>
                <w:lang w:val="en-US" w:eastAsia="zh-CN"/>
              </w:rPr>
              <w:t>2.</w:t>
            </w:r>
            <w:r>
              <w:rPr>
                <w:b/>
                <w:bCs/>
                <w:color w:val="000000"/>
                <w:sz w:val="21"/>
                <w:szCs w:val="21"/>
                <w:highlight w:val="none"/>
              </w:rPr>
              <w:t>废水排放标准</w:t>
            </w:r>
          </w:p>
          <w:p w14:paraId="2A952B36">
            <w:pPr>
              <w:keepNext w:val="0"/>
              <w:keepLines w:val="0"/>
              <w:pageBreakBefore w:val="0"/>
              <w:widowControl/>
              <w:shd w:val="clear" w:color="auto" w:fill="auto"/>
              <w:kinsoku/>
              <w:wordWrap/>
              <w:overflowPunct/>
              <w:topLinePunct w:val="0"/>
              <w:autoSpaceDE/>
              <w:autoSpaceDN/>
              <w:bidi w:val="0"/>
              <w:adjustRightInd w:val="0"/>
              <w:snapToGrid w:val="0"/>
              <w:spacing w:line="360" w:lineRule="auto"/>
              <w:ind w:firstLine="420" w:firstLineChars="200"/>
              <w:textAlignment w:val="auto"/>
              <w:rPr>
                <w:rFonts w:hint="default" w:eastAsia="宋体"/>
                <w:color w:val="000000"/>
                <w:sz w:val="21"/>
                <w:szCs w:val="21"/>
                <w:highlight w:val="none"/>
                <w:lang w:val="en-US" w:eastAsia="zh-CN"/>
              </w:rPr>
            </w:pPr>
            <w:r>
              <w:rPr>
                <w:rFonts w:hint="eastAsia"/>
                <w:color w:val="000000"/>
                <w:sz w:val="21"/>
                <w:szCs w:val="21"/>
                <w:highlight w:val="none"/>
                <w:lang w:val="en-US" w:eastAsia="zh-CN"/>
              </w:rPr>
              <w:t>废水污染物排放执行</w:t>
            </w:r>
            <w:r>
              <w:rPr>
                <w:rFonts w:hint="default" w:ascii="Times New Roman" w:hAnsi="Times New Roman" w:cs="Times New Roman"/>
                <w:color w:val="000000"/>
                <w:kern w:val="2"/>
                <w:highlight w:val="none"/>
              </w:rPr>
              <w:t>《发酵酒精和白酒工业水污染物排放标准》</w:t>
            </w:r>
            <w:r>
              <w:rPr>
                <w:rFonts w:hint="eastAsia" w:ascii="Times New Roman" w:hAnsi="Times New Roman" w:cs="Times New Roman"/>
                <w:color w:val="000000"/>
                <w:kern w:val="2"/>
                <w:highlight w:val="none"/>
                <w:lang w:eastAsia="zh-CN"/>
              </w:rPr>
              <w:t>（</w:t>
            </w:r>
            <w:r>
              <w:rPr>
                <w:rFonts w:hint="eastAsia" w:ascii="Times New Roman" w:hAnsi="Times New Roman" w:cs="Times New Roman"/>
                <w:color w:val="000000"/>
                <w:kern w:val="2"/>
                <w:highlight w:val="none"/>
                <w:lang w:val="en-US" w:eastAsia="zh-CN"/>
              </w:rPr>
              <w:t>GB 27631-2011</w:t>
            </w:r>
            <w:r>
              <w:rPr>
                <w:rFonts w:hint="eastAsia" w:ascii="Times New Roman" w:hAnsi="Times New Roman" w:cs="Times New Roman"/>
                <w:color w:val="000000"/>
                <w:kern w:val="2"/>
                <w:highlight w:val="none"/>
                <w:lang w:eastAsia="zh-CN"/>
              </w:rPr>
              <w:t>）</w:t>
            </w:r>
            <w:r>
              <w:rPr>
                <w:rFonts w:hint="default" w:ascii="Times New Roman" w:hAnsi="Times New Roman" w:eastAsia="宋体" w:cs="Times New Roman"/>
                <w:color w:val="000000"/>
                <w:kern w:val="2"/>
                <w:szCs w:val="22"/>
                <w:highlight w:val="none"/>
                <w:lang w:val="en-US" w:bidi="ar-SA"/>
              </w:rPr>
              <w:t>及修改单表3</w:t>
            </w:r>
            <w:r>
              <w:rPr>
                <w:rFonts w:hint="eastAsia" w:ascii="Times New Roman" w:hAnsi="Times New Roman" w:eastAsia="宋体" w:cs="Times New Roman"/>
                <w:color w:val="000000"/>
                <w:kern w:val="2"/>
                <w:szCs w:val="22"/>
                <w:highlight w:val="none"/>
                <w:lang w:val="en-US" w:eastAsia="zh-CN" w:bidi="ar-SA"/>
              </w:rPr>
              <w:t>间接</w:t>
            </w:r>
            <w:r>
              <w:rPr>
                <w:rFonts w:hint="default" w:ascii="Times New Roman" w:hAnsi="Times New Roman" w:eastAsia="宋体" w:cs="Times New Roman"/>
                <w:color w:val="000000"/>
                <w:kern w:val="2"/>
                <w:szCs w:val="22"/>
                <w:highlight w:val="none"/>
                <w:lang w:val="en-US" w:bidi="ar-SA"/>
              </w:rPr>
              <w:t>排放标准</w:t>
            </w:r>
            <w:r>
              <w:rPr>
                <w:rFonts w:hint="eastAsia"/>
                <w:lang w:eastAsia="zh-CN"/>
              </w:rPr>
              <w:t>，</w:t>
            </w:r>
            <w:r>
              <w:rPr>
                <w:rFonts w:hint="eastAsia"/>
                <w:lang w:val="en-US" w:eastAsia="zh-CN"/>
              </w:rPr>
              <w:t>同时满足宝鸡天龙污水处理有限公司纳水标准。</w:t>
            </w:r>
          </w:p>
          <w:p w14:paraId="64FED629">
            <w:pPr>
              <w:pStyle w:val="201"/>
              <w:shd w:val="clear" w:color="auto" w:fill="auto"/>
              <w:rPr>
                <w:rFonts w:hint="default" w:ascii="Times New Roman" w:hAnsi="Times New Roman" w:cs="Times New Roman"/>
                <w:color w:val="000000"/>
                <w:kern w:val="2"/>
                <w:highlight w:val="none"/>
              </w:rPr>
            </w:pPr>
            <w:r>
              <w:rPr>
                <w:rFonts w:hint="default" w:ascii="Times New Roman" w:hAnsi="Times New Roman" w:cs="Times New Roman"/>
                <w:color w:val="000000"/>
                <w:kern w:val="2"/>
                <w:highlight w:val="none"/>
              </w:rPr>
              <w:t>表</w:t>
            </w:r>
            <w:r>
              <w:rPr>
                <w:rFonts w:hint="eastAsia" w:ascii="Times New Roman" w:hAnsi="Times New Roman" w:cs="Times New Roman"/>
                <w:color w:val="000000"/>
                <w:kern w:val="2"/>
                <w:highlight w:val="none"/>
                <w:lang w:val="en-US" w:eastAsia="zh-CN"/>
              </w:rPr>
              <w:t xml:space="preserve">3-9   </w:t>
            </w:r>
            <w:r>
              <w:rPr>
                <w:rFonts w:hint="default" w:ascii="Times New Roman" w:hAnsi="Times New Roman" w:cs="Times New Roman"/>
                <w:color w:val="000000"/>
                <w:kern w:val="2"/>
                <w:highlight w:val="none"/>
              </w:rPr>
              <w:t>水污染物排放标准</w:t>
            </w:r>
            <w:r>
              <w:rPr>
                <w:rFonts w:hint="eastAsia" w:ascii="Times New Roman" w:hAnsi="Times New Roman" w:cs="Times New Roman"/>
                <w:color w:val="000000"/>
                <w:kern w:val="2"/>
                <w:highlight w:val="none"/>
                <w:lang w:val="en-US" w:eastAsia="zh-CN"/>
              </w:rPr>
              <w:t xml:space="preserve">         </w:t>
            </w:r>
            <w:r>
              <w:rPr>
                <w:rFonts w:hint="default" w:ascii="Times New Roman" w:hAnsi="Times New Roman" w:cs="Times New Roman"/>
                <w:color w:val="000000"/>
                <w:kern w:val="2"/>
                <w:highlight w:val="none"/>
              </w:rPr>
              <w:t>单位：mg/L，pH除外</w:t>
            </w:r>
          </w:p>
          <w:tbl>
            <w:tblPr>
              <w:tblStyle w:val="21"/>
              <w:tblW w:w="5014"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740"/>
              <w:gridCol w:w="859"/>
              <w:gridCol w:w="791"/>
              <w:gridCol w:w="859"/>
              <w:gridCol w:w="708"/>
              <w:gridCol w:w="873"/>
              <w:gridCol w:w="735"/>
              <w:gridCol w:w="695"/>
              <w:gridCol w:w="726"/>
            </w:tblGrid>
            <w:tr w14:paraId="63ABAB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25" w:hRule="atLeast"/>
                <w:jc w:val="center"/>
              </w:trPr>
              <w:tc>
                <w:tcPr>
                  <w:tcW w:w="1088" w:type="pct"/>
                  <w:tcBorders>
                    <w:tl2br w:val="nil"/>
                    <w:tr2bl w:val="nil"/>
                  </w:tcBorders>
                  <w:shd w:val="clear" w:color="auto" w:fill="auto"/>
                  <w:noWrap w:val="0"/>
                  <w:vAlign w:val="center"/>
                </w:tcPr>
                <w:p w14:paraId="2A7DE7AE">
                  <w:pPr>
                    <w:pStyle w:val="202"/>
                    <w:shd w:val="clear" w:color="auto" w:fill="auto"/>
                    <w:rPr>
                      <w:rFonts w:hint="default" w:ascii="Times New Roman" w:hAnsi="Times New Roman" w:eastAsia="宋体" w:cs="Times New Roman"/>
                      <w:b/>
                      <w:bCs/>
                      <w:color w:val="000000"/>
                      <w:szCs w:val="21"/>
                      <w:highlight w:val="none"/>
                      <w:lang w:val="en-US" w:eastAsia="zh-CN"/>
                    </w:rPr>
                  </w:pPr>
                  <w:r>
                    <w:rPr>
                      <w:rFonts w:hint="eastAsia" w:ascii="Times New Roman" w:hAnsi="Times New Roman" w:cs="Times New Roman"/>
                      <w:b/>
                      <w:bCs/>
                      <w:color w:val="000000"/>
                      <w:szCs w:val="21"/>
                      <w:highlight w:val="none"/>
                      <w:lang w:val="en-US" w:eastAsia="zh-CN"/>
                    </w:rPr>
                    <w:t>执行标准</w:t>
                  </w:r>
                </w:p>
              </w:tc>
              <w:tc>
                <w:tcPr>
                  <w:tcW w:w="537" w:type="pct"/>
                  <w:tcBorders>
                    <w:tl2br w:val="nil"/>
                    <w:tr2bl w:val="nil"/>
                  </w:tcBorders>
                  <w:shd w:val="clear" w:color="auto" w:fill="auto"/>
                  <w:noWrap w:val="0"/>
                  <w:vAlign w:val="center"/>
                </w:tcPr>
                <w:p w14:paraId="3B4AB957">
                  <w:pPr>
                    <w:pStyle w:val="202"/>
                    <w:shd w:val="clear" w:color="auto" w:fill="auto"/>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pH</w:t>
                  </w:r>
                </w:p>
              </w:tc>
              <w:tc>
                <w:tcPr>
                  <w:tcW w:w="495" w:type="pct"/>
                  <w:tcBorders>
                    <w:tl2br w:val="nil"/>
                    <w:tr2bl w:val="nil"/>
                  </w:tcBorders>
                  <w:shd w:val="clear" w:color="auto" w:fill="auto"/>
                  <w:noWrap w:val="0"/>
                  <w:vAlign w:val="center"/>
                </w:tcPr>
                <w:p w14:paraId="084A5153">
                  <w:pPr>
                    <w:pStyle w:val="202"/>
                    <w:shd w:val="clear" w:color="auto" w:fill="auto"/>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COD</w:t>
                  </w:r>
                </w:p>
              </w:tc>
              <w:tc>
                <w:tcPr>
                  <w:tcW w:w="537" w:type="pct"/>
                  <w:tcBorders>
                    <w:tl2br w:val="nil"/>
                    <w:tr2bl w:val="nil"/>
                  </w:tcBorders>
                  <w:shd w:val="clear" w:color="auto" w:fill="auto"/>
                  <w:noWrap w:val="0"/>
                  <w:vAlign w:val="center"/>
                </w:tcPr>
                <w:p w14:paraId="2391D8C4">
                  <w:pPr>
                    <w:pStyle w:val="202"/>
                    <w:shd w:val="clear" w:color="auto" w:fill="auto"/>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BOD</w:t>
                  </w:r>
                  <w:r>
                    <w:rPr>
                      <w:rFonts w:hint="default" w:ascii="Times New Roman" w:hAnsi="Times New Roman" w:cs="Times New Roman"/>
                      <w:b/>
                      <w:bCs/>
                      <w:color w:val="000000"/>
                      <w:szCs w:val="21"/>
                      <w:highlight w:val="none"/>
                      <w:vertAlign w:val="subscript"/>
                    </w:rPr>
                    <w:t>5</w:t>
                  </w:r>
                </w:p>
              </w:tc>
              <w:tc>
                <w:tcPr>
                  <w:tcW w:w="443" w:type="pct"/>
                  <w:tcBorders>
                    <w:tl2br w:val="nil"/>
                    <w:tr2bl w:val="nil"/>
                  </w:tcBorders>
                  <w:shd w:val="clear" w:color="auto" w:fill="auto"/>
                  <w:noWrap w:val="0"/>
                  <w:vAlign w:val="center"/>
                </w:tcPr>
                <w:p w14:paraId="54AAFF50">
                  <w:pPr>
                    <w:pStyle w:val="202"/>
                    <w:shd w:val="clear" w:color="auto" w:fill="auto"/>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SS</w:t>
                  </w:r>
                </w:p>
              </w:tc>
              <w:tc>
                <w:tcPr>
                  <w:tcW w:w="546" w:type="pct"/>
                  <w:tcBorders>
                    <w:tl2br w:val="nil"/>
                    <w:tr2bl w:val="nil"/>
                  </w:tcBorders>
                  <w:shd w:val="clear" w:color="auto" w:fill="auto"/>
                  <w:noWrap w:val="0"/>
                  <w:vAlign w:val="center"/>
                </w:tcPr>
                <w:p w14:paraId="415FA4A8">
                  <w:pPr>
                    <w:pStyle w:val="202"/>
                    <w:shd w:val="clear" w:color="auto" w:fill="auto"/>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NH</w:t>
                  </w:r>
                  <w:r>
                    <w:rPr>
                      <w:rFonts w:hint="default" w:ascii="Times New Roman" w:hAnsi="Times New Roman" w:cs="Times New Roman"/>
                      <w:b/>
                      <w:bCs/>
                      <w:color w:val="000000"/>
                      <w:szCs w:val="21"/>
                      <w:highlight w:val="none"/>
                      <w:vertAlign w:val="subscript"/>
                    </w:rPr>
                    <w:t>3</w:t>
                  </w:r>
                  <w:r>
                    <w:rPr>
                      <w:rFonts w:hint="default" w:ascii="Times New Roman" w:hAnsi="Times New Roman" w:cs="Times New Roman"/>
                      <w:b/>
                      <w:bCs/>
                      <w:color w:val="000000"/>
                      <w:szCs w:val="21"/>
                      <w:highlight w:val="none"/>
                    </w:rPr>
                    <w:t>-N</w:t>
                  </w:r>
                </w:p>
              </w:tc>
              <w:tc>
                <w:tcPr>
                  <w:tcW w:w="460" w:type="pct"/>
                  <w:tcBorders>
                    <w:tl2br w:val="nil"/>
                    <w:tr2bl w:val="nil"/>
                  </w:tcBorders>
                  <w:shd w:val="clear" w:color="auto" w:fill="auto"/>
                  <w:noWrap w:val="0"/>
                  <w:vAlign w:val="center"/>
                </w:tcPr>
                <w:p w14:paraId="1DC91DD4">
                  <w:pPr>
                    <w:pStyle w:val="202"/>
                    <w:shd w:val="clear" w:color="auto" w:fill="auto"/>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总氮</w:t>
                  </w:r>
                </w:p>
              </w:tc>
              <w:tc>
                <w:tcPr>
                  <w:tcW w:w="435" w:type="pct"/>
                  <w:tcBorders>
                    <w:tl2br w:val="nil"/>
                    <w:tr2bl w:val="nil"/>
                  </w:tcBorders>
                  <w:shd w:val="clear" w:color="auto" w:fill="auto"/>
                  <w:noWrap w:val="0"/>
                  <w:vAlign w:val="center"/>
                </w:tcPr>
                <w:p w14:paraId="2686892A">
                  <w:pPr>
                    <w:pStyle w:val="202"/>
                    <w:shd w:val="clear" w:color="auto" w:fill="auto"/>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总磷</w:t>
                  </w:r>
                </w:p>
              </w:tc>
              <w:tc>
                <w:tcPr>
                  <w:tcW w:w="454" w:type="pct"/>
                  <w:tcBorders>
                    <w:tl2br w:val="nil"/>
                    <w:tr2bl w:val="nil"/>
                  </w:tcBorders>
                  <w:shd w:val="clear" w:color="auto" w:fill="auto"/>
                  <w:noWrap w:val="0"/>
                  <w:vAlign w:val="center"/>
                </w:tcPr>
                <w:p w14:paraId="487E8E20">
                  <w:pPr>
                    <w:pStyle w:val="202"/>
                    <w:shd w:val="clear" w:color="auto" w:fill="auto"/>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色度</w:t>
                  </w:r>
                </w:p>
              </w:tc>
            </w:tr>
            <w:tr w14:paraId="34F25A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25" w:hRule="atLeast"/>
                <w:jc w:val="center"/>
              </w:trPr>
              <w:tc>
                <w:tcPr>
                  <w:tcW w:w="1088" w:type="pct"/>
                  <w:tcBorders>
                    <w:tl2br w:val="nil"/>
                    <w:tr2bl w:val="nil"/>
                  </w:tcBorders>
                  <w:shd w:val="clear" w:color="auto" w:fill="auto"/>
                  <w:noWrap w:val="0"/>
                  <w:vAlign w:val="center"/>
                </w:tcPr>
                <w:p w14:paraId="5A77992D">
                  <w:pPr>
                    <w:pStyle w:val="202"/>
                    <w:shd w:val="clear" w:color="auto" w:fill="auto"/>
                    <w:rPr>
                      <w:rFonts w:hint="default" w:ascii="Times New Roman" w:hAnsi="Times New Roman" w:cs="Times New Roman"/>
                      <w:color w:val="000000"/>
                      <w:szCs w:val="21"/>
                      <w:highlight w:val="none"/>
                    </w:rPr>
                  </w:pPr>
                  <w:r>
                    <w:rPr>
                      <w:rFonts w:hint="default" w:ascii="Times New Roman" w:hAnsi="Times New Roman" w:cs="Times New Roman"/>
                      <w:color w:val="000000"/>
                      <w:kern w:val="2"/>
                      <w:highlight w:val="none"/>
                    </w:rPr>
                    <w:t>《发酵酒精和白酒工业水污染物排放标准》</w:t>
                  </w:r>
                  <w:r>
                    <w:rPr>
                      <w:rFonts w:hint="eastAsia" w:ascii="Times New Roman" w:hAnsi="Times New Roman" w:cs="Times New Roman"/>
                      <w:color w:val="000000"/>
                      <w:kern w:val="2"/>
                      <w:highlight w:val="none"/>
                      <w:lang w:eastAsia="zh-CN"/>
                    </w:rPr>
                    <w:t>（</w:t>
                  </w:r>
                  <w:r>
                    <w:rPr>
                      <w:rFonts w:hint="eastAsia" w:ascii="Times New Roman" w:hAnsi="Times New Roman" w:cs="Times New Roman"/>
                      <w:color w:val="000000"/>
                      <w:kern w:val="2"/>
                      <w:highlight w:val="none"/>
                      <w:lang w:val="en-US" w:eastAsia="zh-CN"/>
                    </w:rPr>
                    <w:t>GB 27631-2011</w:t>
                  </w:r>
                  <w:r>
                    <w:rPr>
                      <w:rFonts w:hint="eastAsia" w:ascii="Times New Roman" w:hAnsi="Times New Roman" w:cs="Times New Roman"/>
                      <w:color w:val="000000"/>
                      <w:kern w:val="2"/>
                      <w:highlight w:val="none"/>
                      <w:lang w:eastAsia="zh-CN"/>
                    </w:rPr>
                    <w:t>）</w:t>
                  </w:r>
                </w:p>
              </w:tc>
              <w:tc>
                <w:tcPr>
                  <w:tcW w:w="537" w:type="pct"/>
                  <w:tcBorders>
                    <w:tl2br w:val="nil"/>
                    <w:tr2bl w:val="nil"/>
                  </w:tcBorders>
                  <w:shd w:val="clear" w:color="auto" w:fill="auto"/>
                  <w:noWrap w:val="0"/>
                  <w:vAlign w:val="center"/>
                </w:tcPr>
                <w:p w14:paraId="40FAB3DF">
                  <w:pPr>
                    <w:pStyle w:val="202"/>
                    <w:shd w:val="clear" w:color="auto" w:fill="auto"/>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6</w:t>
                  </w:r>
                  <w:r>
                    <w:rPr>
                      <w:rFonts w:hint="eastAsia" w:ascii="Times New Roman" w:hAnsi="Times New Roman" w:cs="Times New Roman"/>
                      <w:color w:val="000000"/>
                      <w:szCs w:val="21"/>
                      <w:highlight w:val="none"/>
                      <w:lang w:eastAsia="zh-CN"/>
                    </w:rPr>
                    <w:t>~</w:t>
                  </w:r>
                  <w:r>
                    <w:rPr>
                      <w:rFonts w:hint="default" w:ascii="Times New Roman" w:hAnsi="Times New Roman" w:cs="Times New Roman"/>
                      <w:color w:val="000000"/>
                      <w:szCs w:val="21"/>
                      <w:highlight w:val="none"/>
                    </w:rPr>
                    <w:t>9</w:t>
                  </w:r>
                </w:p>
              </w:tc>
              <w:tc>
                <w:tcPr>
                  <w:tcW w:w="495" w:type="pct"/>
                  <w:tcBorders>
                    <w:tl2br w:val="nil"/>
                    <w:tr2bl w:val="nil"/>
                  </w:tcBorders>
                  <w:shd w:val="clear" w:color="auto" w:fill="auto"/>
                  <w:noWrap w:val="0"/>
                  <w:vAlign w:val="center"/>
                </w:tcPr>
                <w:p w14:paraId="48411DA7">
                  <w:pPr>
                    <w:pStyle w:val="202"/>
                    <w:shd w:val="clear" w:color="auto" w:fill="auto"/>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rPr>
                    <w:t>≤</w:t>
                  </w:r>
                  <w:r>
                    <w:rPr>
                      <w:rFonts w:hint="eastAsia" w:ascii="Times New Roman" w:hAnsi="Times New Roman" w:cs="Times New Roman"/>
                      <w:color w:val="000000"/>
                      <w:szCs w:val="21"/>
                      <w:highlight w:val="none"/>
                      <w:lang w:val="en-US" w:eastAsia="zh-CN"/>
                    </w:rPr>
                    <w:t>100</w:t>
                  </w:r>
                </w:p>
              </w:tc>
              <w:tc>
                <w:tcPr>
                  <w:tcW w:w="537" w:type="pct"/>
                  <w:tcBorders>
                    <w:tl2br w:val="nil"/>
                    <w:tr2bl w:val="nil"/>
                  </w:tcBorders>
                  <w:shd w:val="clear" w:color="auto" w:fill="auto"/>
                  <w:noWrap w:val="0"/>
                  <w:vAlign w:val="center"/>
                </w:tcPr>
                <w:p w14:paraId="65671943">
                  <w:pPr>
                    <w:pStyle w:val="202"/>
                    <w:shd w:val="clear" w:color="auto" w:fill="auto"/>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rPr>
                    <w:t>≤</w:t>
                  </w:r>
                  <w:r>
                    <w:rPr>
                      <w:rFonts w:hint="eastAsia" w:ascii="Times New Roman" w:hAnsi="Times New Roman" w:cs="Times New Roman"/>
                      <w:color w:val="000000"/>
                      <w:szCs w:val="21"/>
                      <w:highlight w:val="none"/>
                      <w:lang w:val="en-US" w:eastAsia="zh-CN"/>
                    </w:rPr>
                    <w:t>30</w:t>
                  </w:r>
                </w:p>
              </w:tc>
              <w:tc>
                <w:tcPr>
                  <w:tcW w:w="443" w:type="pct"/>
                  <w:tcBorders>
                    <w:tl2br w:val="nil"/>
                    <w:tr2bl w:val="nil"/>
                  </w:tcBorders>
                  <w:shd w:val="clear" w:color="auto" w:fill="auto"/>
                  <w:noWrap w:val="0"/>
                  <w:vAlign w:val="center"/>
                </w:tcPr>
                <w:p w14:paraId="0F898262">
                  <w:pPr>
                    <w:pStyle w:val="202"/>
                    <w:shd w:val="clear" w:color="auto" w:fill="auto"/>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rPr>
                    <w:t>≤</w:t>
                  </w:r>
                  <w:r>
                    <w:rPr>
                      <w:rFonts w:hint="eastAsia" w:ascii="Times New Roman" w:hAnsi="Times New Roman" w:cs="Times New Roman"/>
                      <w:color w:val="000000"/>
                      <w:szCs w:val="21"/>
                      <w:highlight w:val="none"/>
                      <w:lang w:val="en-US" w:eastAsia="zh-CN"/>
                    </w:rPr>
                    <w:t>50</w:t>
                  </w:r>
                </w:p>
              </w:tc>
              <w:tc>
                <w:tcPr>
                  <w:tcW w:w="546" w:type="pct"/>
                  <w:tcBorders>
                    <w:tl2br w:val="nil"/>
                    <w:tr2bl w:val="nil"/>
                  </w:tcBorders>
                  <w:shd w:val="clear" w:color="auto" w:fill="auto"/>
                  <w:noWrap w:val="0"/>
                  <w:vAlign w:val="center"/>
                </w:tcPr>
                <w:p w14:paraId="27393391">
                  <w:pPr>
                    <w:pStyle w:val="202"/>
                    <w:shd w:val="clear" w:color="auto" w:fill="auto"/>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rPr>
                    <w:t>≤</w:t>
                  </w:r>
                  <w:r>
                    <w:rPr>
                      <w:rFonts w:hint="eastAsia" w:ascii="Times New Roman" w:hAnsi="Times New Roman" w:cs="Times New Roman"/>
                      <w:color w:val="000000"/>
                      <w:szCs w:val="21"/>
                      <w:highlight w:val="none"/>
                      <w:lang w:val="en-US" w:eastAsia="zh-CN"/>
                    </w:rPr>
                    <w:t>10</w:t>
                  </w:r>
                </w:p>
              </w:tc>
              <w:tc>
                <w:tcPr>
                  <w:tcW w:w="460" w:type="pct"/>
                  <w:tcBorders>
                    <w:tl2br w:val="nil"/>
                    <w:tr2bl w:val="nil"/>
                  </w:tcBorders>
                  <w:shd w:val="clear" w:color="auto" w:fill="auto"/>
                  <w:noWrap w:val="0"/>
                  <w:vAlign w:val="center"/>
                </w:tcPr>
                <w:p w14:paraId="0937877D">
                  <w:pPr>
                    <w:pStyle w:val="202"/>
                    <w:shd w:val="clear" w:color="auto" w:fill="auto"/>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rPr>
                    <w:t>≤</w:t>
                  </w:r>
                  <w:r>
                    <w:rPr>
                      <w:rFonts w:hint="eastAsia" w:ascii="Times New Roman" w:hAnsi="Times New Roman" w:cs="Times New Roman"/>
                      <w:color w:val="000000"/>
                      <w:szCs w:val="21"/>
                      <w:highlight w:val="none"/>
                      <w:lang w:val="en-US" w:eastAsia="zh-CN"/>
                    </w:rPr>
                    <w:t>20</w:t>
                  </w:r>
                </w:p>
              </w:tc>
              <w:tc>
                <w:tcPr>
                  <w:tcW w:w="435" w:type="pct"/>
                  <w:tcBorders>
                    <w:tl2br w:val="nil"/>
                    <w:tr2bl w:val="nil"/>
                  </w:tcBorders>
                  <w:shd w:val="clear" w:color="auto" w:fill="auto"/>
                  <w:noWrap w:val="0"/>
                  <w:vAlign w:val="center"/>
                </w:tcPr>
                <w:p w14:paraId="7DAB673E">
                  <w:pPr>
                    <w:pStyle w:val="202"/>
                    <w:shd w:val="clear" w:color="auto" w:fill="auto"/>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rPr>
                    <w:t>≤</w:t>
                  </w:r>
                  <w:r>
                    <w:rPr>
                      <w:rFonts w:hint="eastAsia" w:ascii="Times New Roman" w:hAnsi="Times New Roman" w:cs="Times New Roman"/>
                      <w:color w:val="000000"/>
                      <w:szCs w:val="21"/>
                      <w:highlight w:val="none"/>
                      <w:lang w:val="en-US" w:eastAsia="zh-CN"/>
                    </w:rPr>
                    <w:t>1.0</w:t>
                  </w:r>
                </w:p>
              </w:tc>
              <w:tc>
                <w:tcPr>
                  <w:tcW w:w="454" w:type="pct"/>
                  <w:tcBorders>
                    <w:tl2br w:val="nil"/>
                    <w:tr2bl w:val="nil"/>
                  </w:tcBorders>
                  <w:shd w:val="clear" w:color="auto" w:fill="auto"/>
                  <w:noWrap w:val="0"/>
                  <w:vAlign w:val="center"/>
                </w:tcPr>
                <w:p w14:paraId="06C21DD8">
                  <w:pPr>
                    <w:pStyle w:val="202"/>
                    <w:shd w:val="clear" w:color="auto" w:fill="auto"/>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rPr>
                    <w:t>≤</w:t>
                  </w:r>
                  <w:r>
                    <w:rPr>
                      <w:rFonts w:hint="eastAsia" w:ascii="Times New Roman" w:hAnsi="Times New Roman" w:cs="Times New Roman"/>
                      <w:color w:val="000000"/>
                      <w:szCs w:val="21"/>
                      <w:highlight w:val="none"/>
                      <w:lang w:val="en-US" w:eastAsia="zh-CN"/>
                    </w:rPr>
                    <w:t>40</w:t>
                  </w:r>
                </w:p>
              </w:tc>
            </w:tr>
            <w:tr w14:paraId="7EC7FB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25" w:hRule="atLeast"/>
                <w:jc w:val="center"/>
              </w:trPr>
              <w:tc>
                <w:tcPr>
                  <w:tcW w:w="1088" w:type="pct"/>
                  <w:tcBorders>
                    <w:tl2br w:val="nil"/>
                    <w:tr2bl w:val="nil"/>
                  </w:tcBorders>
                  <w:shd w:val="clear" w:color="auto" w:fill="auto"/>
                  <w:noWrap w:val="0"/>
                  <w:vAlign w:val="center"/>
                </w:tcPr>
                <w:p w14:paraId="739E95B5">
                  <w:pPr>
                    <w:pStyle w:val="202"/>
                    <w:shd w:val="clear" w:color="auto" w:fill="auto"/>
                    <w:rPr>
                      <w:rFonts w:hint="default" w:ascii="Times New Roman" w:hAnsi="Times New Roman" w:eastAsia="宋体"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污水处理厂纳水标准</w:t>
                  </w:r>
                </w:p>
              </w:tc>
              <w:tc>
                <w:tcPr>
                  <w:tcW w:w="537" w:type="pct"/>
                  <w:tcBorders>
                    <w:tl2br w:val="nil"/>
                    <w:tr2bl w:val="nil"/>
                  </w:tcBorders>
                  <w:shd w:val="clear" w:color="auto" w:fill="auto"/>
                  <w:noWrap w:val="0"/>
                  <w:vAlign w:val="center"/>
                </w:tcPr>
                <w:p w14:paraId="434CF1C7">
                  <w:pPr>
                    <w:pStyle w:val="202"/>
                    <w:shd w:val="clear" w:color="auto" w:fill="auto"/>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6</w:t>
                  </w:r>
                  <w:r>
                    <w:rPr>
                      <w:rFonts w:hint="eastAsia" w:ascii="Times New Roman" w:hAnsi="Times New Roman" w:cs="Times New Roman"/>
                      <w:color w:val="000000"/>
                      <w:szCs w:val="21"/>
                      <w:highlight w:val="none"/>
                      <w:lang w:eastAsia="zh-CN"/>
                    </w:rPr>
                    <w:t>~</w:t>
                  </w:r>
                  <w:r>
                    <w:rPr>
                      <w:rFonts w:hint="default" w:ascii="Times New Roman" w:hAnsi="Times New Roman" w:cs="Times New Roman"/>
                      <w:color w:val="000000"/>
                      <w:szCs w:val="21"/>
                      <w:highlight w:val="none"/>
                    </w:rPr>
                    <w:t>9</w:t>
                  </w:r>
                </w:p>
              </w:tc>
              <w:tc>
                <w:tcPr>
                  <w:tcW w:w="495" w:type="pct"/>
                  <w:tcBorders>
                    <w:tl2br w:val="nil"/>
                    <w:tr2bl w:val="nil"/>
                  </w:tcBorders>
                  <w:shd w:val="clear" w:color="auto" w:fill="auto"/>
                  <w:noWrap w:val="0"/>
                  <w:vAlign w:val="center"/>
                </w:tcPr>
                <w:p w14:paraId="574392E9">
                  <w:pPr>
                    <w:pStyle w:val="202"/>
                    <w:shd w:val="clear" w:color="auto" w:fill="auto"/>
                    <w:rPr>
                      <w:rFonts w:hint="default" w:ascii="Times New Roman" w:hAnsi="Times New Roman" w:cs="Times New Roman"/>
                      <w:color w:val="000000"/>
                      <w:szCs w:val="21"/>
                      <w:highlight w:val="none"/>
                    </w:rPr>
                  </w:pPr>
                  <w:r>
                    <w:rPr>
                      <w:rFonts w:hint="eastAsia" w:ascii="Times New Roman" w:hAnsi="Times New Roman" w:eastAsia="宋体" w:cs="Times New Roman"/>
                      <w:color w:val="auto"/>
                      <w:lang w:val="en-US" w:eastAsia="zh-CN"/>
                    </w:rPr>
                    <w:t>500</w:t>
                  </w:r>
                </w:p>
              </w:tc>
              <w:tc>
                <w:tcPr>
                  <w:tcW w:w="537" w:type="pct"/>
                  <w:tcBorders>
                    <w:tl2br w:val="nil"/>
                    <w:tr2bl w:val="nil"/>
                  </w:tcBorders>
                  <w:shd w:val="clear" w:color="auto" w:fill="auto"/>
                  <w:noWrap w:val="0"/>
                  <w:vAlign w:val="center"/>
                </w:tcPr>
                <w:p w14:paraId="15E1F0F5">
                  <w:pPr>
                    <w:pStyle w:val="202"/>
                    <w:shd w:val="clear" w:color="auto" w:fill="auto"/>
                    <w:rPr>
                      <w:rFonts w:hint="default" w:ascii="Times New Roman" w:hAnsi="Times New Roman" w:cs="Times New Roman"/>
                      <w:color w:val="000000"/>
                      <w:szCs w:val="21"/>
                      <w:highlight w:val="none"/>
                    </w:rPr>
                  </w:pPr>
                  <w:r>
                    <w:rPr>
                      <w:rFonts w:hint="eastAsia" w:ascii="Times New Roman" w:hAnsi="Times New Roman" w:eastAsia="宋体" w:cs="Times New Roman"/>
                      <w:color w:val="auto"/>
                      <w:lang w:val="en-US" w:eastAsia="zh-CN"/>
                    </w:rPr>
                    <w:t>350</w:t>
                  </w:r>
                </w:p>
              </w:tc>
              <w:tc>
                <w:tcPr>
                  <w:tcW w:w="443" w:type="pct"/>
                  <w:tcBorders>
                    <w:tl2br w:val="nil"/>
                    <w:tr2bl w:val="nil"/>
                  </w:tcBorders>
                  <w:shd w:val="clear" w:color="auto" w:fill="auto"/>
                  <w:noWrap w:val="0"/>
                  <w:vAlign w:val="center"/>
                </w:tcPr>
                <w:p w14:paraId="4C5E86E3">
                  <w:pPr>
                    <w:pStyle w:val="202"/>
                    <w:shd w:val="clear" w:color="auto" w:fill="auto"/>
                    <w:rPr>
                      <w:rFonts w:hint="default" w:ascii="Times New Roman" w:hAnsi="Times New Roman" w:cs="Times New Roman"/>
                      <w:color w:val="000000"/>
                      <w:szCs w:val="21"/>
                      <w:highlight w:val="none"/>
                    </w:rPr>
                  </w:pPr>
                  <w:r>
                    <w:rPr>
                      <w:rFonts w:hint="eastAsia" w:ascii="Times New Roman" w:hAnsi="Times New Roman" w:eastAsia="宋体" w:cs="Times New Roman"/>
                      <w:color w:val="auto"/>
                      <w:lang w:val="en-US" w:eastAsia="zh-CN"/>
                    </w:rPr>
                    <w:t>400</w:t>
                  </w:r>
                </w:p>
              </w:tc>
              <w:tc>
                <w:tcPr>
                  <w:tcW w:w="546" w:type="pct"/>
                  <w:tcBorders>
                    <w:tl2br w:val="nil"/>
                    <w:tr2bl w:val="nil"/>
                  </w:tcBorders>
                  <w:shd w:val="clear" w:color="auto" w:fill="auto"/>
                  <w:noWrap w:val="0"/>
                  <w:vAlign w:val="center"/>
                </w:tcPr>
                <w:p w14:paraId="0EFF1276">
                  <w:pPr>
                    <w:pStyle w:val="202"/>
                    <w:shd w:val="clear" w:color="auto" w:fill="auto"/>
                    <w:rPr>
                      <w:rFonts w:hint="default" w:ascii="Times New Roman" w:hAnsi="Times New Roman" w:cs="Times New Roman"/>
                      <w:color w:val="000000"/>
                      <w:szCs w:val="21"/>
                      <w:highlight w:val="none"/>
                    </w:rPr>
                  </w:pPr>
                  <w:r>
                    <w:rPr>
                      <w:rFonts w:hint="eastAsia" w:ascii="Times New Roman" w:hAnsi="Times New Roman" w:eastAsia="宋体" w:cs="Times New Roman"/>
                      <w:color w:val="auto"/>
                      <w:lang w:val="en-US" w:eastAsia="zh-CN"/>
                    </w:rPr>
                    <w:t>45</w:t>
                  </w:r>
                </w:p>
              </w:tc>
              <w:tc>
                <w:tcPr>
                  <w:tcW w:w="460" w:type="pct"/>
                  <w:tcBorders>
                    <w:tl2br w:val="nil"/>
                    <w:tr2bl w:val="nil"/>
                  </w:tcBorders>
                  <w:shd w:val="clear" w:color="auto" w:fill="auto"/>
                  <w:noWrap w:val="0"/>
                  <w:vAlign w:val="center"/>
                </w:tcPr>
                <w:p w14:paraId="2F603F97">
                  <w:pPr>
                    <w:pStyle w:val="202"/>
                    <w:shd w:val="clear" w:color="auto" w:fill="auto"/>
                    <w:rPr>
                      <w:rFonts w:hint="default" w:ascii="Times New Roman" w:hAnsi="Times New Roman" w:eastAsia="宋体"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70</w:t>
                  </w:r>
                </w:p>
              </w:tc>
              <w:tc>
                <w:tcPr>
                  <w:tcW w:w="435" w:type="pct"/>
                  <w:tcBorders>
                    <w:tl2br w:val="nil"/>
                    <w:tr2bl w:val="nil"/>
                  </w:tcBorders>
                  <w:shd w:val="clear" w:color="auto" w:fill="auto"/>
                  <w:noWrap w:val="0"/>
                  <w:vAlign w:val="center"/>
                </w:tcPr>
                <w:p w14:paraId="0F4FDF64">
                  <w:pPr>
                    <w:pStyle w:val="202"/>
                    <w:shd w:val="clear" w:color="auto" w:fill="auto"/>
                    <w:rPr>
                      <w:rFonts w:hint="eastAsia" w:ascii="Times New Roman" w:hAnsi="Times New Roman" w:eastAsia="宋体"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8</w:t>
                  </w:r>
                </w:p>
              </w:tc>
              <w:tc>
                <w:tcPr>
                  <w:tcW w:w="454" w:type="pct"/>
                  <w:tcBorders>
                    <w:tl2br w:val="nil"/>
                    <w:tr2bl w:val="nil"/>
                  </w:tcBorders>
                  <w:shd w:val="clear" w:color="auto" w:fill="auto"/>
                  <w:noWrap w:val="0"/>
                  <w:vAlign w:val="center"/>
                </w:tcPr>
                <w:p w14:paraId="3DFA778A">
                  <w:pPr>
                    <w:pStyle w:val="202"/>
                    <w:shd w:val="clear" w:color="auto" w:fill="auto"/>
                    <w:rPr>
                      <w:rFonts w:hint="eastAsia" w:ascii="Times New Roman" w:hAnsi="Times New Roman" w:eastAsia="宋体"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w:t>
                  </w:r>
                </w:p>
              </w:tc>
            </w:tr>
          </w:tbl>
          <w:p w14:paraId="4F0730A2">
            <w:pPr>
              <w:widowControl/>
              <w:shd w:val="clear" w:color="auto" w:fill="auto"/>
              <w:spacing w:line="360" w:lineRule="auto"/>
              <w:ind w:firstLine="422" w:firstLineChars="200"/>
              <w:rPr>
                <w:b/>
                <w:bCs/>
                <w:color w:val="000000"/>
                <w:sz w:val="21"/>
                <w:szCs w:val="21"/>
                <w:highlight w:val="none"/>
              </w:rPr>
            </w:pPr>
            <w:r>
              <w:rPr>
                <w:rFonts w:hint="eastAsia"/>
                <w:b/>
                <w:bCs/>
                <w:color w:val="000000"/>
                <w:sz w:val="21"/>
                <w:szCs w:val="21"/>
                <w:highlight w:val="none"/>
                <w:lang w:val="en-US" w:eastAsia="zh-CN"/>
              </w:rPr>
              <w:t>3.</w:t>
            </w:r>
            <w:r>
              <w:rPr>
                <w:b/>
                <w:bCs/>
                <w:color w:val="000000"/>
                <w:sz w:val="21"/>
                <w:szCs w:val="21"/>
                <w:highlight w:val="none"/>
              </w:rPr>
              <w:t>噪声排放标准</w:t>
            </w:r>
          </w:p>
          <w:p w14:paraId="586D4CF9">
            <w:pPr>
              <w:keepNext w:val="0"/>
              <w:keepLines w:val="0"/>
              <w:pageBreakBefore w:val="0"/>
              <w:widowControl/>
              <w:shd w:val="clear" w:color="auto" w:fill="auto"/>
              <w:kinsoku/>
              <w:wordWrap/>
              <w:overflowPunct/>
              <w:topLinePunct w:val="0"/>
              <w:autoSpaceDE/>
              <w:autoSpaceDN/>
              <w:bidi w:val="0"/>
              <w:adjustRightInd w:val="0"/>
              <w:snapToGrid w:val="0"/>
              <w:spacing w:line="360" w:lineRule="auto"/>
              <w:ind w:firstLine="420" w:firstLineChars="200"/>
              <w:textAlignment w:val="auto"/>
              <w:rPr>
                <w:rFonts w:hint="eastAsia"/>
                <w:color w:val="000000"/>
                <w:sz w:val="21"/>
                <w:szCs w:val="21"/>
                <w:highlight w:val="none"/>
              </w:rPr>
            </w:pPr>
            <w:bookmarkStart w:id="24" w:name="_Hlk41382489"/>
            <w:r>
              <w:rPr>
                <w:rFonts w:hint="eastAsia"/>
                <w:color w:val="000000"/>
                <w:sz w:val="21"/>
                <w:szCs w:val="21"/>
                <w:highlight w:val="none"/>
                <w:lang w:val="en-US" w:eastAsia="zh-CN"/>
              </w:rPr>
              <w:t>本项目所在地为农村区域，根据《声环境功能区划分技术规范》（GB/T15190-2014）项目所在区域为2类声环境功能区，</w:t>
            </w:r>
            <w:r>
              <w:rPr>
                <w:rFonts w:hint="eastAsia"/>
                <w:color w:val="000000"/>
                <w:sz w:val="21"/>
                <w:szCs w:val="21"/>
                <w:highlight w:val="none"/>
              </w:rPr>
              <w:t>故本项目</w:t>
            </w:r>
            <w:r>
              <w:rPr>
                <w:rFonts w:hint="eastAsia"/>
                <w:color w:val="000000"/>
                <w:sz w:val="21"/>
                <w:szCs w:val="21"/>
                <w:highlight w:val="none"/>
                <w:lang w:val="en-US" w:eastAsia="zh-CN"/>
              </w:rPr>
              <w:t>厂界</w:t>
            </w:r>
            <w:r>
              <w:rPr>
                <w:color w:val="000000"/>
                <w:sz w:val="21"/>
                <w:szCs w:val="21"/>
                <w:highlight w:val="none"/>
              </w:rPr>
              <w:t>噪声排放执行《工业企业厂界环境噪声排放标准》（GB12348-2008）</w:t>
            </w:r>
            <w:r>
              <w:rPr>
                <w:rFonts w:hint="eastAsia"/>
                <w:color w:val="000000"/>
                <w:sz w:val="21"/>
                <w:szCs w:val="21"/>
                <w:highlight w:val="none"/>
                <w:lang w:val="en-US" w:eastAsia="zh-CN"/>
              </w:rPr>
              <w:t>2</w:t>
            </w:r>
            <w:r>
              <w:rPr>
                <w:rFonts w:hint="eastAsia"/>
                <w:color w:val="000000"/>
                <w:sz w:val="21"/>
                <w:szCs w:val="21"/>
                <w:highlight w:val="none"/>
              </w:rPr>
              <w:t>类</w:t>
            </w:r>
            <w:r>
              <w:rPr>
                <w:color w:val="000000"/>
                <w:sz w:val="21"/>
                <w:szCs w:val="21"/>
                <w:highlight w:val="none"/>
              </w:rPr>
              <w:t>标准限值</w:t>
            </w:r>
            <w:bookmarkEnd w:id="24"/>
            <w:r>
              <w:rPr>
                <w:rFonts w:hint="eastAsia"/>
                <w:color w:val="000000"/>
                <w:sz w:val="21"/>
                <w:szCs w:val="21"/>
                <w:highlight w:val="none"/>
                <w:lang w:eastAsia="zh-CN"/>
              </w:rPr>
              <w:t>。</w:t>
            </w:r>
            <w:r>
              <w:rPr>
                <w:rFonts w:hint="eastAsia"/>
                <w:color w:val="000000"/>
                <w:sz w:val="21"/>
                <w:szCs w:val="21"/>
                <w:highlight w:val="none"/>
                <w:lang w:val="en-US" w:eastAsia="zh-CN"/>
              </w:rPr>
              <w:t>具体</w:t>
            </w:r>
            <w:r>
              <w:rPr>
                <w:color w:val="000000"/>
                <w:sz w:val="21"/>
                <w:szCs w:val="21"/>
                <w:highlight w:val="none"/>
              </w:rPr>
              <w:t>详见</w:t>
            </w:r>
            <w:r>
              <w:rPr>
                <w:rFonts w:hint="eastAsia"/>
                <w:color w:val="000000"/>
                <w:sz w:val="21"/>
                <w:szCs w:val="21"/>
                <w:highlight w:val="none"/>
                <w:lang w:val="en-US" w:eastAsia="zh-CN"/>
              </w:rPr>
              <w:t>下</w:t>
            </w:r>
            <w:r>
              <w:rPr>
                <w:color w:val="000000"/>
                <w:sz w:val="21"/>
                <w:szCs w:val="21"/>
                <w:highlight w:val="none"/>
              </w:rPr>
              <w:t>表</w:t>
            </w:r>
            <w:r>
              <w:rPr>
                <w:rFonts w:hint="eastAsia"/>
                <w:color w:val="000000"/>
                <w:sz w:val="21"/>
                <w:szCs w:val="21"/>
                <w:highlight w:val="none"/>
              </w:rPr>
              <w:t>。</w:t>
            </w:r>
          </w:p>
          <w:p w14:paraId="61D7AC5D">
            <w:pPr>
              <w:keepNext w:val="0"/>
              <w:keepLines w:val="0"/>
              <w:pageBreakBefore w:val="0"/>
              <w:widowControl/>
              <w:shd w:val="clear" w:color="auto" w:fill="auto"/>
              <w:kinsoku/>
              <w:wordWrap/>
              <w:overflowPunct/>
              <w:topLinePunct w:val="0"/>
              <w:autoSpaceDE/>
              <w:autoSpaceDN/>
              <w:bidi w:val="0"/>
              <w:adjustRightInd w:val="0"/>
              <w:snapToGrid w:val="0"/>
              <w:spacing w:line="240" w:lineRule="auto"/>
              <w:jc w:val="center"/>
              <w:textAlignment w:val="auto"/>
              <w:rPr>
                <w:b/>
                <w:color w:val="000000"/>
                <w:sz w:val="21"/>
                <w:szCs w:val="21"/>
                <w:highlight w:val="none"/>
              </w:rPr>
            </w:pPr>
            <w:bookmarkStart w:id="25" w:name="_Hlk41382497"/>
            <w:r>
              <w:rPr>
                <w:b/>
                <w:color w:val="000000"/>
                <w:sz w:val="21"/>
                <w:szCs w:val="21"/>
                <w:highlight w:val="none"/>
              </w:rPr>
              <w:t>表3</w:t>
            </w:r>
            <w:r>
              <w:rPr>
                <w:rFonts w:hint="eastAsia"/>
                <w:b/>
                <w:color w:val="000000"/>
                <w:sz w:val="21"/>
                <w:szCs w:val="21"/>
                <w:highlight w:val="none"/>
              </w:rPr>
              <w:t>-</w:t>
            </w:r>
            <w:r>
              <w:rPr>
                <w:rFonts w:hint="eastAsia"/>
                <w:b/>
                <w:color w:val="000000"/>
                <w:sz w:val="21"/>
                <w:szCs w:val="21"/>
                <w:highlight w:val="none"/>
                <w:lang w:val="en-US" w:eastAsia="zh-CN"/>
              </w:rPr>
              <w:t xml:space="preserve">10 </w:t>
            </w:r>
            <w:r>
              <w:rPr>
                <w:b/>
                <w:color w:val="000000"/>
                <w:sz w:val="21"/>
                <w:szCs w:val="21"/>
                <w:highlight w:val="none"/>
              </w:rPr>
              <w:t>《工业企业厂界环境噪声排放标准》（GB12348-2008）单位dB（A）</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999"/>
              <w:gridCol w:w="3180"/>
              <w:gridCol w:w="1400"/>
              <w:gridCol w:w="1381"/>
            </w:tblGrid>
            <w:tr w14:paraId="09ED28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40" w:hRule="atLeast"/>
                <w:jc w:val="center"/>
              </w:trPr>
              <w:tc>
                <w:tcPr>
                  <w:tcW w:w="1255" w:type="pct"/>
                  <w:tcBorders>
                    <w:tl2br w:val="nil"/>
                    <w:tr2bl w:val="nil"/>
                  </w:tcBorders>
                  <w:shd w:val="clear" w:color="auto" w:fill="auto"/>
                  <w:noWrap w:val="0"/>
                  <w:vAlign w:val="center"/>
                </w:tcPr>
                <w:p w14:paraId="272590AC">
                  <w:pPr>
                    <w:widowControl/>
                    <w:shd w:val="clear" w:color="auto" w:fill="auto"/>
                    <w:autoSpaceDE w:val="0"/>
                    <w:adjustRightInd w:val="0"/>
                    <w:snapToGrid w:val="0"/>
                    <w:jc w:val="center"/>
                    <w:rPr>
                      <w:rFonts w:ascii="宋体" w:hAnsi="宋体" w:cs="宋体"/>
                      <w:b/>
                      <w:bCs/>
                      <w:color w:val="000000"/>
                      <w:kern w:val="0"/>
                      <w:sz w:val="21"/>
                      <w:szCs w:val="21"/>
                      <w:highlight w:val="none"/>
                    </w:rPr>
                  </w:pPr>
                  <w:r>
                    <w:rPr>
                      <w:rFonts w:ascii="宋体" w:hAnsi="宋体" w:cs="宋体"/>
                      <w:b/>
                      <w:bCs/>
                      <w:color w:val="000000"/>
                      <w:kern w:val="0"/>
                      <w:sz w:val="21"/>
                      <w:szCs w:val="21"/>
                      <w:highlight w:val="none"/>
                    </w:rPr>
                    <w:t>声环境功能区类别</w:t>
                  </w:r>
                </w:p>
              </w:tc>
              <w:tc>
                <w:tcPr>
                  <w:tcW w:w="1996" w:type="pct"/>
                  <w:tcBorders>
                    <w:tl2br w:val="nil"/>
                    <w:tr2bl w:val="nil"/>
                  </w:tcBorders>
                  <w:shd w:val="clear" w:color="auto" w:fill="auto"/>
                  <w:noWrap w:val="0"/>
                  <w:vAlign w:val="center"/>
                </w:tcPr>
                <w:p w14:paraId="378925E5">
                  <w:pPr>
                    <w:widowControl/>
                    <w:shd w:val="clear" w:color="auto" w:fill="auto"/>
                    <w:autoSpaceDE w:val="0"/>
                    <w:adjustRightInd w:val="0"/>
                    <w:snapToGrid w:val="0"/>
                    <w:jc w:val="center"/>
                    <w:rPr>
                      <w:rFonts w:ascii="宋体" w:hAnsi="宋体" w:cs="宋体"/>
                      <w:b/>
                      <w:bCs/>
                      <w:color w:val="000000"/>
                      <w:kern w:val="0"/>
                      <w:sz w:val="21"/>
                      <w:szCs w:val="21"/>
                      <w:highlight w:val="none"/>
                    </w:rPr>
                  </w:pPr>
                  <w:r>
                    <w:rPr>
                      <w:rFonts w:hint="eastAsia" w:ascii="宋体" w:hAnsi="宋体" w:cs="宋体"/>
                      <w:b/>
                      <w:bCs/>
                      <w:color w:val="000000"/>
                      <w:kern w:val="0"/>
                      <w:sz w:val="21"/>
                      <w:szCs w:val="21"/>
                      <w:highlight w:val="none"/>
                    </w:rPr>
                    <w:t>方位</w:t>
                  </w:r>
                </w:p>
              </w:tc>
              <w:tc>
                <w:tcPr>
                  <w:tcW w:w="879" w:type="pct"/>
                  <w:tcBorders>
                    <w:tl2br w:val="nil"/>
                    <w:tr2bl w:val="nil"/>
                  </w:tcBorders>
                  <w:shd w:val="clear" w:color="auto" w:fill="auto"/>
                  <w:noWrap w:val="0"/>
                  <w:vAlign w:val="center"/>
                </w:tcPr>
                <w:p w14:paraId="5C40434B">
                  <w:pPr>
                    <w:widowControl/>
                    <w:shd w:val="clear" w:color="auto" w:fill="auto"/>
                    <w:autoSpaceDE w:val="0"/>
                    <w:adjustRightInd w:val="0"/>
                    <w:snapToGrid w:val="0"/>
                    <w:jc w:val="center"/>
                    <w:rPr>
                      <w:rFonts w:ascii="宋体" w:hAnsi="宋体" w:cs="宋体"/>
                      <w:b/>
                      <w:bCs/>
                      <w:color w:val="000000"/>
                      <w:kern w:val="0"/>
                      <w:sz w:val="21"/>
                      <w:szCs w:val="21"/>
                      <w:highlight w:val="none"/>
                    </w:rPr>
                  </w:pPr>
                  <w:r>
                    <w:rPr>
                      <w:rFonts w:ascii="宋体" w:hAnsi="宋体" w:cs="宋体"/>
                      <w:b/>
                      <w:bCs/>
                      <w:color w:val="000000"/>
                      <w:kern w:val="0"/>
                      <w:sz w:val="21"/>
                      <w:szCs w:val="21"/>
                      <w:highlight w:val="none"/>
                    </w:rPr>
                    <w:t>昼间</w:t>
                  </w:r>
                </w:p>
              </w:tc>
              <w:tc>
                <w:tcPr>
                  <w:tcW w:w="867" w:type="pct"/>
                  <w:tcBorders>
                    <w:tl2br w:val="nil"/>
                    <w:tr2bl w:val="nil"/>
                  </w:tcBorders>
                  <w:shd w:val="clear" w:color="auto" w:fill="auto"/>
                  <w:noWrap w:val="0"/>
                  <w:vAlign w:val="center"/>
                </w:tcPr>
                <w:p w14:paraId="06ADA126">
                  <w:pPr>
                    <w:widowControl/>
                    <w:shd w:val="clear" w:color="auto" w:fill="auto"/>
                    <w:autoSpaceDE w:val="0"/>
                    <w:adjustRightInd w:val="0"/>
                    <w:snapToGrid w:val="0"/>
                    <w:jc w:val="center"/>
                    <w:rPr>
                      <w:rFonts w:ascii="宋体" w:hAnsi="宋体" w:cs="宋体"/>
                      <w:b/>
                      <w:bCs/>
                      <w:color w:val="000000"/>
                      <w:kern w:val="0"/>
                      <w:sz w:val="21"/>
                      <w:szCs w:val="21"/>
                      <w:highlight w:val="none"/>
                    </w:rPr>
                  </w:pPr>
                  <w:r>
                    <w:rPr>
                      <w:rFonts w:ascii="宋体" w:hAnsi="宋体" w:cs="宋体"/>
                      <w:b/>
                      <w:bCs/>
                      <w:color w:val="000000"/>
                      <w:kern w:val="0"/>
                      <w:sz w:val="21"/>
                      <w:szCs w:val="21"/>
                      <w:highlight w:val="none"/>
                    </w:rPr>
                    <w:t>夜间</w:t>
                  </w:r>
                </w:p>
              </w:tc>
            </w:tr>
            <w:tr w14:paraId="006FDB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40" w:hRule="atLeast"/>
                <w:jc w:val="center"/>
              </w:trPr>
              <w:tc>
                <w:tcPr>
                  <w:tcW w:w="1255" w:type="pct"/>
                  <w:tcBorders>
                    <w:tl2br w:val="nil"/>
                    <w:tr2bl w:val="nil"/>
                  </w:tcBorders>
                  <w:shd w:val="clear" w:color="auto" w:fill="auto"/>
                  <w:noWrap w:val="0"/>
                  <w:vAlign w:val="center"/>
                </w:tcPr>
                <w:p w14:paraId="1B3E0C3D">
                  <w:pPr>
                    <w:widowControl/>
                    <w:shd w:val="clear" w:color="auto" w:fill="auto"/>
                    <w:autoSpaceDE w:val="0"/>
                    <w:adjustRightInd w:val="0"/>
                    <w:snapToGrid w:val="0"/>
                    <w:jc w:val="center"/>
                    <w:rPr>
                      <w:color w:val="000000"/>
                      <w:kern w:val="0"/>
                      <w:sz w:val="21"/>
                      <w:szCs w:val="21"/>
                      <w:highlight w:val="none"/>
                    </w:rPr>
                  </w:pPr>
                  <w:r>
                    <w:rPr>
                      <w:rFonts w:hint="eastAsia"/>
                      <w:color w:val="000000"/>
                      <w:kern w:val="0"/>
                      <w:sz w:val="21"/>
                      <w:szCs w:val="21"/>
                      <w:highlight w:val="none"/>
                      <w:lang w:val="en-US" w:eastAsia="zh-CN"/>
                    </w:rPr>
                    <w:t>2</w:t>
                  </w:r>
                  <w:r>
                    <w:rPr>
                      <w:color w:val="000000"/>
                      <w:kern w:val="0"/>
                      <w:sz w:val="21"/>
                      <w:szCs w:val="21"/>
                      <w:highlight w:val="none"/>
                    </w:rPr>
                    <w:t>类</w:t>
                  </w:r>
                </w:p>
              </w:tc>
              <w:tc>
                <w:tcPr>
                  <w:tcW w:w="1996" w:type="pct"/>
                  <w:tcBorders>
                    <w:tl2br w:val="nil"/>
                    <w:tr2bl w:val="nil"/>
                  </w:tcBorders>
                  <w:shd w:val="clear" w:color="auto" w:fill="auto"/>
                  <w:noWrap w:val="0"/>
                  <w:vAlign w:val="center"/>
                </w:tcPr>
                <w:p w14:paraId="2C64EE48">
                  <w:pPr>
                    <w:widowControl/>
                    <w:shd w:val="clear" w:color="auto" w:fill="auto"/>
                    <w:autoSpaceDE w:val="0"/>
                    <w:adjustRightInd w:val="0"/>
                    <w:snapToGrid w:val="0"/>
                    <w:jc w:val="center"/>
                    <w:rPr>
                      <w:rFonts w:hint="default" w:eastAsia="宋体"/>
                      <w:color w:val="000000"/>
                      <w:kern w:val="0"/>
                      <w:sz w:val="21"/>
                      <w:szCs w:val="21"/>
                      <w:highlight w:val="none"/>
                      <w:lang w:val="en-US" w:eastAsia="zh-CN"/>
                    </w:rPr>
                  </w:pPr>
                  <w:r>
                    <w:rPr>
                      <w:rFonts w:hint="default" w:ascii="Times New Roman" w:hAnsi="Times New Roman" w:cs="Times New Roman"/>
                      <w:b w:val="0"/>
                      <w:bCs/>
                      <w:color w:val="auto"/>
                      <w:sz w:val="21"/>
                      <w:szCs w:val="21"/>
                    </w:rPr>
                    <w:t>厂界</w:t>
                  </w:r>
                  <w:r>
                    <w:rPr>
                      <w:rFonts w:hint="eastAsia" w:ascii="Times New Roman" w:hAnsi="Times New Roman" w:cs="Times New Roman"/>
                      <w:b w:val="0"/>
                      <w:bCs/>
                      <w:color w:val="auto"/>
                      <w:sz w:val="21"/>
                      <w:szCs w:val="21"/>
                      <w:lang w:eastAsia="zh-CN"/>
                    </w:rPr>
                    <w:t>（东侧、</w:t>
                  </w:r>
                  <w:r>
                    <w:rPr>
                      <w:rFonts w:hint="eastAsia" w:ascii="Times New Roman" w:hAnsi="Times New Roman" w:cs="Times New Roman"/>
                      <w:b w:val="0"/>
                      <w:bCs/>
                      <w:color w:val="auto"/>
                      <w:sz w:val="21"/>
                      <w:szCs w:val="21"/>
                      <w:lang w:val="en-US" w:eastAsia="zh-CN"/>
                    </w:rPr>
                    <w:t>西侧、</w:t>
                  </w:r>
                  <w:r>
                    <w:rPr>
                      <w:rFonts w:hint="eastAsia" w:ascii="Times New Roman" w:hAnsi="Times New Roman" w:cs="Times New Roman"/>
                      <w:b w:val="0"/>
                      <w:bCs/>
                      <w:color w:val="auto"/>
                      <w:sz w:val="21"/>
                      <w:szCs w:val="21"/>
                      <w:lang w:eastAsia="zh-CN"/>
                    </w:rPr>
                    <w:t>北侧、南侧）</w:t>
                  </w:r>
                </w:p>
              </w:tc>
              <w:tc>
                <w:tcPr>
                  <w:tcW w:w="879" w:type="pct"/>
                  <w:tcBorders>
                    <w:tl2br w:val="nil"/>
                    <w:tr2bl w:val="nil"/>
                  </w:tcBorders>
                  <w:shd w:val="clear" w:color="auto" w:fill="auto"/>
                  <w:noWrap w:val="0"/>
                  <w:vAlign w:val="center"/>
                </w:tcPr>
                <w:p w14:paraId="07D4AB7F">
                  <w:pPr>
                    <w:widowControl/>
                    <w:shd w:val="clear" w:color="auto" w:fill="auto"/>
                    <w:autoSpaceDE w:val="0"/>
                    <w:adjustRightInd w:val="0"/>
                    <w:snapToGrid w:val="0"/>
                    <w:jc w:val="center"/>
                    <w:rPr>
                      <w:rFonts w:hint="default" w:eastAsia="宋体"/>
                      <w:color w:val="000000"/>
                      <w:kern w:val="0"/>
                      <w:sz w:val="21"/>
                      <w:szCs w:val="21"/>
                      <w:highlight w:val="none"/>
                      <w:lang w:val="en-US" w:eastAsia="zh-CN"/>
                    </w:rPr>
                  </w:pPr>
                  <w:r>
                    <w:rPr>
                      <w:rFonts w:hint="eastAsia" w:eastAsia="宋体"/>
                      <w:color w:val="000000"/>
                      <w:kern w:val="0"/>
                      <w:sz w:val="21"/>
                      <w:szCs w:val="21"/>
                      <w:highlight w:val="none"/>
                      <w:lang w:val="en-US" w:eastAsia="zh-CN"/>
                    </w:rPr>
                    <w:t>60</w:t>
                  </w:r>
                </w:p>
              </w:tc>
              <w:tc>
                <w:tcPr>
                  <w:tcW w:w="867" w:type="pct"/>
                  <w:tcBorders>
                    <w:tl2br w:val="nil"/>
                    <w:tr2bl w:val="nil"/>
                  </w:tcBorders>
                  <w:shd w:val="clear" w:color="auto" w:fill="auto"/>
                  <w:noWrap w:val="0"/>
                  <w:vAlign w:val="center"/>
                </w:tcPr>
                <w:p w14:paraId="6FD5FD69">
                  <w:pPr>
                    <w:widowControl/>
                    <w:shd w:val="clear" w:color="auto" w:fill="auto"/>
                    <w:autoSpaceDE w:val="0"/>
                    <w:adjustRightInd w:val="0"/>
                    <w:snapToGrid w:val="0"/>
                    <w:jc w:val="center"/>
                    <w:rPr>
                      <w:rFonts w:hint="default" w:eastAsia="宋体"/>
                      <w:color w:val="000000"/>
                      <w:kern w:val="0"/>
                      <w:sz w:val="21"/>
                      <w:szCs w:val="21"/>
                      <w:highlight w:val="none"/>
                      <w:lang w:val="en-US" w:eastAsia="zh-CN"/>
                    </w:rPr>
                  </w:pPr>
                  <w:r>
                    <w:rPr>
                      <w:rFonts w:hint="eastAsia" w:eastAsia="宋体"/>
                      <w:color w:val="000000"/>
                      <w:kern w:val="0"/>
                      <w:sz w:val="21"/>
                      <w:szCs w:val="21"/>
                      <w:highlight w:val="none"/>
                      <w:lang w:val="en-US" w:eastAsia="zh-CN"/>
                    </w:rPr>
                    <w:t>50</w:t>
                  </w:r>
                  <w:bookmarkEnd w:id="25"/>
                </w:p>
              </w:tc>
            </w:tr>
          </w:tbl>
          <w:p w14:paraId="0D74BFBF">
            <w:pPr>
              <w:widowControl/>
              <w:shd w:val="clear" w:color="auto" w:fill="auto"/>
              <w:spacing w:line="360" w:lineRule="auto"/>
              <w:ind w:firstLine="422" w:firstLineChars="200"/>
              <w:rPr>
                <w:color w:val="000000"/>
                <w:sz w:val="21"/>
                <w:szCs w:val="21"/>
                <w:highlight w:val="none"/>
              </w:rPr>
            </w:pPr>
            <w:r>
              <w:rPr>
                <w:rFonts w:hint="eastAsia"/>
                <w:b/>
                <w:bCs/>
                <w:color w:val="000000"/>
                <w:sz w:val="21"/>
                <w:szCs w:val="21"/>
                <w:highlight w:val="none"/>
                <w:lang w:val="en-US" w:eastAsia="zh-CN"/>
              </w:rPr>
              <w:t>4.</w:t>
            </w:r>
            <w:r>
              <w:rPr>
                <w:b/>
                <w:bCs/>
                <w:color w:val="000000"/>
                <w:sz w:val="21"/>
                <w:szCs w:val="21"/>
                <w:highlight w:val="none"/>
              </w:rPr>
              <w:t>固体废物</w:t>
            </w:r>
          </w:p>
          <w:p w14:paraId="0616CBCE">
            <w:pPr>
              <w:shd w:val="clear" w:color="auto" w:fill="auto"/>
              <w:adjustRightInd w:val="0"/>
              <w:snapToGrid w:val="0"/>
              <w:spacing w:line="360" w:lineRule="auto"/>
              <w:ind w:firstLine="420" w:firstLineChars="200"/>
              <w:jc w:val="left"/>
              <w:rPr>
                <w:rFonts w:hint="eastAsia"/>
                <w:color w:val="000000"/>
                <w:kern w:val="0"/>
                <w:sz w:val="21"/>
                <w:szCs w:val="21"/>
                <w:highlight w:val="none"/>
              </w:rPr>
            </w:pPr>
            <w:bookmarkStart w:id="26" w:name="_Hlk41382555"/>
            <w:r>
              <w:rPr>
                <w:rFonts w:hint="eastAsia"/>
                <w:color w:val="000000"/>
                <w:sz w:val="21"/>
                <w:szCs w:val="21"/>
                <w:highlight w:val="none"/>
                <w:lang w:val="en-US" w:eastAsia="zh-CN"/>
              </w:rPr>
              <w:t>一般工业固体废物贮存、处置</w:t>
            </w:r>
            <w:r>
              <w:rPr>
                <w:rFonts w:hint="eastAsia" w:ascii="Times New Roman" w:hAnsi="Times New Roman" w:eastAsia="宋体" w:cs="Times New Roman"/>
                <w:color w:val="000000"/>
                <w:sz w:val="21"/>
                <w:szCs w:val="21"/>
                <w:highlight w:val="none"/>
                <w:lang w:val="en-US" w:eastAsia="zh-CN"/>
              </w:rPr>
              <w:t>执行</w:t>
            </w:r>
            <w:r>
              <w:rPr>
                <w:rFonts w:ascii="Times New Roman" w:hAnsi="Times New Roman" w:eastAsia="宋体" w:cs="Times New Roman"/>
                <w:color w:val="000000"/>
                <w:sz w:val="21"/>
                <w:szCs w:val="21"/>
                <w:highlight w:val="none"/>
              </w:rPr>
              <w:t>《一般工业固体废物贮存和填埋污染控制标准》</w:t>
            </w:r>
            <w:r>
              <w:rPr>
                <w:rFonts w:hint="eastAsia" w:ascii="Times New Roman" w:hAnsi="Times New Roman" w:eastAsia="宋体" w:cs="Times New Roman"/>
                <w:color w:val="000000"/>
                <w:sz w:val="21"/>
                <w:szCs w:val="21"/>
                <w:highlight w:val="none"/>
                <w:lang w:eastAsia="zh-CN"/>
              </w:rPr>
              <w:t>（</w:t>
            </w:r>
            <w:r>
              <w:rPr>
                <w:rFonts w:ascii="Times New Roman" w:hAnsi="Times New Roman" w:eastAsia="宋体" w:cs="Times New Roman"/>
                <w:color w:val="000000"/>
                <w:sz w:val="21"/>
                <w:szCs w:val="21"/>
                <w:highlight w:val="none"/>
              </w:rPr>
              <w:t>GB18599-2020</w:t>
            </w:r>
            <w:r>
              <w:rPr>
                <w:rFonts w:hint="eastAsia" w:ascii="Times New Roman" w:hAnsi="Times New Roman" w:eastAsia="宋体" w:cs="Times New Roman"/>
                <w:color w:val="000000"/>
                <w:sz w:val="21"/>
                <w:szCs w:val="21"/>
                <w:highlight w:val="none"/>
                <w:lang w:eastAsia="zh-CN"/>
              </w:rPr>
              <w:t>）</w:t>
            </w:r>
            <w:r>
              <w:rPr>
                <w:rFonts w:hint="eastAsia" w:ascii="Times New Roman" w:hAnsi="Times New Roman" w:eastAsia="宋体" w:cs="Times New Roman"/>
                <w:color w:val="000000"/>
                <w:sz w:val="21"/>
                <w:szCs w:val="21"/>
                <w:highlight w:val="none"/>
                <w:lang w:val="en-US" w:eastAsia="zh-CN"/>
              </w:rPr>
              <w:t>的标准要求，</w:t>
            </w:r>
            <w:r>
              <w:rPr>
                <w:color w:val="000000"/>
                <w:sz w:val="21"/>
                <w:szCs w:val="21"/>
                <w:highlight w:val="none"/>
              </w:rPr>
              <w:t>危险废物</w:t>
            </w:r>
            <w:r>
              <w:rPr>
                <w:rFonts w:hint="eastAsia"/>
                <w:color w:val="000000"/>
                <w:sz w:val="21"/>
                <w:szCs w:val="21"/>
                <w:highlight w:val="none"/>
                <w:lang w:val="en-US" w:eastAsia="zh-CN"/>
              </w:rPr>
              <w:t>贮存、处置</w:t>
            </w:r>
            <w:r>
              <w:rPr>
                <w:color w:val="000000"/>
                <w:sz w:val="21"/>
                <w:szCs w:val="21"/>
                <w:highlight w:val="none"/>
              </w:rPr>
              <w:t>执行《危险废物贮存污染控制标准》</w:t>
            </w:r>
            <w:r>
              <w:rPr>
                <w:rFonts w:hint="eastAsia"/>
                <w:color w:val="000000"/>
                <w:sz w:val="21"/>
                <w:szCs w:val="21"/>
                <w:highlight w:val="none"/>
                <w:lang w:eastAsia="zh-CN"/>
              </w:rPr>
              <w:t>（</w:t>
            </w:r>
            <w:r>
              <w:rPr>
                <w:rFonts w:hint="eastAsia"/>
                <w:color w:val="000000"/>
                <w:sz w:val="21"/>
                <w:szCs w:val="21"/>
                <w:highlight w:val="none"/>
                <w:lang w:val="en-US" w:eastAsia="zh-CN"/>
              </w:rPr>
              <w:t>GB 18597-2023</w:t>
            </w:r>
            <w:r>
              <w:rPr>
                <w:rFonts w:hint="eastAsia"/>
                <w:color w:val="000000"/>
                <w:sz w:val="21"/>
                <w:szCs w:val="21"/>
                <w:highlight w:val="none"/>
                <w:lang w:eastAsia="zh-CN"/>
              </w:rPr>
              <w:t>）</w:t>
            </w:r>
            <w:r>
              <w:rPr>
                <w:rFonts w:hint="eastAsia"/>
                <w:color w:val="000000"/>
                <w:sz w:val="21"/>
                <w:szCs w:val="21"/>
                <w:highlight w:val="none"/>
                <w:lang w:val="en-US" w:eastAsia="zh-CN"/>
              </w:rPr>
              <w:t>的标准要求</w:t>
            </w:r>
            <w:r>
              <w:rPr>
                <w:color w:val="000000"/>
                <w:sz w:val="21"/>
                <w:szCs w:val="21"/>
                <w:highlight w:val="none"/>
              </w:rPr>
              <w:t>。</w:t>
            </w:r>
            <w:bookmarkEnd w:id="26"/>
          </w:p>
        </w:tc>
      </w:tr>
      <w:tr w14:paraId="04ABA9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50" w:hRule="atLeast"/>
          <w:jc w:val="center"/>
        </w:trPr>
        <w:tc>
          <w:tcPr>
            <w:tcW w:w="800" w:type="dxa"/>
            <w:shd w:val="clear" w:color="auto" w:fill="auto"/>
            <w:noWrap w:val="0"/>
            <w:vAlign w:val="center"/>
          </w:tcPr>
          <w:p w14:paraId="5578EBCC">
            <w:pPr>
              <w:shd w:val="clear" w:color="auto" w:fill="auto"/>
              <w:adjustRightInd w:val="0"/>
              <w:snapToGrid w:val="0"/>
              <w:jc w:val="center"/>
              <w:rPr>
                <w:rFonts w:hint="eastAsia" w:ascii="宋体" w:hAnsi="宋体" w:cs="宋体"/>
                <w:color w:val="000000"/>
                <w:kern w:val="0"/>
                <w:sz w:val="21"/>
                <w:szCs w:val="21"/>
                <w:highlight w:val="none"/>
              </w:rPr>
            </w:pPr>
            <w:r>
              <w:rPr>
                <w:rFonts w:hint="eastAsia" w:ascii="宋体" w:hAnsi="宋体" w:cs="宋体"/>
                <w:color w:val="000000"/>
                <w:kern w:val="0"/>
                <w:sz w:val="21"/>
                <w:szCs w:val="21"/>
                <w:highlight w:val="none"/>
              </w:rPr>
              <w:t>总量</w:t>
            </w:r>
          </w:p>
          <w:p w14:paraId="4AABFD70">
            <w:pPr>
              <w:shd w:val="clear" w:color="auto" w:fill="auto"/>
              <w:adjustRightInd w:val="0"/>
              <w:snapToGrid w:val="0"/>
              <w:jc w:val="center"/>
              <w:rPr>
                <w:rFonts w:hint="eastAsia" w:ascii="宋体" w:hAnsi="宋体" w:cs="宋体"/>
                <w:color w:val="000000"/>
                <w:kern w:val="0"/>
                <w:sz w:val="21"/>
                <w:szCs w:val="21"/>
                <w:highlight w:val="none"/>
              </w:rPr>
            </w:pPr>
            <w:r>
              <w:rPr>
                <w:rFonts w:hint="eastAsia" w:ascii="宋体" w:hAnsi="宋体" w:cs="宋体"/>
                <w:color w:val="000000"/>
                <w:kern w:val="0"/>
                <w:sz w:val="21"/>
                <w:szCs w:val="21"/>
                <w:highlight w:val="none"/>
              </w:rPr>
              <w:t>控制</w:t>
            </w:r>
          </w:p>
          <w:p w14:paraId="6C025F51">
            <w:pPr>
              <w:shd w:val="clear" w:color="auto" w:fill="auto"/>
              <w:adjustRightInd w:val="0"/>
              <w:snapToGrid w:val="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指标</w:t>
            </w:r>
          </w:p>
        </w:tc>
        <w:tc>
          <w:tcPr>
            <w:tcW w:w="8190" w:type="dxa"/>
            <w:shd w:val="clear" w:color="auto" w:fill="auto"/>
            <w:noWrap w:val="0"/>
            <w:vAlign w:val="center"/>
          </w:tcPr>
          <w:p w14:paraId="02F88358">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根据《建设项目主要污染物排放总量指标审核及管理暂行办法》（环发</w:t>
            </w:r>
            <w:r>
              <w:rPr>
                <w:rFonts w:hint="eastAsia"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rPr>
              <w:t>2014</w:t>
            </w:r>
            <w:r>
              <w:rPr>
                <w:rFonts w:hint="eastAsia"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rPr>
              <w:t>19号）的要求和国家</w:t>
            </w:r>
            <w:r>
              <w:rPr>
                <w:rFonts w:hint="eastAsia"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rPr>
              <w:t>十四五</w:t>
            </w:r>
            <w:r>
              <w:rPr>
                <w:rFonts w:hint="eastAsia"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rPr>
              <w:t>总量控制指标，总量控制指标为氮氧化物、化学需氧量、氨氮和VOCs。</w:t>
            </w:r>
          </w:p>
          <w:p w14:paraId="7A7DA199">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000000"/>
                <w:highlight w:val="none"/>
                <w:lang w:val="en-US" w:eastAsia="zh-CN"/>
              </w:rPr>
            </w:pPr>
            <w:r>
              <w:rPr>
                <w:rFonts w:hint="eastAsia"/>
                <w:color w:val="000000"/>
                <w:sz w:val="21"/>
                <w:szCs w:val="21"/>
                <w:highlight w:val="none"/>
                <w:lang w:val="en-US" w:eastAsia="zh-CN"/>
              </w:rPr>
              <w:t>本项目生产废水经污水处理站处理，生活污水经隔油池、化粪池处理后均拉运至宝鸡天龙污水处理有限公司处置，</w:t>
            </w:r>
            <w:r>
              <w:rPr>
                <w:rFonts w:hint="default" w:ascii="Times New Roman" w:hAnsi="Times New Roman" w:cs="Times New Roman"/>
                <w:color w:val="000000"/>
                <w:sz w:val="21"/>
                <w:szCs w:val="21"/>
                <w:highlight w:val="none"/>
              </w:rPr>
              <w:t>化学需氧量、氨氮</w:t>
            </w:r>
            <w:r>
              <w:rPr>
                <w:rFonts w:hint="eastAsia" w:ascii="Times New Roman" w:hAnsi="Times New Roman" w:cs="Times New Roman"/>
                <w:color w:val="000000"/>
                <w:sz w:val="21"/>
                <w:szCs w:val="21"/>
                <w:highlight w:val="none"/>
                <w:lang w:val="en-US" w:eastAsia="zh-CN"/>
              </w:rPr>
              <w:t>的总量控制指标纳入宝鸡天龙污水处理有限公司，本项目不设总量控制指标；项目</w:t>
            </w:r>
            <w:r>
              <w:rPr>
                <w:rFonts w:hint="eastAsia" w:cs="Times New Roman"/>
                <w:color w:val="000000"/>
                <w:sz w:val="21"/>
                <w:szCs w:val="21"/>
                <w:highlight w:val="none"/>
                <w:lang w:val="en-US" w:eastAsia="zh-CN"/>
              </w:rPr>
              <w:t>天然气锅炉</w:t>
            </w:r>
            <w:r>
              <w:rPr>
                <w:rFonts w:hint="eastAsia" w:ascii="Times New Roman" w:hAnsi="Times New Roman" w:cs="Times New Roman"/>
                <w:color w:val="000000"/>
                <w:sz w:val="21"/>
                <w:szCs w:val="21"/>
                <w:highlight w:val="none"/>
                <w:lang w:val="en-US" w:eastAsia="zh-CN"/>
              </w:rPr>
              <w:t>运行过程中产生氮氧化物，根据源强核算结果，</w:t>
            </w:r>
            <w:r>
              <w:rPr>
                <w:rFonts w:hint="default" w:ascii="Times New Roman" w:hAnsi="Times New Roman" w:eastAsia="宋体" w:cs="Times New Roman"/>
                <w:color w:val="000000"/>
                <w:highlight w:val="none"/>
                <w:lang w:val="en-US" w:eastAsia="zh-CN"/>
              </w:rPr>
              <w:t>氮氧化物的产生量为</w:t>
            </w:r>
            <w:r>
              <w:rPr>
                <w:rFonts w:hint="eastAsia" w:ascii="Times New Roman" w:hAnsi="Times New Roman" w:cs="Times New Roman"/>
                <w:color w:val="000000"/>
                <w:highlight w:val="none"/>
                <w:lang w:val="en-US" w:eastAsia="zh-CN"/>
              </w:rPr>
              <w:t>0.102</w:t>
            </w:r>
            <w:r>
              <w:rPr>
                <w:rFonts w:hint="default" w:ascii="Times New Roman" w:hAnsi="Times New Roman" w:eastAsia="宋体" w:cs="Times New Roman"/>
                <w:color w:val="000000"/>
                <w:highlight w:val="none"/>
                <w:lang w:val="en-US" w:eastAsia="zh-CN"/>
              </w:rPr>
              <w:t>t/a，</w:t>
            </w:r>
            <w:r>
              <w:rPr>
                <w:rFonts w:hint="eastAsia" w:ascii="Times New Roman" w:hAnsi="Times New Roman" w:eastAsia="宋体" w:cs="Times New Roman"/>
                <w:color w:val="000000"/>
                <w:highlight w:val="none"/>
                <w:lang w:val="en-US" w:eastAsia="zh-CN"/>
              </w:rPr>
              <w:t>因此氮氧化物总量控制指标建议值为</w:t>
            </w:r>
            <w:r>
              <w:rPr>
                <w:rFonts w:hint="eastAsia" w:ascii="Times New Roman" w:hAnsi="Times New Roman" w:cs="Times New Roman"/>
                <w:color w:val="000000"/>
                <w:highlight w:val="none"/>
                <w:lang w:val="en-US" w:eastAsia="zh-CN"/>
              </w:rPr>
              <w:t>0.102</w:t>
            </w:r>
            <w:r>
              <w:rPr>
                <w:rFonts w:hint="default" w:ascii="Times New Roman" w:hAnsi="Times New Roman" w:eastAsia="宋体" w:cs="Times New Roman"/>
                <w:color w:val="000000"/>
                <w:highlight w:val="none"/>
                <w:lang w:val="en-US" w:eastAsia="zh-CN"/>
              </w:rPr>
              <w:t>t/a</w:t>
            </w:r>
            <w:r>
              <w:rPr>
                <w:rFonts w:hint="eastAsia" w:ascii="Times New Roman" w:hAnsi="Times New Roman" w:eastAsia="宋体" w:cs="Times New Roman"/>
                <w:color w:val="000000"/>
                <w:highlight w:val="none"/>
                <w:lang w:val="en-US" w:eastAsia="zh-CN"/>
              </w:rPr>
              <w:t>。</w:t>
            </w:r>
          </w:p>
          <w:p w14:paraId="448B4F56">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000000"/>
                <w:highlight w:val="none"/>
                <w:lang w:val="en-US" w:eastAsia="zh-CN"/>
              </w:rPr>
            </w:pPr>
          </w:p>
        </w:tc>
      </w:tr>
    </w:tbl>
    <w:p w14:paraId="664DE086">
      <w:pPr>
        <w:pStyle w:val="66"/>
        <w:shd w:val="clear" w:color="auto" w:fill="auto"/>
        <w:jc w:val="center"/>
        <w:outlineLvl w:val="0"/>
        <w:rPr>
          <w:rFonts w:ascii="黑体" w:hAnsi="黑体" w:eastAsia="黑体"/>
          <w:snapToGrid w:val="0"/>
          <w:color w:val="000000"/>
          <w:sz w:val="21"/>
          <w:szCs w:val="21"/>
          <w:highlight w:val="none"/>
        </w:rPr>
      </w:pPr>
      <w:r>
        <w:br w:type="page"/>
      </w:r>
      <w:r>
        <w:rPr>
          <w:rFonts w:hint="eastAsia" w:ascii="黑体" w:hAnsi="黑体" w:eastAsia="黑体"/>
          <w:snapToGrid w:val="0"/>
          <w:color w:val="000000"/>
          <w:sz w:val="30"/>
          <w:szCs w:val="30"/>
          <w:highlight w:val="none"/>
        </w:rPr>
        <w:t>四、主要环境影响和保护措施</w:t>
      </w:r>
    </w:p>
    <w:tbl>
      <w:tblPr>
        <w:tblStyle w:val="21"/>
        <w:tblW w:w="8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17"/>
        <w:gridCol w:w="8364"/>
      </w:tblGrid>
      <w:tr w14:paraId="1C60C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49" w:hRule="atLeast"/>
          <w:jc w:val="center"/>
        </w:trPr>
        <w:tc>
          <w:tcPr>
            <w:tcW w:w="617" w:type="dxa"/>
            <w:tcBorders>
              <w:tl2br w:val="nil"/>
              <w:tr2bl w:val="nil"/>
            </w:tcBorders>
            <w:shd w:val="clear" w:color="auto" w:fill="auto"/>
            <w:noWrap w:val="0"/>
            <w:tcMar>
              <w:top w:w="0" w:type="dxa"/>
              <w:left w:w="28" w:type="dxa"/>
              <w:bottom w:w="0" w:type="dxa"/>
              <w:right w:w="28" w:type="dxa"/>
            </w:tcMar>
            <w:vAlign w:val="center"/>
          </w:tcPr>
          <w:p w14:paraId="7A03907E">
            <w:pPr>
              <w:pStyle w:val="66"/>
              <w:shd w:val="clear" w:color="auto" w:fill="auto"/>
              <w:adjustRightInd w:val="0"/>
              <w:snapToGrid w:val="0"/>
              <w:spacing w:before="0" w:beforeAutospacing="0" w:after="0" w:afterAutospacing="0"/>
              <w:jc w:val="center"/>
              <w:rPr>
                <w:rFonts w:hint="eastAsia" w:cs="宋体"/>
                <w:color w:val="000000"/>
                <w:kern w:val="2"/>
                <w:sz w:val="21"/>
                <w:szCs w:val="21"/>
                <w:highlight w:val="none"/>
              </w:rPr>
            </w:pPr>
            <w:r>
              <w:rPr>
                <w:rFonts w:hint="eastAsia" w:cs="宋体"/>
                <w:color w:val="000000"/>
                <w:kern w:val="2"/>
                <w:sz w:val="21"/>
                <w:szCs w:val="21"/>
                <w:highlight w:val="none"/>
              </w:rPr>
              <w:t>施工</w:t>
            </w:r>
          </w:p>
          <w:p w14:paraId="21287634">
            <w:pPr>
              <w:pStyle w:val="66"/>
              <w:shd w:val="clear" w:color="auto" w:fill="auto"/>
              <w:adjustRightInd w:val="0"/>
              <w:snapToGrid w:val="0"/>
              <w:spacing w:before="0" w:beforeAutospacing="0" w:after="0" w:afterAutospacing="0"/>
              <w:jc w:val="center"/>
              <w:rPr>
                <w:rFonts w:hint="eastAsia" w:cs="宋体"/>
                <w:color w:val="000000"/>
                <w:kern w:val="2"/>
                <w:sz w:val="21"/>
                <w:szCs w:val="21"/>
                <w:highlight w:val="none"/>
              </w:rPr>
            </w:pPr>
            <w:r>
              <w:rPr>
                <w:rFonts w:hint="eastAsia" w:cs="宋体"/>
                <w:color w:val="000000"/>
                <w:kern w:val="2"/>
                <w:sz w:val="21"/>
                <w:szCs w:val="21"/>
                <w:highlight w:val="none"/>
              </w:rPr>
              <w:t>期环</w:t>
            </w:r>
          </w:p>
          <w:p w14:paraId="344A88B7">
            <w:pPr>
              <w:pStyle w:val="66"/>
              <w:shd w:val="clear" w:color="auto" w:fill="auto"/>
              <w:adjustRightInd w:val="0"/>
              <w:snapToGrid w:val="0"/>
              <w:spacing w:before="0" w:beforeAutospacing="0" w:after="0" w:afterAutospacing="0"/>
              <w:jc w:val="center"/>
              <w:rPr>
                <w:rFonts w:hint="eastAsia" w:cs="宋体"/>
                <w:color w:val="000000"/>
                <w:kern w:val="2"/>
                <w:sz w:val="21"/>
                <w:szCs w:val="21"/>
                <w:highlight w:val="none"/>
              </w:rPr>
            </w:pPr>
            <w:r>
              <w:rPr>
                <w:rFonts w:hint="eastAsia" w:cs="宋体"/>
                <w:color w:val="000000"/>
                <w:kern w:val="2"/>
                <w:sz w:val="21"/>
                <w:szCs w:val="21"/>
                <w:highlight w:val="none"/>
              </w:rPr>
              <w:t>境保</w:t>
            </w:r>
          </w:p>
          <w:p w14:paraId="64DCB0DA">
            <w:pPr>
              <w:pStyle w:val="66"/>
              <w:shd w:val="clear" w:color="auto" w:fill="auto"/>
              <w:adjustRightInd w:val="0"/>
              <w:snapToGrid w:val="0"/>
              <w:spacing w:before="0" w:beforeAutospacing="0" w:after="0" w:afterAutospacing="0"/>
              <w:jc w:val="center"/>
              <w:rPr>
                <w:rFonts w:hint="eastAsia" w:cs="宋体"/>
                <w:color w:val="000000"/>
                <w:kern w:val="2"/>
                <w:sz w:val="21"/>
                <w:szCs w:val="21"/>
                <w:highlight w:val="none"/>
              </w:rPr>
            </w:pPr>
            <w:r>
              <w:rPr>
                <w:rFonts w:hint="eastAsia" w:cs="宋体"/>
                <w:color w:val="000000"/>
                <w:kern w:val="2"/>
                <w:sz w:val="21"/>
                <w:szCs w:val="21"/>
                <w:highlight w:val="none"/>
              </w:rPr>
              <w:t>护措</w:t>
            </w:r>
          </w:p>
          <w:p w14:paraId="23D53099">
            <w:pPr>
              <w:pStyle w:val="66"/>
              <w:shd w:val="clear" w:color="auto" w:fill="auto"/>
              <w:adjustRightInd w:val="0"/>
              <w:snapToGrid w:val="0"/>
              <w:spacing w:before="0" w:beforeAutospacing="0" w:after="0" w:afterAutospacing="0"/>
              <w:jc w:val="center"/>
              <w:rPr>
                <w:rFonts w:hint="eastAsia" w:cs="宋体"/>
                <w:bCs/>
                <w:color w:val="000000"/>
                <w:kern w:val="2"/>
                <w:sz w:val="21"/>
                <w:szCs w:val="21"/>
                <w:highlight w:val="none"/>
              </w:rPr>
            </w:pPr>
            <w:r>
              <w:rPr>
                <w:rFonts w:hint="eastAsia" w:cs="宋体"/>
                <w:color w:val="000000"/>
                <w:kern w:val="2"/>
                <w:sz w:val="21"/>
                <w:szCs w:val="21"/>
                <w:highlight w:val="none"/>
              </w:rPr>
              <w:t>施</w:t>
            </w:r>
          </w:p>
        </w:tc>
        <w:tc>
          <w:tcPr>
            <w:tcW w:w="8364" w:type="dxa"/>
            <w:tcBorders>
              <w:tl2br w:val="nil"/>
              <w:tr2bl w:val="nil"/>
            </w:tcBorders>
            <w:shd w:val="clear" w:color="auto" w:fill="auto"/>
            <w:noWrap w:val="0"/>
            <w:vAlign w:val="center"/>
          </w:tcPr>
          <w:p w14:paraId="390E6CE8">
            <w:pPr>
              <w:keepNext w:val="0"/>
              <w:keepLines w:val="0"/>
              <w:suppressLineNumbers w:val="0"/>
              <w:shd w:val="clear" w:color="auto" w:fill="auto"/>
              <w:bidi w:val="0"/>
              <w:spacing w:before="0" w:beforeAutospacing="0" w:after="0" w:afterAutospacing="0" w:line="360" w:lineRule="auto"/>
              <w:ind w:left="0" w:right="0" w:firstLine="420" w:firstLineChars="200"/>
              <w:rPr>
                <w:rFonts w:hint="default"/>
                <w:color w:val="000000"/>
                <w:highlight w:val="none"/>
              </w:rPr>
            </w:pPr>
            <w:r>
              <w:rPr>
                <w:rFonts w:hint="eastAsia"/>
                <w:color w:val="000000"/>
                <w:highlight w:val="none"/>
                <w:lang w:val="en-US" w:eastAsia="zh-CN"/>
              </w:rPr>
              <w:t>本项目</w:t>
            </w:r>
            <w:r>
              <w:rPr>
                <w:rFonts w:hint="default"/>
                <w:color w:val="000000"/>
                <w:highlight w:val="none"/>
                <w:lang w:val="en-US" w:eastAsia="zh-CN"/>
              </w:rPr>
              <w:t>位于</w:t>
            </w:r>
            <w:r>
              <w:rPr>
                <w:rFonts w:hint="eastAsia" w:ascii="Times New Roman" w:hAnsi="Times New Roman" w:eastAsia="宋体" w:cs="Times New Roman"/>
                <w:color w:val="000000"/>
                <w:sz w:val="21"/>
                <w:szCs w:val="21"/>
                <w:highlight w:val="none"/>
                <w:lang w:val="en-US" w:eastAsia="zh-CN"/>
              </w:rPr>
              <w:t>宝鸡市凤翔区陈村镇尹家务供销社院内</w:t>
            </w:r>
            <w:r>
              <w:rPr>
                <w:rFonts w:hint="default"/>
                <w:color w:val="000000"/>
                <w:highlight w:val="none"/>
              </w:rPr>
              <w:t>，</w:t>
            </w:r>
            <w:r>
              <w:rPr>
                <w:rFonts w:hint="eastAsia"/>
                <w:color w:val="000000"/>
                <w:highlight w:val="none"/>
                <w:lang w:val="en-US" w:eastAsia="zh-CN"/>
              </w:rPr>
              <w:t>现状为空地，</w:t>
            </w:r>
            <w:r>
              <w:rPr>
                <w:rFonts w:hint="default"/>
                <w:color w:val="000000"/>
                <w:highlight w:val="none"/>
              </w:rPr>
              <w:t>施工期主要是</w:t>
            </w:r>
            <w:r>
              <w:rPr>
                <w:rFonts w:hint="eastAsia"/>
                <w:color w:val="000000"/>
                <w:highlight w:val="none"/>
                <w:lang w:val="en-US" w:eastAsia="zh-CN"/>
              </w:rPr>
              <w:t>办公楼、</w:t>
            </w:r>
            <w:r>
              <w:rPr>
                <w:rFonts w:hint="default"/>
                <w:color w:val="000000"/>
                <w:highlight w:val="none"/>
              </w:rPr>
              <w:t>生产车间的建设</w:t>
            </w:r>
            <w:r>
              <w:rPr>
                <w:rFonts w:hint="eastAsia"/>
                <w:color w:val="000000"/>
                <w:highlight w:val="none"/>
                <w:lang w:eastAsia="zh-CN"/>
              </w:rPr>
              <w:t>，</w:t>
            </w:r>
            <w:r>
              <w:rPr>
                <w:rFonts w:hint="eastAsia"/>
                <w:color w:val="000000"/>
                <w:highlight w:val="none"/>
                <w:lang w:val="en-US" w:eastAsia="zh-CN"/>
              </w:rPr>
              <w:t>建设工期为</w:t>
            </w:r>
            <w:r>
              <w:rPr>
                <w:rFonts w:hint="eastAsia" w:ascii="Times New Roman" w:hAnsi="Times New Roman" w:cs="Times New Roman"/>
                <w:color w:val="000000"/>
                <w:highlight w:val="none"/>
                <w:lang w:val="en-US" w:eastAsia="zh-CN"/>
              </w:rPr>
              <w:t>6</w:t>
            </w:r>
            <w:r>
              <w:rPr>
                <w:rFonts w:hint="eastAsia"/>
                <w:color w:val="000000"/>
                <w:highlight w:val="none"/>
                <w:lang w:val="en-US" w:eastAsia="zh-CN"/>
              </w:rPr>
              <w:t>个月</w:t>
            </w:r>
            <w:r>
              <w:rPr>
                <w:rFonts w:hint="default"/>
                <w:color w:val="000000"/>
                <w:highlight w:val="none"/>
              </w:rPr>
              <w:t>。</w:t>
            </w:r>
          </w:p>
          <w:p w14:paraId="3B3889B7">
            <w:pPr>
              <w:keepNext w:val="0"/>
              <w:keepLines w:val="0"/>
              <w:pageBreakBefore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default" w:ascii="Times New Roman" w:hAnsi="Times New Roman" w:eastAsia="宋体" w:cs="Times New Roman"/>
                <w:b/>
                <w:color w:val="000000"/>
                <w:sz w:val="21"/>
                <w:szCs w:val="21"/>
                <w:highlight w:val="none"/>
                <w:lang w:val="en-US" w:eastAsia="zh-CN"/>
              </w:rPr>
            </w:pPr>
            <w:r>
              <w:rPr>
                <w:rFonts w:hint="default" w:ascii="Times New Roman" w:hAnsi="Times New Roman" w:cs="Times New Roman"/>
                <w:b/>
                <w:color w:val="000000"/>
                <w:sz w:val="21"/>
                <w:szCs w:val="21"/>
                <w:highlight w:val="none"/>
              </w:rPr>
              <w:t>一、施工期大气污染</w:t>
            </w:r>
            <w:r>
              <w:rPr>
                <w:rFonts w:hint="eastAsia" w:ascii="Times New Roman" w:hAnsi="Times New Roman" w:cs="Times New Roman"/>
                <w:b/>
                <w:color w:val="000000"/>
                <w:sz w:val="21"/>
                <w:szCs w:val="21"/>
                <w:highlight w:val="none"/>
                <w:lang w:val="en-US" w:eastAsia="zh-CN"/>
              </w:rPr>
              <w:t>防治措施</w:t>
            </w:r>
          </w:p>
          <w:p w14:paraId="5D8A9790">
            <w:pPr>
              <w:pStyle w:val="204"/>
              <w:keepNext w:val="0"/>
              <w:keepLines w:val="0"/>
              <w:pageBreakBefore w:val="0"/>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firstLine="42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本项目施工期大气污染物主要是施工场地平整、机械车辆运输中产生的扬尘及施工机械排放的烟气。</w:t>
            </w:r>
          </w:p>
          <w:p w14:paraId="7D17F225">
            <w:pPr>
              <w:pStyle w:val="66"/>
              <w:keepNext w:val="0"/>
              <w:keepLines w:val="0"/>
              <w:pageBreakBefore w:val="0"/>
              <w:shd w:val="clear" w:color="auto" w:fill="auto"/>
              <w:kinsoku/>
              <w:wordWrap/>
              <w:overflowPunct/>
              <w:topLinePunct w:val="0"/>
              <w:autoSpaceDE/>
              <w:autoSpaceDN/>
              <w:bidi w:val="0"/>
              <w:adjustRightInd w:val="0"/>
              <w:snapToGrid w:val="0"/>
              <w:spacing w:before="0" w:beforeAutospacing="0" w:after="0" w:afterAutospacing="0" w:line="360" w:lineRule="auto"/>
              <w:ind w:firstLine="422" w:firstLineChars="200"/>
              <w:textAlignment w:val="auto"/>
              <w:rPr>
                <w:rFonts w:hint="default" w:ascii="Times New Roman" w:hAnsi="Times New Roman" w:cs="Times New Roman"/>
                <w:b/>
                <w:bCs/>
                <w:color w:val="000000"/>
                <w:sz w:val="21"/>
                <w:szCs w:val="21"/>
                <w:highlight w:val="none"/>
              </w:rPr>
            </w:pPr>
            <w:r>
              <w:rPr>
                <w:rFonts w:hint="eastAsia" w:ascii="Times New Roman" w:hAnsi="Times New Roman" w:cs="Times New Roman"/>
                <w:b/>
                <w:bCs/>
                <w:color w:val="000000"/>
                <w:sz w:val="21"/>
                <w:szCs w:val="21"/>
                <w:highlight w:val="none"/>
                <w:lang w:eastAsia="zh-CN"/>
              </w:rPr>
              <w:t>1.</w:t>
            </w:r>
            <w:r>
              <w:rPr>
                <w:rFonts w:hint="default" w:ascii="Times New Roman" w:hAnsi="Times New Roman" w:cs="Times New Roman"/>
                <w:b/>
                <w:bCs/>
                <w:color w:val="000000"/>
                <w:sz w:val="21"/>
                <w:szCs w:val="21"/>
                <w:highlight w:val="none"/>
              </w:rPr>
              <w:t>扬尘</w:t>
            </w:r>
          </w:p>
          <w:p w14:paraId="527AC885">
            <w:pPr>
              <w:pStyle w:val="66"/>
              <w:keepNext w:val="0"/>
              <w:keepLines w:val="0"/>
              <w:pageBreakBefore w:val="0"/>
              <w:shd w:val="clear" w:color="auto" w:fill="auto"/>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扬尘产生的途径主要为车辆运输、场地平整、压实等。浓度影响值随风速的变化而变化，当小风、静风天气作业时，影响范围较小；而当大风天气作业时起尘量大，扬尘污染范围也较大；扬尘对500m以外的环境空气影响微小。</w:t>
            </w:r>
          </w:p>
          <w:p w14:paraId="58124FA2">
            <w:pPr>
              <w:pStyle w:val="66"/>
              <w:keepNext w:val="0"/>
              <w:keepLines w:val="0"/>
              <w:pageBreakBefore w:val="0"/>
              <w:shd w:val="clear" w:color="auto" w:fill="auto"/>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根据现场勘查，本项目</w:t>
            </w:r>
            <w:r>
              <w:rPr>
                <w:rFonts w:hint="eastAsia" w:ascii="Times New Roman" w:hAnsi="Times New Roman" w:cs="Times New Roman"/>
                <w:color w:val="000000"/>
                <w:sz w:val="21"/>
                <w:szCs w:val="21"/>
                <w:highlight w:val="none"/>
                <w:lang w:val="en-US" w:eastAsia="zh-CN"/>
              </w:rPr>
              <w:t>主要为钢结构厂房的建设</w:t>
            </w:r>
            <w:r>
              <w:rPr>
                <w:rFonts w:hint="default" w:ascii="Times New Roman" w:hAnsi="Times New Roman" w:cs="Times New Roman"/>
                <w:color w:val="000000"/>
                <w:sz w:val="21"/>
                <w:szCs w:val="21"/>
                <w:highlight w:val="none"/>
              </w:rPr>
              <w:t>，土方开挖量较小，项目施工扬尘量较小。</w:t>
            </w:r>
          </w:p>
          <w:p w14:paraId="2E1C361B">
            <w:pPr>
              <w:pStyle w:val="66"/>
              <w:keepNext w:val="0"/>
              <w:keepLines w:val="0"/>
              <w:pageBreakBefore w:val="0"/>
              <w:shd w:val="clear" w:color="auto" w:fill="auto"/>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为降低扬尘对周边环境的影响，采取如下减缓及保护措施：</w:t>
            </w:r>
          </w:p>
          <w:p w14:paraId="4F5B5BE0">
            <w:pPr>
              <w:pStyle w:val="66"/>
              <w:keepNext w:val="0"/>
              <w:keepLines w:val="0"/>
              <w:pageBreakBefore w:val="0"/>
              <w:widowControl/>
              <w:numPr>
                <w:ilvl w:val="0"/>
                <w:numId w:val="5"/>
              </w:numPr>
              <w:shd w:val="clear" w:color="auto" w:fill="auto"/>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eastAsia" w:ascii="Times New Roman" w:hAnsi="Times New Roman" w:cs="Times New Roman"/>
                <w:color w:val="000000"/>
                <w:sz w:val="21"/>
                <w:szCs w:val="21"/>
                <w:highlight w:val="none"/>
                <w:lang w:eastAsia="zh-CN"/>
              </w:rPr>
            </w:pPr>
            <w:r>
              <w:rPr>
                <w:rFonts w:hint="default" w:ascii="Times New Roman" w:hAnsi="Times New Roman" w:cs="Times New Roman"/>
                <w:color w:val="000000"/>
                <w:sz w:val="21"/>
                <w:szCs w:val="21"/>
                <w:highlight w:val="none"/>
              </w:rPr>
              <w:t>在施工期间对车辆行驶的路面实施洒水抑尘</w:t>
            </w:r>
            <w:r>
              <w:rPr>
                <w:rFonts w:hint="eastAsia" w:ascii="Times New Roman" w:hAnsi="Times New Roman" w:cs="Times New Roman"/>
                <w:color w:val="000000"/>
                <w:sz w:val="21"/>
                <w:szCs w:val="21"/>
                <w:highlight w:val="none"/>
                <w:lang w:eastAsia="zh-CN"/>
              </w:rPr>
              <w:t>。</w:t>
            </w:r>
          </w:p>
          <w:p w14:paraId="2D3CED49">
            <w:pPr>
              <w:pStyle w:val="66"/>
              <w:keepNext w:val="0"/>
              <w:keepLines w:val="0"/>
              <w:pageBreakBefore w:val="0"/>
              <w:widowControl/>
              <w:numPr>
                <w:ilvl w:val="0"/>
                <w:numId w:val="5"/>
              </w:numPr>
              <w:shd w:val="clear" w:color="auto" w:fill="auto"/>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运输车辆必须密闭化，严禁跑冒滴漏，装卸时严禁凌空抛撒。</w:t>
            </w:r>
          </w:p>
          <w:p w14:paraId="616AF3C8">
            <w:pPr>
              <w:pStyle w:val="66"/>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（3）禁止在道路和</w:t>
            </w:r>
            <w:r>
              <w:rPr>
                <w:rFonts w:hint="eastAsia" w:ascii="Times New Roman" w:hAnsi="Times New Roman" w:cs="Times New Roman"/>
                <w:color w:val="000000"/>
                <w:sz w:val="21"/>
                <w:szCs w:val="21"/>
                <w:highlight w:val="none"/>
                <w:lang w:val="en-US" w:eastAsia="zh-CN"/>
              </w:rPr>
              <w:t>人</w:t>
            </w:r>
            <w:r>
              <w:rPr>
                <w:rFonts w:hint="default" w:ascii="Times New Roman" w:hAnsi="Times New Roman" w:cs="Times New Roman"/>
                <w:color w:val="000000"/>
                <w:sz w:val="21"/>
                <w:szCs w:val="21"/>
                <w:highlight w:val="none"/>
              </w:rPr>
              <w:t>行道上堆放、转运产生扬尘污染的建筑材料。</w:t>
            </w:r>
          </w:p>
          <w:p w14:paraId="2AAA42E5">
            <w:pPr>
              <w:pStyle w:val="66"/>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（4）在施工区与道路结合段设置洒水抑尘设施，对施工扬尘产生的作业点定时洒水，</w:t>
            </w:r>
            <w:r>
              <w:rPr>
                <w:rFonts w:hint="eastAsia" w:ascii="Times New Roman" w:hAnsi="Times New Roman" w:cs="Times New Roman"/>
                <w:color w:val="000000"/>
                <w:sz w:val="21"/>
                <w:szCs w:val="21"/>
                <w:highlight w:val="none"/>
                <w:lang w:eastAsia="zh-CN"/>
              </w:rPr>
              <w:t>减少</w:t>
            </w:r>
            <w:r>
              <w:rPr>
                <w:rFonts w:hint="default" w:ascii="Times New Roman" w:hAnsi="Times New Roman" w:cs="Times New Roman"/>
                <w:color w:val="000000"/>
                <w:sz w:val="21"/>
                <w:szCs w:val="21"/>
                <w:highlight w:val="none"/>
              </w:rPr>
              <w:t>扬尘。</w:t>
            </w:r>
          </w:p>
          <w:p w14:paraId="2708E088">
            <w:pPr>
              <w:pStyle w:val="66"/>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（5）施工现场主要道路必须进行硬化处理，易产生扬尘的物料堆置必须采取密闭、遮盖、洒水等抑尘措施，减少露天装卸作业，严禁渣土车遗撒。</w:t>
            </w:r>
          </w:p>
          <w:p w14:paraId="304FC998">
            <w:pPr>
              <w:pStyle w:val="17"/>
              <w:keepNext w:val="0"/>
              <w:keepLines w:val="0"/>
              <w:pageBreakBefore w:val="0"/>
              <w:widowControl/>
              <w:suppressLineNumbers w:val="0"/>
              <w:shd w:val="clear" w:color="auto" w:fill="auto"/>
              <w:tabs>
                <w:tab w:val="left" w:pos="1117"/>
              </w:tabs>
              <w:kinsoku/>
              <w:wordWrap/>
              <w:overflowPunct/>
              <w:topLinePunct w:val="0"/>
              <w:autoSpaceDE/>
              <w:autoSpaceDN/>
              <w:bidi w:val="0"/>
              <w:adjustRightInd w:val="0"/>
              <w:snapToGrid w:val="0"/>
              <w:spacing w:before="0" w:beforeAutospacing="0" w:after="0" w:afterAutospacing="0" w:line="360" w:lineRule="auto"/>
              <w:ind w:left="0" w:right="0" w:rightChars="0" w:firstLine="420" w:firstLineChars="200"/>
              <w:textAlignment w:val="auto"/>
              <w:rPr>
                <w:rFonts w:hint="default" w:ascii="Times New Roman" w:hAnsi="Times New Roman" w:eastAsia="宋体" w:cs="Times New Roman"/>
                <w:b w:val="0"/>
                <w:bCs w:val="0"/>
                <w:color w:val="000000"/>
                <w:kern w:val="0"/>
                <w:sz w:val="21"/>
                <w:szCs w:val="21"/>
                <w:highlight w:val="none"/>
                <w:lang w:val="en-US" w:eastAsia="zh-CN" w:bidi="ar-SA"/>
              </w:rPr>
            </w:pPr>
            <w:r>
              <w:rPr>
                <w:rFonts w:hint="default" w:ascii="Times New Roman" w:hAnsi="Times New Roman" w:eastAsia="宋体" w:cs="Times New Roman"/>
                <w:b w:val="0"/>
                <w:bCs w:val="0"/>
                <w:color w:val="000000"/>
                <w:kern w:val="0"/>
                <w:sz w:val="21"/>
                <w:szCs w:val="21"/>
                <w:highlight w:val="none"/>
                <w:lang w:val="en-US" w:eastAsia="zh-CN" w:bidi="ar-SA"/>
              </w:rPr>
              <w:t>（</w:t>
            </w:r>
            <w:r>
              <w:rPr>
                <w:rFonts w:hint="eastAsia" w:ascii="Times New Roman" w:hAnsi="Times New Roman" w:eastAsia="宋体" w:cs="Times New Roman"/>
                <w:b w:val="0"/>
                <w:bCs w:val="0"/>
                <w:color w:val="000000"/>
                <w:kern w:val="0"/>
                <w:sz w:val="21"/>
                <w:szCs w:val="21"/>
                <w:highlight w:val="none"/>
                <w:lang w:val="en-US" w:eastAsia="zh-CN" w:bidi="ar-SA"/>
              </w:rPr>
              <w:t>6</w:t>
            </w:r>
            <w:r>
              <w:rPr>
                <w:rFonts w:hint="default" w:ascii="Times New Roman" w:hAnsi="Times New Roman" w:eastAsia="宋体" w:cs="Times New Roman"/>
                <w:b w:val="0"/>
                <w:bCs w:val="0"/>
                <w:color w:val="000000"/>
                <w:kern w:val="0"/>
                <w:sz w:val="21"/>
                <w:szCs w:val="21"/>
                <w:highlight w:val="none"/>
                <w:lang w:val="en-US" w:eastAsia="zh-CN" w:bidi="ar-SA"/>
              </w:rPr>
              <w:t>）满足陕西省地方环境保护标准《施工场界扬尘排放限值》（DB61/1078-2017）相关标准要求。</w:t>
            </w:r>
          </w:p>
          <w:p w14:paraId="07787CA4">
            <w:pPr>
              <w:keepNext w:val="0"/>
              <w:keepLines w:val="0"/>
              <w:suppressLineNumbers w:val="0"/>
              <w:shd w:val="clear" w:color="auto" w:fill="auto"/>
              <w:bidi w:val="0"/>
              <w:spacing w:before="0" w:beforeAutospacing="0" w:after="0" w:afterAutospacing="0" w:line="360" w:lineRule="auto"/>
              <w:ind w:left="0" w:right="0"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施工期扬尘抑制必须做到“六个百分百”</w:t>
            </w:r>
          </w:p>
          <w:p w14:paraId="7B84C001">
            <w:pPr>
              <w:keepNext w:val="0"/>
              <w:keepLines w:val="0"/>
              <w:suppressLineNumbers w:val="0"/>
              <w:shd w:val="clear" w:color="auto" w:fill="auto"/>
              <w:bidi w:val="0"/>
              <w:spacing w:before="0" w:beforeAutospacing="0" w:after="0" w:afterAutospacing="0" w:line="360" w:lineRule="auto"/>
              <w:ind w:left="0" w:right="0"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（1）工地周边100%围挡</w:t>
            </w:r>
          </w:p>
          <w:p w14:paraId="37C35393">
            <w:pPr>
              <w:keepNext w:val="0"/>
              <w:keepLines w:val="0"/>
              <w:suppressLineNumbers w:val="0"/>
              <w:shd w:val="clear" w:color="auto" w:fill="auto"/>
              <w:bidi w:val="0"/>
              <w:spacing w:before="0" w:beforeAutospacing="0" w:after="0" w:afterAutospacing="0" w:line="360" w:lineRule="auto"/>
              <w:ind w:left="0" w:right="0"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施工现场硬质围挡应连续设置，城区主要路段工地围挡高度不低于2.5m，一般路段的工地不低于1.8m，做到坚固、平稳、整洁、美观。在建工程外立面应用安全网实现全封闭围护。</w:t>
            </w:r>
          </w:p>
          <w:p w14:paraId="2FC90B0E">
            <w:pPr>
              <w:keepNext w:val="0"/>
              <w:keepLines w:val="0"/>
              <w:suppressLineNumbers w:val="0"/>
              <w:shd w:val="clear" w:color="auto" w:fill="auto"/>
              <w:bidi w:val="0"/>
              <w:spacing w:before="0" w:beforeAutospacing="0" w:after="0" w:afterAutospacing="0" w:line="360" w:lineRule="auto"/>
              <w:ind w:left="0" w:right="0"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（2）物料堆放100%覆盖</w:t>
            </w:r>
          </w:p>
          <w:p w14:paraId="5B82E218">
            <w:pPr>
              <w:keepNext w:val="0"/>
              <w:keepLines w:val="0"/>
              <w:suppressLineNumbers w:val="0"/>
              <w:shd w:val="clear" w:color="auto" w:fill="auto"/>
              <w:bidi w:val="0"/>
              <w:spacing w:before="0" w:beforeAutospacing="0" w:after="0" w:afterAutospacing="0" w:line="360" w:lineRule="auto"/>
              <w:ind w:left="0" w:right="0"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易产生扬尘的建筑材料、渣土应采取密闭搬运、存储或采用防尘布苫盖等防尘措施。严禁熔融沥青、焚烧垃圾等有毒有害物质，禁止无牌无证车辆进入施工现场。</w:t>
            </w:r>
          </w:p>
          <w:p w14:paraId="6ABCAD93">
            <w:pPr>
              <w:keepNext w:val="0"/>
              <w:keepLines w:val="0"/>
              <w:suppressLineNumbers w:val="0"/>
              <w:shd w:val="clear" w:color="auto" w:fill="auto"/>
              <w:bidi w:val="0"/>
              <w:spacing w:before="0" w:beforeAutospacing="0" w:after="0" w:afterAutospacing="0" w:line="360" w:lineRule="auto"/>
              <w:ind w:left="0" w:right="0"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（3）出入车辆100%冲洗</w:t>
            </w:r>
          </w:p>
          <w:p w14:paraId="2D2FE8CA">
            <w:pPr>
              <w:keepNext w:val="0"/>
              <w:keepLines w:val="0"/>
              <w:suppressLineNumbers w:val="0"/>
              <w:shd w:val="clear" w:color="auto" w:fill="auto"/>
              <w:bidi w:val="0"/>
              <w:spacing w:before="0" w:beforeAutospacing="0" w:after="0" w:afterAutospacing="0" w:line="360" w:lineRule="auto"/>
              <w:ind w:left="0" w:right="0"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施工现场出入口处设置自动车辆冲洗装置和沉淀池，运输车辆底盘和车轮冲洗干净后方可驶离施工现场。</w:t>
            </w:r>
          </w:p>
          <w:p w14:paraId="330D8D21">
            <w:pPr>
              <w:keepNext w:val="0"/>
              <w:keepLines w:val="0"/>
              <w:suppressLineNumbers w:val="0"/>
              <w:shd w:val="clear" w:color="auto" w:fill="auto"/>
              <w:bidi w:val="0"/>
              <w:spacing w:before="0" w:beforeAutospacing="0" w:after="0" w:afterAutospacing="0" w:line="360" w:lineRule="auto"/>
              <w:ind w:left="0" w:right="0"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（4）施工现场地面100%硬化</w:t>
            </w:r>
          </w:p>
          <w:p w14:paraId="0B1591E6">
            <w:pPr>
              <w:keepNext w:val="0"/>
              <w:keepLines w:val="0"/>
              <w:suppressLineNumbers w:val="0"/>
              <w:shd w:val="clear" w:color="auto" w:fill="auto"/>
              <w:bidi w:val="0"/>
              <w:spacing w:before="0" w:beforeAutospacing="0" w:after="0" w:afterAutospacing="0" w:line="360" w:lineRule="auto"/>
              <w:ind w:left="0" w:right="0"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主要通道、进出道路、材料加工区及办公生活区</w:t>
            </w:r>
            <w:r>
              <w:rPr>
                <w:rFonts w:hint="eastAsia"/>
                <w:lang w:eastAsia="zh-CN"/>
              </w:rPr>
              <w:t>的</w:t>
            </w:r>
            <w:r>
              <w:rPr>
                <w:rFonts w:hint="default" w:ascii="Times New Roman" w:hAnsi="Times New Roman" w:eastAsia="宋体" w:cs="Times New Roman"/>
                <w:color w:val="000000"/>
                <w:highlight w:val="none"/>
                <w:lang w:val="en-US" w:eastAsia="zh-CN"/>
              </w:rPr>
              <w:t>地面进行硬化处理。</w:t>
            </w:r>
          </w:p>
          <w:p w14:paraId="513392B5">
            <w:pPr>
              <w:keepNext w:val="0"/>
              <w:keepLines w:val="0"/>
              <w:suppressLineNumbers w:val="0"/>
              <w:shd w:val="clear" w:color="auto" w:fill="auto"/>
              <w:bidi w:val="0"/>
              <w:spacing w:before="0" w:beforeAutospacing="0" w:after="0" w:afterAutospacing="0" w:line="360" w:lineRule="auto"/>
              <w:ind w:left="0" w:right="0"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（5）拆迁工地100%湿法作业</w:t>
            </w:r>
          </w:p>
          <w:p w14:paraId="30799918">
            <w:pPr>
              <w:keepNext w:val="0"/>
              <w:keepLines w:val="0"/>
              <w:suppressLineNumbers w:val="0"/>
              <w:shd w:val="clear" w:color="auto" w:fill="auto"/>
              <w:bidi w:val="0"/>
              <w:spacing w:before="0" w:beforeAutospacing="0" w:after="0" w:afterAutospacing="0" w:line="360" w:lineRule="auto"/>
              <w:ind w:left="0" w:right="0"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施工现场设专人负责卫生保洁，每天上午、下午各进行</w:t>
            </w:r>
            <w:r>
              <w:rPr>
                <w:rFonts w:hint="eastAsia" w:cs="Times New Roman"/>
                <w:color w:val="000000"/>
                <w:highlight w:val="none"/>
                <w:lang w:val="en-US" w:eastAsia="zh-CN"/>
              </w:rPr>
              <w:t>两次</w:t>
            </w:r>
            <w:r>
              <w:rPr>
                <w:rFonts w:hint="default" w:ascii="Times New Roman" w:hAnsi="Times New Roman" w:eastAsia="宋体" w:cs="Times New Roman"/>
                <w:color w:val="000000"/>
                <w:highlight w:val="none"/>
                <w:lang w:val="en-US" w:eastAsia="zh-CN"/>
              </w:rPr>
              <w:t>洒水降尘</w:t>
            </w:r>
            <w:r>
              <w:rPr>
                <w:rFonts w:hint="eastAsia"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遇到干旱和大风天气时，应增加洒水降尘次数，确保无浮土扬尘。开挖、回填等土方作业时，要</w:t>
            </w:r>
            <w:r>
              <w:t>采取</w:t>
            </w:r>
            <w:r>
              <w:rPr>
                <w:rFonts w:hint="default" w:ascii="Times New Roman" w:hAnsi="Times New Roman" w:eastAsia="宋体" w:cs="Times New Roman"/>
                <w:color w:val="000000"/>
                <w:highlight w:val="none"/>
                <w:lang w:val="en-US" w:eastAsia="zh-CN"/>
              </w:rPr>
              <w:t>洒水压尘等措施。工程竣工后，施工现场的临设、围挡、垃圾等必须及时清理完毕，清理时必须采取有效的降尘措施。</w:t>
            </w:r>
          </w:p>
          <w:p w14:paraId="582C5089">
            <w:pPr>
              <w:keepNext w:val="0"/>
              <w:keepLines w:val="0"/>
              <w:suppressLineNumbers w:val="0"/>
              <w:shd w:val="clear" w:color="auto" w:fill="auto"/>
              <w:bidi w:val="0"/>
              <w:spacing w:before="0" w:beforeAutospacing="0" w:after="0" w:afterAutospacing="0" w:line="360" w:lineRule="auto"/>
              <w:ind w:left="0" w:right="0"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（6）渣土车辆100%密闭运输</w:t>
            </w:r>
          </w:p>
          <w:p w14:paraId="28C993B6">
            <w:pPr>
              <w:keepNext w:val="0"/>
              <w:keepLines w:val="0"/>
              <w:suppressLineNumbers w:val="0"/>
              <w:shd w:val="clear" w:color="auto" w:fill="auto"/>
              <w:bidi w:val="0"/>
              <w:spacing w:before="0" w:beforeAutospacing="0" w:after="0" w:afterAutospacing="0" w:line="360" w:lineRule="auto"/>
              <w:ind w:left="0" w:right="0" w:firstLine="630" w:firstLineChars="3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施工现场内裸露的场地和集中堆放的土方应采取覆盖、固化或绿化等防尘措施。易产生扬尘的物料要</w:t>
            </w:r>
            <w:r>
              <w:t>覆盖</w:t>
            </w:r>
            <w:r>
              <w:rPr>
                <w:rFonts w:hint="default" w:ascii="Times New Roman" w:hAnsi="Times New Roman" w:eastAsia="宋体" w:cs="Times New Roman"/>
                <w:color w:val="000000"/>
                <w:highlight w:val="none"/>
                <w:lang w:val="en-US" w:eastAsia="zh-CN"/>
              </w:rPr>
              <w:t>。</w:t>
            </w:r>
          </w:p>
          <w:p w14:paraId="08259B4E">
            <w:pPr>
              <w:keepNext w:val="0"/>
              <w:keepLines w:val="0"/>
              <w:suppressLineNumbers w:val="0"/>
              <w:shd w:val="clear" w:color="auto" w:fill="auto"/>
              <w:bidi w:val="0"/>
              <w:spacing w:before="0" w:beforeAutospacing="0" w:after="0" w:afterAutospacing="0" w:line="360" w:lineRule="auto"/>
              <w:ind w:left="0" w:right="0" w:firstLine="42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通过采取以上措施后，本项目施工期对周边环境影响小</w:t>
            </w:r>
            <w:r>
              <w:rPr>
                <w:rFonts w:hint="eastAsia" w:cs="Times New Roman"/>
                <w:color w:val="000000"/>
                <w:highlight w:val="none"/>
                <w:lang w:val="en-US" w:eastAsia="zh-CN"/>
              </w:rPr>
              <w:t>；</w:t>
            </w:r>
            <w:r>
              <w:rPr>
                <w:rFonts w:hint="default" w:ascii="Times New Roman" w:hAnsi="Times New Roman" w:eastAsia="宋体" w:cs="Times New Roman"/>
                <w:color w:val="000000"/>
                <w:highlight w:val="none"/>
                <w:lang w:val="en-US" w:eastAsia="zh-CN"/>
              </w:rPr>
              <w:t>同时施工周期短，施工期影响随着施工期的结束而结束。</w:t>
            </w:r>
          </w:p>
          <w:p w14:paraId="4D840FFF">
            <w:pPr>
              <w:pStyle w:val="66"/>
              <w:keepNext w:val="0"/>
              <w:keepLines w:val="0"/>
              <w:pageBreakBefore w:val="0"/>
              <w:shd w:val="clear" w:color="auto" w:fill="auto"/>
              <w:kinsoku/>
              <w:wordWrap/>
              <w:overflowPunct/>
              <w:topLinePunct w:val="0"/>
              <w:autoSpaceDE/>
              <w:autoSpaceDN/>
              <w:bidi w:val="0"/>
              <w:adjustRightInd w:val="0"/>
              <w:snapToGrid w:val="0"/>
              <w:spacing w:before="0" w:beforeAutospacing="0" w:after="0" w:afterAutospacing="0" w:line="360" w:lineRule="auto"/>
              <w:ind w:firstLine="422" w:firstLineChars="200"/>
              <w:textAlignment w:val="auto"/>
              <w:rPr>
                <w:rFonts w:hint="default" w:ascii="Times New Roman" w:hAnsi="Times New Roman" w:cs="Times New Roman"/>
                <w:b/>
                <w:bCs/>
                <w:color w:val="000000"/>
                <w:sz w:val="21"/>
                <w:szCs w:val="21"/>
                <w:highlight w:val="none"/>
              </w:rPr>
            </w:pPr>
            <w:r>
              <w:rPr>
                <w:rFonts w:hint="eastAsia" w:ascii="Times New Roman" w:hAnsi="Times New Roman" w:cs="Times New Roman"/>
                <w:b/>
                <w:bCs/>
                <w:color w:val="000000"/>
                <w:sz w:val="21"/>
                <w:szCs w:val="21"/>
                <w:highlight w:val="none"/>
                <w:lang w:eastAsia="zh-CN"/>
              </w:rPr>
              <w:t>2.</w:t>
            </w:r>
            <w:r>
              <w:rPr>
                <w:rFonts w:hint="default" w:ascii="Times New Roman" w:hAnsi="Times New Roman" w:cs="Times New Roman"/>
                <w:b/>
                <w:bCs/>
                <w:color w:val="000000"/>
                <w:sz w:val="21"/>
                <w:szCs w:val="21"/>
                <w:highlight w:val="none"/>
              </w:rPr>
              <w:t>施工机械和汽车燃油废气</w:t>
            </w:r>
          </w:p>
          <w:p w14:paraId="0E1C4E0B">
            <w:pPr>
              <w:pStyle w:val="66"/>
              <w:keepNext w:val="0"/>
              <w:keepLines w:val="0"/>
              <w:pageBreakBefore w:val="0"/>
              <w:shd w:val="clear" w:color="auto" w:fill="auto"/>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施工区的燃油设备主要是施工机械和运输车辆，其排放的尾气在施工期间对施工作业点和运输道路附近的大气环境会造成一定程度的污染，产生NOX、CO、THC等污染物。运输车辆的废气是沿交通路线排放，施工机械的废气基本以点源形式排放。</w:t>
            </w:r>
          </w:p>
          <w:p w14:paraId="5486A621">
            <w:pPr>
              <w:pStyle w:val="66"/>
              <w:keepNext w:val="0"/>
              <w:keepLines w:val="0"/>
              <w:pageBreakBefore w:val="0"/>
              <w:shd w:val="clear" w:color="auto" w:fill="auto"/>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施工场区空气流通性好，排放废气中的各项污染物能够很快扩散，不会引起局部大气环境质量的恶化。另外合理规划运输路线，加强设备维护，使设备处于良好的运行状态，限制车速都能减少废气的产生。加之废气排放的不连续性和工程施工期有限，废气排放对区域的环境空气质量影响不大。</w:t>
            </w:r>
          </w:p>
          <w:p w14:paraId="7DCB166D">
            <w:pPr>
              <w:keepNext w:val="0"/>
              <w:keepLines w:val="0"/>
              <w:pageBreakBefore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default" w:ascii="Times New Roman" w:hAnsi="Times New Roman" w:eastAsia="宋体" w:cs="Times New Roman"/>
                <w:b/>
                <w:color w:val="000000"/>
                <w:sz w:val="21"/>
                <w:szCs w:val="21"/>
                <w:highlight w:val="none"/>
                <w:lang w:val="en-US" w:eastAsia="zh-CN"/>
              </w:rPr>
            </w:pPr>
            <w:r>
              <w:rPr>
                <w:rFonts w:hint="default" w:ascii="Times New Roman" w:hAnsi="Times New Roman" w:cs="Times New Roman"/>
                <w:b/>
                <w:color w:val="000000"/>
                <w:sz w:val="21"/>
                <w:szCs w:val="21"/>
                <w:highlight w:val="none"/>
              </w:rPr>
              <w:t>二、施工期水污染</w:t>
            </w:r>
            <w:r>
              <w:rPr>
                <w:rFonts w:hint="eastAsia" w:ascii="Times New Roman" w:hAnsi="Times New Roman" w:cs="Times New Roman"/>
                <w:b/>
                <w:color w:val="000000"/>
                <w:sz w:val="21"/>
                <w:szCs w:val="21"/>
                <w:highlight w:val="none"/>
                <w:lang w:val="en-US" w:eastAsia="zh-CN"/>
              </w:rPr>
              <w:t>防治措施</w:t>
            </w:r>
          </w:p>
          <w:p w14:paraId="4A9FF5FF">
            <w:pPr>
              <w:pStyle w:val="66"/>
              <w:keepNext w:val="0"/>
              <w:keepLines w:val="0"/>
              <w:pageBreakBefore w:val="0"/>
              <w:shd w:val="clear" w:color="auto" w:fill="auto"/>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施工期污水包括施工作业产生的废水和施工人员生活污水。</w:t>
            </w:r>
          </w:p>
          <w:p w14:paraId="34E6D280">
            <w:pPr>
              <w:pStyle w:val="66"/>
              <w:keepNext w:val="0"/>
              <w:keepLines w:val="0"/>
              <w:pageBreakBefore w:val="0"/>
              <w:shd w:val="clear" w:color="auto" w:fill="auto"/>
              <w:kinsoku/>
              <w:wordWrap/>
              <w:overflowPunct/>
              <w:topLinePunct w:val="0"/>
              <w:autoSpaceDE/>
              <w:autoSpaceDN/>
              <w:bidi w:val="0"/>
              <w:adjustRightInd w:val="0"/>
              <w:snapToGrid w:val="0"/>
              <w:spacing w:before="0" w:beforeAutospacing="0" w:after="0" w:afterAutospacing="0" w:line="360" w:lineRule="auto"/>
              <w:ind w:firstLine="422" w:firstLineChars="200"/>
              <w:textAlignment w:val="auto"/>
              <w:rPr>
                <w:rFonts w:hint="default" w:ascii="Times New Roman" w:hAnsi="Times New Roman" w:cs="Times New Roman"/>
                <w:b/>
                <w:bCs/>
                <w:color w:val="000000"/>
                <w:sz w:val="21"/>
                <w:szCs w:val="21"/>
                <w:highlight w:val="none"/>
              </w:rPr>
            </w:pPr>
            <w:r>
              <w:rPr>
                <w:rFonts w:hint="eastAsia" w:ascii="Times New Roman" w:hAnsi="Times New Roman" w:cs="Times New Roman"/>
                <w:b/>
                <w:bCs/>
                <w:color w:val="000000"/>
                <w:sz w:val="21"/>
                <w:szCs w:val="21"/>
                <w:highlight w:val="none"/>
                <w:lang w:eastAsia="zh-CN"/>
              </w:rPr>
              <w:t>1.</w:t>
            </w:r>
            <w:r>
              <w:rPr>
                <w:rFonts w:hint="default" w:ascii="Times New Roman" w:hAnsi="Times New Roman" w:cs="Times New Roman"/>
                <w:b/>
                <w:bCs/>
                <w:color w:val="000000"/>
                <w:sz w:val="21"/>
                <w:szCs w:val="21"/>
                <w:highlight w:val="none"/>
              </w:rPr>
              <w:t>施工废水</w:t>
            </w:r>
          </w:p>
          <w:p w14:paraId="2925B51F">
            <w:pPr>
              <w:pStyle w:val="66"/>
              <w:keepNext w:val="0"/>
              <w:keepLines w:val="0"/>
              <w:pageBreakBefore w:val="0"/>
              <w:shd w:val="clear" w:color="auto" w:fill="auto"/>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施工废水包括施工机械运作和养护中产生的少量废水，废水中的污染物主要为SS。施工期间产生的施工废水排入临时沉淀池，经沉淀处理后施工回用和用于场区洒水抑尘，对环境影响不大。</w:t>
            </w:r>
          </w:p>
          <w:p w14:paraId="1280A1B6">
            <w:pPr>
              <w:pStyle w:val="66"/>
              <w:keepNext w:val="0"/>
              <w:keepLines w:val="0"/>
              <w:pageBreakBefore w:val="0"/>
              <w:shd w:val="clear" w:color="auto" w:fill="auto"/>
              <w:kinsoku/>
              <w:wordWrap/>
              <w:overflowPunct/>
              <w:topLinePunct w:val="0"/>
              <w:autoSpaceDE/>
              <w:autoSpaceDN/>
              <w:bidi w:val="0"/>
              <w:adjustRightInd w:val="0"/>
              <w:snapToGrid w:val="0"/>
              <w:spacing w:before="0" w:beforeAutospacing="0" w:after="0" w:afterAutospacing="0" w:line="360" w:lineRule="auto"/>
              <w:ind w:firstLine="422" w:firstLineChars="200"/>
              <w:textAlignment w:val="auto"/>
              <w:rPr>
                <w:rFonts w:hint="default" w:ascii="Times New Roman" w:hAnsi="Times New Roman" w:cs="Times New Roman"/>
                <w:b/>
                <w:bCs/>
                <w:color w:val="000000"/>
                <w:sz w:val="21"/>
                <w:szCs w:val="21"/>
                <w:highlight w:val="none"/>
              </w:rPr>
            </w:pPr>
            <w:r>
              <w:rPr>
                <w:rFonts w:hint="eastAsia" w:ascii="Times New Roman" w:hAnsi="Times New Roman" w:cs="Times New Roman"/>
                <w:b/>
                <w:bCs/>
                <w:color w:val="000000"/>
                <w:sz w:val="21"/>
                <w:szCs w:val="21"/>
                <w:highlight w:val="none"/>
                <w:lang w:eastAsia="zh-CN"/>
              </w:rPr>
              <w:t>2.</w:t>
            </w:r>
            <w:r>
              <w:rPr>
                <w:rFonts w:hint="default" w:ascii="Times New Roman" w:hAnsi="Times New Roman" w:cs="Times New Roman"/>
                <w:b/>
                <w:bCs/>
                <w:color w:val="000000"/>
                <w:sz w:val="21"/>
                <w:szCs w:val="21"/>
                <w:highlight w:val="none"/>
              </w:rPr>
              <w:t>生活污水</w:t>
            </w:r>
          </w:p>
          <w:p w14:paraId="5E29EC79">
            <w:pPr>
              <w:pStyle w:val="66"/>
              <w:keepNext w:val="0"/>
              <w:keepLines w:val="0"/>
              <w:pageBreakBefore w:val="0"/>
              <w:shd w:val="clear" w:color="auto" w:fill="auto"/>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本项目施工期施工人员不在施工场区食宿。生活污水</w:t>
            </w:r>
            <w:r>
              <w:rPr>
                <w:rFonts w:hint="eastAsia" w:ascii="Times New Roman" w:hAnsi="Times New Roman" w:cs="Times New Roman"/>
                <w:color w:val="000000"/>
                <w:sz w:val="21"/>
                <w:szCs w:val="21"/>
                <w:highlight w:val="none"/>
                <w:lang w:val="en-US" w:eastAsia="zh-CN"/>
              </w:rPr>
              <w:t>依托现有厂区</w:t>
            </w:r>
            <w:r>
              <w:rPr>
                <w:rFonts w:hint="default" w:ascii="Times New Roman" w:hAnsi="Times New Roman" w:cs="Times New Roman"/>
                <w:color w:val="000000"/>
                <w:sz w:val="21"/>
                <w:szCs w:val="21"/>
                <w:highlight w:val="none"/>
              </w:rPr>
              <w:t>化粪池处理，由附近村民拖运用于肥田。因此，施工人员的生活污水对周边环境影响不大。</w:t>
            </w:r>
          </w:p>
          <w:p w14:paraId="562F0A03">
            <w:pPr>
              <w:pStyle w:val="66"/>
              <w:keepNext w:val="0"/>
              <w:keepLines w:val="0"/>
              <w:pageBreakBefore w:val="0"/>
              <w:shd w:val="clear" w:color="auto" w:fill="auto"/>
              <w:kinsoku/>
              <w:wordWrap/>
              <w:overflowPunct/>
              <w:topLinePunct w:val="0"/>
              <w:autoSpaceDE/>
              <w:autoSpaceDN/>
              <w:bidi w:val="0"/>
              <w:adjustRightInd w:val="0"/>
              <w:snapToGrid w:val="0"/>
              <w:spacing w:before="0" w:beforeAutospacing="0" w:after="0" w:afterAutospacing="0" w:line="360" w:lineRule="auto"/>
              <w:ind w:firstLine="420" w:firstLineChars="20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采取防范措施后，本工程生活污水、施工废水对水环境的影响较小。</w:t>
            </w:r>
          </w:p>
          <w:p w14:paraId="0392623D">
            <w:pPr>
              <w:pStyle w:val="66"/>
              <w:keepNext w:val="0"/>
              <w:keepLines w:val="0"/>
              <w:pageBreakBefore w:val="0"/>
              <w:shd w:val="clear" w:color="auto" w:fill="auto"/>
              <w:kinsoku/>
              <w:wordWrap/>
              <w:overflowPunct/>
              <w:topLinePunct w:val="0"/>
              <w:autoSpaceDE/>
              <w:autoSpaceDN/>
              <w:bidi w:val="0"/>
              <w:adjustRightInd w:val="0"/>
              <w:snapToGrid w:val="0"/>
              <w:spacing w:before="0" w:beforeAutospacing="0" w:after="0" w:afterAutospacing="0" w:line="360" w:lineRule="auto"/>
              <w:ind w:firstLine="422" w:firstLineChars="200"/>
              <w:textAlignment w:val="auto"/>
              <w:rPr>
                <w:rFonts w:hint="default" w:ascii="Times New Roman" w:hAnsi="Times New Roman" w:eastAsia="宋体" w:cs="Times New Roman"/>
                <w:b/>
                <w:bCs/>
                <w:color w:val="000000"/>
                <w:sz w:val="21"/>
                <w:szCs w:val="21"/>
                <w:highlight w:val="none"/>
                <w:lang w:val="en-US" w:eastAsia="zh-CN"/>
              </w:rPr>
            </w:pPr>
            <w:r>
              <w:rPr>
                <w:rFonts w:hint="default" w:ascii="Times New Roman" w:hAnsi="Times New Roman" w:cs="Times New Roman"/>
                <w:b/>
                <w:bCs/>
                <w:color w:val="000000"/>
                <w:sz w:val="21"/>
                <w:szCs w:val="21"/>
                <w:highlight w:val="none"/>
              </w:rPr>
              <w:t>三、施工期噪声</w:t>
            </w:r>
            <w:r>
              <w:rPr>
                <w:rFonts w:hint="eastAsia" w:ascii="Times New Roman" w:hAnsi="Times New Roman" w:cs="Times New Roman"/>
                <w:b/>
                <w:bCs/>
                <w:color w:val="000000"/>
                <w:sz w:val="21"/>
                <w:szCs w:val="21"/>
                <w:highlight w:val="none"/>
                <w:lang w:val="en-US" w:eastAsia="zh-CN"/>
              </w:rPr>
              <w:t>防治措施</w:t>
            </w:r>
          </w:p>
          <w:p w14:paraId="53D530C7">
            <w:pPr>
              <w:pStyle w:val="66"/>
              <w:keepNext w:val="0"/>
              <w:keepLines w:val="0"/>
              <w:pageBreakBefore w:val="0"/>
              <w:shd w:val="clear" w:color="auto" w:fill="auto"/>
              <w:kinsoku/>
              <w:wordWrap/>
              <w:overflowPunct/>
              <w:topLinePunct w:val="0"/>
              <w:autoSpaceDE/>
              <w:autoSpaceDN/>
              <w:bidi w:val="0"/>
              <w:adjustRightInd w:val="0"/>
              <w:snapToGrid w:val="0"/>
              <w:spacing w:before="0" w:beforeAutospacing="0" w:after="0" w:afterAutospacing="0" w:line="360" w:lineRule="auto"/>
              <w:ind w:firstLine="422" w:firstLineChars="200"/>
              <w:textAlignment w:val="auto"/>
              <w:rPr>
                <w:rFonts w:hint="default" w:ascii="Times New Roman" w:hAnsi="Times New Roman" w:cs="Times New Roman"/>
                <w:b/>
                <w:bCs/>
                <w:color w:val="000000"/>
                <w:sz w:val="21"/>
                <w:szCs w:val="21"/>
                <w:highlight w:val="none"/>
              </w:rPr>
            </w:pPr>
            <w:r>
              <w:rPr>
                <w:rFonts w:hint="eastAsia" w:ascii="Times New Roman" w:hAnsi="Times New Roman" w:cs="Times New Roman"/>
                <w:b/>
                <w:bCs/>
                <w:color w:val="000000"/>
                <w:sz w:val="21"/>
                <w:szCs w:val="21"/>
                <w:highlight w:val="none"/>
                <w:lang w:eastAsia="zh-CN"/>
              </w:rPr>
              <w:t>1.</w:t>
            </w:r>
            <w:r>
              <w:rPr>
                <w:rFonts w:hint="default" w:ascii="Times New Roman" w:hAnsi="Times New Roman" w:cs="Times New Roman"/>
                <w:b/>
                <w:bCs/>
                <w:color w:val="000000"/>
                <w:sz w:val="21"/>
                <w:szCs w:val="21"/>
                <w:highlight w:val="none"/>
              </w:rPr>
              <w:t>施工期间噪声</w:t>
            </w:r>
          </w:p>
          <w:p w14:paraId="541448E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color w:val="000000"/>
                <w:sz w:val="21"/>
                <w:szCs w:val="21"/>
                <w:highlight w:val="none"/>
              </w:rPr>
            </w:pPr>
            <w:r>
              <w:rPr>
                <w:rFonts w:hint="default" w:ascii="Times New Roman" w:hAnsi="Times New Roman" w:eastAsia="F4" w:cs="Times New Roman"/>
                <w:color w:val="000000"/>
                <w:kern w:val="0"/>
                <w:sz w:val="21"/>
                <w:szCs w:val="21"/>
                <w:highlight w:val="none"/>
                <w:lang w:val="en-US" w:eastAsia="zh-CN" w:bidi="zh-HK"/>
              </w:rPr>
              <w:t>项目施工期噪声主要来源于施工机械，如推土机、挖掘机、静压打桩机、电锯等。虽然施工噪声仅在施工期的土建施工阶段产生，随着施工的结束而消失，但由于噪声较强，将会对周围声环境产生严重影响，极易引起人们的反感与不适，所以必须重视对施工期噪声的控制。</w:t>
            </w:r>
          </w:p>
          <w:p w14:paraId="5E74EE31">
            <w:pPr>
              <w:pStyle w:val="66"/>
              <w:keepNext w:val="0"/>
              <w:keepLines w:val="0"/>
              <w:pageBreakBefore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firstLine="420" w:firstLineChars="20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为减少项目施工环境噪声的影响，施工单位应采取以下措施减少噪声对周围环境的影响：</w:t>
            </w:r>
          </w:p>
          <w:p w14:paraId="3DF18051">
            <w:pPr>
              <w:keepNext w:val="0"/>
              <w:keepLines w:val="0"/>
              <w:pageBreakBefore w:val="0"/>
              <w:widowControl/>
              <w:numPr>
                <w:ilvl w:val="0"/>
                <w:numId w:val="6"/>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kern w:val="0"/>
                <w:sz w:val="21"/>
                <w:szCs w:val="21"/>
                <w:highlight w:val="none"/>
                <w:lang w:val="en-US" w:eastAsia="zh-CN" w:bidi="ar-SA"/>
              </w:rPr>
            </w:pPr>
            <w:r>
              <w:rPr>
                <w:rFonts w:hint="default" w:ascii="Times New Roman" w:hAnsi="Times New Roman" w:cs="Times New Roman"/>
                <w:color w:val="000000"/>
                <w:kern w:val="0"/>
                <w:sz w:val="21"/>
                <w:szCs w:val="21"/>
                <w:highlight w:val="none"/>
                <w:lang w:val="en-US" w:eastAsia="zh-CN" w:bidi="ar-SA"/>
              </w:rPr>
              <w:t>合理布置施工场地，安排施工方式，控制环境噪声污染。</w:t>
            </w:r>
          </w:p>
          <w:p w14:paraId="0B94AE74">
            <w:pPr>
              <w:keepNext w:val="0"/>
              <w:keepLines w:val="0"/>
              <w:pageBreakBefore w:val="0"/>
              <w:widowControl/>
              <w:numPr>
                <w:ilvl w:val="0"/>
                <w:numId w:val="6"/>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kern w:val="0"/>
                <w:sz w:val="21"/>
                <w:szCs w:val="21"/>
                <w:highlight w:val="none"/>
                <w:lang w:val="en-US" w:eastAsia="zh-CN" w:bidi="ar-SA"/>
              </w:rPr>
            </w:pPr>
            <w:r>
              <w:rPr>
                <w:rFonts w:hint="default" w:ascii="Times New Roman" w:hAnsi="Times New Roman" w:cs="Times New Roman"/>
                <w:color w:val="000000"/>
                <w:kern w:val="0"/>
                <w:sz w:val="21"/>
                <w:szCs w:val="21"/>
                <w:highlight w:val="none"/>
                <w:lang w:val="en-US" w:eastAsia="zh-CN" w:bidi="ar-SA"/>
              </w:rPr>
              <w:t>选用低噪声施工机械，严格限制或禁止使用高噪声设备，推行混凝土灌注桩和静压桩等</w:t>
            </w:r>
            <w:r>
              <w:t>低噪声新工艺</w:t>
            </w:r>
            <w:r>
              <w:rPr>
                <w:rFonts w:hint="default" w:ascii="Times New Roman" w:hAnsi="Times New Roman" w:cs="Times New Roman"/>
                <w:color w:val="000000"/>
                <w:kern w:val="0"/>
                <w:sz w:val="21"/>
                <w:szCs w:val="21"/>
                <w:highlight w:val="none"/>
                <w:lang w:val="en-US" w:eastAsia="zh-CN" w:bidi="ar-SA"/>
              </w:rPr>
              <w:t>；</w:t>
            </w:r>
          </w:p>
          <w:p w14:paraId="04F6887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kern w:val="0"/>
                <w:sz w:val="21"/>
                <w:szCs w:val="21"/>
                <w:highlight w:val="none"/>
                <w:lang w:val="en-US" w:eastAsia="zh-CN" w:bidi="ar-SA"/>
              </w:rPr>
            </w:pPr>
            <w:r>
              <w:rPr>
                <w:rFonts w:hint="default" w:ascii="Times New Roman" w:hAnsi="Times New Roman" w:cs="Times New Roman"/>
                <w:color w:val="000000"/>
                <w:kern w:val="0"/>
                <w:sz w:val="21"/>
                <w:szCs w:val="21"/>
                <w:highlight w:val="none"/>
                <w:lang w:val="en-US" w:eastAsia="zh-CN" w:bidi="ar-SA"/>
              </w:rPr>
              <w:t>（3）要求使用商品混凝土。与施工场地设置混凝土搅拌机相比，商品混凝土具有</w:t>
            </w:r>
          </w:p>
          <w:p w14:paraId="2BB62F2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jc w:val="left"/>
              <w:textAlignment w:val="auto"/>
              <w:rPr>
                <w:rFonts w:hint="default" w:ascii="Times New Roman" w:hAnsi="Times New Roman" w:cs="Times New Roman"/>
                <w:color w:val="000000"/>
                <w:kern w:val="0"/>
                <w:sz w:val="21"/>
                <w:szCs w:val="21"/>
                <w:highlight w:val="none"/>
                <w:lang w:val="en-US" w:eastAsia="zh-CN" w:bidi="ar-SA"/>
              </w:rPr>
            </w:pPr>
            <w:r>
              <w:rPr>
                <w:rFonts w:hint="default" w:ascii="Times New Roman" w:hAnsi="Times New Roman" w:cs="Times New Roman"/>
                <w:color w:val="000000"/>
                <w:kern w:val="0"/>
                <w:sz w:val="21"/>
                <w:szCs w:val="21"/>
                <w:highlight w:val="none"/>
                <w:lang w:val="en-US" w:eastAsia="zh-CN" w:bidi="ar-SA"/>
              </w:rPr>
              <w:t>占地少、施工量小、施工方便、噪声污染小等特点，同时可大大减少建筑材料水泥、沙石的汽车运量，减轻车辆交通噪声</w:t>
            </w:r>
            <w:r>
              <w:rPr>
                <w:rFonts w:hint="eastAsia" w:cs="Times New Roman"/>
                <w:color w:val="000000"/>
                <w:kern w:val="0"/>
                <w:sz w:val="21"/>
                <w:szCs w:val="21"/>
                <w:highlight w:val="none"/>
                <w:lang w:val="en-US" w:eastAsia="zh-CN" w:bidi="ar-SA"/>
              </w:rPr>
              <w:t>的</w:t>
            </w:r>
            <w:r>
              <w:rPr>
                <w:rFonts w:hint="default" w:ascii="Times New Roman" w:hAnsi="Times New Roman" w:cs="Times New Roman"/>
                <w:color w:val="000000"/>
                <w:kern w:val="0"/>
                <w:sz w:val="21"/>
                <w:szCs w:val="21"/>
                <w:highlight w:val="none"/>
                <w:lang w:val="en-US" w:eastAsia="zh-CN" w:bidi="ar-SA"/>
              </w:rPr>
              <w:t>影响。</w:t>
            </w:r>
          </w:p>
          <w:p w14:paraId="52E4DDA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kern w:val="0"/>
                <w:sz w:val="21"/>
                <w:szCs w:val="21"/>
                <w:highlight w:val="none"/>
                <w:lang w:val="en-US" w:eastAsia="zh-CN" w:bidi="ar-SA"/>
              </w:rPr>
            </w:pPr>
            <w:r>
              <w:rPr>
                <w:rFonts w:hint="default" w:ascii="Times New Roman" w:hAnsi="Times New Roman" w:cs="Times New Roman"/>
                <w:color w:val="000000"/>
                <w:kern w:val="0"/>
                <w:sz w:val="21"/>
                <w:szCs w:val="21"/>
                <w:highlight w:val="none"/>
                <w:lang w:val="en-US" w:eastAsia="zh-CN" w:bidi="ar-SA"/>
              </w:rPr>
              <w:t>（4）严格操作规程，加强施工机械管理，降低人为噪声影响。不合理施工作业是产生人为噪声的主要原因，如脚手架的安装、拆除，钢筋材料的装卸，以及钢结构厂房安装过程产生的金属撞击声和落料声等均会产生较大距离的声环境影响，因此要杜绝人为敲打、野蛮装卸现象，规范建筑物料、土石方清运车辆进出工地高速行驶、鸣笛等。</w:t>
            </w:r>
          </w:p>
          <w:p w14:paraId="41592E2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kern w:val="0"/>
                <w:sz w:val="21"/>
                <w:szCs w:val="21"/>
                <w:highlight w:val="none"/>
                <w:lang w:val="en-US" w:eastAsia="zh-CN" w:bidi="ar-SA"/>
              </w:rPr>
            </w:pPr>
            <w:r>
              <w:rPr>
                <w:rFonts w:hint="default" w:ascii="Times New Roman" w:hAnsi="Times New Roman" w:cs="Times New Roman"/>
                <w:color w:val="000000"/>
                <w:kern w:val="0"/>
                <w:sz w:val="21"/>
                <w:szCs w:val="21"/>
                <w:highlight w:val="none"/>
                <w:lang w:val="en-US" w:eastAsia="zh-CN" w:bidi="ar-SA"/>
              </w:rPr>
              <w:t>（5）采取有效的隔声、减振措施，降低噪声。高层建筑施工时应随着施工高度的增加对施工楼层设置围挡，对位置相对固定的施工机械，如切割机、电锯等，应将其设置在专门的工棚内，同时选用低噪声设备，并</w:t>
            </w:r>
            <w:r>
              <w:t>采取相应</w:t>
            </w:r>
            <w:r>
              <w:rPr>
                <w:rFonts w:hint="default" w:ascii="Times New Roman" w:hAnsi="Times New Roman" w:cs="Times New Roman"/>
                <w:color w:val="000000"/>
                <w:kern w:val="0"/>
                <w:sz w:val="21"/>
                <w:szCs w:val="21"/>
                <w:highlight w:val="none"/>
                <w:lang w:val="en-US" w:eastAsia="zh-CN" w:bidi="ar-SA"/>
              </w:rPr>
              <w:t>的吸音、隔声、降噪措施，控制施工机械噪声符合《建筑施工场界环境噪声排放标准》（GB12523-2011），做到施工场界噪声达标排放。</w:t>
            </w:r>
          </w:p>
          <w:p w14:paraId="1B5261A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kern w:val="0"/>
                <w:sz w:val="21"/>
                <w:szCs w:val="21"/>
                <w:highlight w:val="none"/>
                <w:lang w:val="en-US" w:eastAsia="zh-CN" w:bidi="ar-SA"/>
              </w:rPr>
            </w:pPr>
            <w:r>
              <w:rPr>
                <w:rFonts w:hint="default" w:ascii="Times New Roman" w:hAnsi="Times New Roman" w:cs="Times New Roman"/>
                <w:color w:val="000000"/>
                <w:kern w:val="0"/>
                <w:sz w:val="21"/>
                <w:szCs w:val="21"/>
                <w:highlight w:val="none"/>
                <w:lang w:val="en-US" w:eastAsia="zh-CN" w:bidi="ar-SA"/>
              </w:rPr>
              <w:t>（6）严格控制施工车辆运输路线，减少对周围敏感点的影响</w:t>
            </w:r>
            <w:r>
              <w:rPr>
                <w:rFonts w:hint="eastAsia" w:cs="Times New Roman"/>
                <w:color w:val="000000"/>
                <w:kern w:val="0"/>
                <w:sz w:val="21"/>
                <w:szCs w:val="21"/>
                <w:highlight w:val="none"/>
                <w:lang w:val="en-US" w:eastAsia="zh-CN" w:bidi="ar-SA"/>
              </w:rPr>
              <w:t>；</w:t>
            </w:r>
            <w:r>
              <w:rPr>
                <w:rFonts w:hint="default" w:ascii="Times New Roman" w:hAnsi="Times New Roman" w:cs="Times New Roman"/>
                <w:color w:val="000000"/>
                <w:kern w:val="0"/>
                <w:sz w:val="21"/>
                <w:szCs w:val="21"/>
                <w:highlight w:val="none"/>
                <w:lang w:val="en-US" w:eastAsia="zh-CN" w:bidi="ar-SA"/>
              </w:rPr>
              <w:t>施工车辆运输物料进入施工场地时应禁止鸣笛，尽量放慢车速。</w:t>
            </w:r>
          </w:p>
          <w:p w14:paraId="1E0F170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kern w:val="0"/>
                <w:sz w:val="21"/>
                <w:szCs w:val="21"/>
                <w:highlight w:val="none"/>
                <w:lang w:val="en-US" w:eastAsia="zh-CN" w:bidi="ar-SA"/>
              </w:rPr>
            </w:pPr>
            <w:r>
              <w:rPr>
                <w:rFonts w:hint="default" w:ascii="Times New Roman" w:hAnsi="Times New Roman" w:cs="Times New Roman"/>
                <w:color w:val="000000"/>
                <w:kern w:val="0"/>
                <w:sz w:val="21"/>
                <w:szCs w:val="21"/>
                <w:highlight w:val="none"/>
                <w:lang w:val="en-US" w:eastAsia="zh-CN" w:bidi="ar-SA"/>
              </w:rPr>
              <w:t>（7）严格控制施工时间。</w:t>
            </w:r>
          </w:p>
          <w:p w14:paraId="39DE0DA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kern w:val="0"/>
                <w:sz w:val="21"/>
                <w:szCs w:val="21"/>
                <w:highlight w:val="none"/>
                <w:lang w:val="en-US" w:eastAsia="zh-CN" w:bidi="ar-SA"/>
              </w:rPr>
            </w:pPr>
            <w:r>
              <w:rPr>
                <w:rFonts w:hint="default" w:ascii="Times New Roman" w:hAnsi="Times New Roman" w:cs="Times New Roman"/>
                <w:color w:val="000000"/>
                <w:kern w:val="0"/>
                <w:sz w:val="21"/>
                <w:szCs w:val="21"/>
                <w:highlight w:val="none"/>
                <w:lang w:val="en-US" w:eastAsia="zh-CN" w:bidi="ar-SA"/>
              </w:rPr>
              <w:t>根据不同季节合理安排施工计划，尽可能避开午休时间动用高噪声设备，禁止夜间（22</w:t>
            </w:r>
            <w:r>
              <w:rPr>
                <w:rFonts w:hint="eastAsia" w:cs="Times New Roman"/>
                <w:color w:val="000000"/>
                <w:kern w:val="0"/>
                <w:sz w:val="21"/>
                <w:szCs w:val="21"/>
                <w:highlight w:val="none"/>
                <w:lang w:val="en-US" w:eastAsia="zh-CN" w:bidi="ar-SA"/>
              </w:rPr>
              <w:t>:</w:t>
            </w:r>
            <w:r>
              <w:rPr>
                <w:rFonts w:hint="default" w:ascii="Times New Roman" w:hAnsi="Times New Roman" w:cs="Times New Roman"/>
                <w:color w:val="000000"/>
                <w:kern w:val="0"/>
                <w:sz w:val="21"/>
                <w:szCs w:val="21"/>
                <w:highlight w:val="none"/>
                <w:lang w:val="en-US" w:eastAsia="zh-CN" w:bidi="ar-SA"/>
              </w:rPr>
              <w:t>00～06</w:t>
            </w:r>
            <w:r>
              <w:rPr>
                <w:rFonts w:hint="eastAsia" w:cs="Times New Roman"/>
                <w:color w:val="000000"/>
                <w:kern w:val="0"/>
                <w:sz w:val="21"/>
                <w:szCs w:val="21"/>
                <w:highlight w:val="none"/>
                <w:lang w:val="en-US" w:eastAsia="zh-CN" w:bidi="ar-SA"/>
              </w:rPr>
              <w:t>:</w:t>
            </w:r>
            <w:r>
              <w:rPr>
                <w:rFonts w:hint="default" w:ascii="Times New Roman" w:hAnsi="Times New Roman" w:cs="Times New Roman"/>
                <w:color w:val="000000"/>
                <w:kern w:val="0"/>
                <w:sz w:val="21"/>
                <w:szCs w:val="21"/>
                <w:highlight w:val="none"/>
                <w:lang w:val="en-US" w:eastAsia="zh-CN" w:bidi="ar-SA"/>
              </w:rPr>
              <w:t>00）进行产生环境噪声污染的建筑施工作业，避免扰民。</w:t>
            </w:r>
          </w:p>
          <w:p w14:paraId="60CB144F">
            <w:pPr>
              <w:pStyle w:val="66"/>
              <w:keepNext w:val="0"/>
              <w:keepLines w:val="0"/>
              <w:pageBreakBefore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firstLine="420" w:firstLineChars="20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 w:val="21"/>
                <w:szCs w:val="21"/>
                <w:highlight w:val="none"/>
                <w:lang w:val="en-US" w:eastAsia="zh-CN" w:bidi="ar-SA"/>
              </w:rPr>
              <w:t>采取以上措施后，可大大减轻项目施工噪声对周边敏感点</w:t>
            </w:r>
            <w:r>
              <w:rPr>
                <w:rFonts w:hint="default" w:ascii="Times New Roman" w:hAnsi="Times New Roman" w:cs="Times New Roman"/>
                <w:color w:val="000000"/>
                <w:sz w:val="21"/>
                <w:szCs w:val="21"/>
                <w:highlight w:val="none"/>
              </w:rPr>
              <w:t>的影响。</w:t>
            </w:r>
          </w:p>
          <w:p w14:paraId="6DCEA1C6">
            <w:pPr>
              <w:pStyle w:val="66"/>
              <w:keepNext w:val="0"/>
              <w:keepLines w:val="0"/>
              <w:pageBreakBefore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firstLine="422" w:firstLineChars="200"/>
              <w:textAlignment w:val="auto"/>
              <w:rPr>
                <w:rFonts w:hint="default" w:ascii="Times New Roman" w:hAnsi="Times New Roman" w:cs="Times New Roman"/>
                <w:b/>
                <w:bCs/>
                <w:color w:val="000000"/>
                <w:sz w:val="21"/>
                <w:szCs w:val="21"/>
                <w:highlight w:val="none"/>
              </w:rPr>
            </w:pPr>
            <w:r>
              <w:rPr>
                <w:rFonts w:hint="eastAsia" w:ascii="Times New Roman" w:hAnsi="Times New Roman" w:cs="Times New Roman"/>
                <w:b/>
                <w:bCs/>
                <w:color w:val="000000"/>
                <w:sz w:val="21"/>
                <w:szCs w:val="21"/>
                <w:highlight w:val="none"/>
                <w:lang w:eastAsia="zh-CN"/>
              </w:rPr>
              <w:t>2.</w:t>
            </w:r>
            <w:r>
              <w:rPr>
                <w:rFonts w:hint="default" w:ascii="Times New Roman" w:hAnsi="Times New Roman" w:cs="Times New Roman"/>
                <w:b/>
                <w:bCs/>
                <w:color w:val="000000"/>
                <w:sz w:val="21"/>
                <w:szCs w:val="21"/>
                <w:highlight w:val="none"/>
              </w:rPr>
              <w:t>施工车辆运输噪声</w:t>
            </w:r>
          </w:p>
          <w:p w14:paraId="63B2267A">
            <w:pPr>
              <w:pStyle w:val="66"/>
              <w:keepNext w:val="0"/>
              <w:keepLines w:val="0"/>
              <w:pageBreakBefore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firstLine="420" w:firstLineChars="20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施工过程所需的大量建筑材料均由运输车辆沿附近公路线运入和运出，应保持低速匀速行驶，在途经居民区等环境噪声敏感目标时应禁止鸣喇叭，同时应合理安排施工物料的运输时间，避开交通高峰期，并尽量避开在休息时间经过环境敏感目标，以减小车辆噪声对沿途敏感目标的影响。采取以上措施后，项目运输车辆对周围环境影响小。</w:t>
            </w:r>
          </w:p>
          <w:p w14:paraId="3FCDFA4F">
            <w:pPr>
              <w:pStyle w:val="66"/>
              <w:keepNext w:val="0"/>
              <w:keepLines w:val="0"/>
              <w:pageBreakBefore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firstLine="422" w:firstLineChars="200"/>
              <w:textAlignment w:val="auto"/>
              <w:rPr>
                <w:rFonts w:hint="default" w:ascii="Times New Roman" w:hAnsi="Times New Roman" w:eastAsia="宋体" w:cs="Times New Roman"/>
                <w:b/>
                <w:bCs/>
                <w:color w:val="000000"/>
                <w:sz w:val="21"/>
                <w:szCs w:val="21"/>
                <w:highlight w:val="none"/>
                <w:lang w:val="en-US" w:eastAsia="zh-CN"/>
              </w:rPr>
            </w:pPr>
            <w:r>
              <w:rPr>
                <w:rStyle w:val="77"/>
                <w:rFonts w:hint="default" w:ascii="Times New Roman" w:hAnsi="Times New Roman" w:cs="Times New Roman"/>
                <w:color w:val="000000"/>
                <w:sz w:val="21"/>
                <w:szCs w:val="21"/>
                <w:highlight w:val="none"/>
              </w:rPr>
              <w:t>四、施工期固体废弃物</w:t>
            </w:r>
            <w:r>
              <w:rPr>
                <w:rStyle w:val="77"/>
                <w:rFonts w:hint="eastAsia" w:ascii="Times New Roman" w:hAnsi="Times New Roman" w:cs="Times New Roman"/>
                <w:color w:val="000000"/>
                <w:sz w:val="21"/>
                <w:szCs w:val="21"/>
                <w:highlight w:val="none"/>
                <w:lang w:val="en-US" w:eastAsia="zh-CN"/>
              </w:rPr>
              <w:t>防治措施</w:t>
            </w:r>
          </w:p>
          <w:p w14:paraId="6DAC2A5B">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cs="Times New Roman"/>
                <w:color w:val="000000"/>
                <w:highlight w:val="none"/>
              </w:rPr>
            </w:pPr>
            <w:r>
              <w:rPr>
                <w:rFonts w:hint="default" w:ascii="Times New Roman" w:hAnsi="Times New Roman" w:cs="Times New Roman"/>
                <w:color w:val="000000"/>
                <w:highlight w:val="none"/>
              </w:rPr>
              <w:t>施工期固体废物主要包括施工弃土</w:t>
            </w:r>
            <w:r>
              <w:rPr>
                <w:rFonts w:hint="default" w:ascii="Times New Roman" w:hAnsi="Times New Roman" w:cs="Times New Roman"/>
                <w:color w:val="000000"/>
                <w:highlight w:val="none"/>
                <w:lang w:eastAsia="zh-CN"/>
              </w:rPr>
              <w:t>、</w:t>
            </w:r>
            <w:r>
              <w:rPr>
                <w:rFonts w:hint="default" w:ascii="Times New Roman" w:hAnsi="Times New Roman" w:cs="Times New Roman"/>
                <w:color w:val="000000"/>
                <w:highlight w:val="none"/>
                <w:lang w:val="en-US" w:eastAsia="zh-CN"/>
              </w:rPr>
              <w:t>表土</w:t>
            </w:r>
            <w:r>
              <w:rPr>
                <w:rFonts w:hint="default" w:ascii="Times New Roman" w:hAnsi="Times New Roman" w:cs="Times New Roman"/>
                <w:color w:val="000000"/>
                <w:highlight w:val="none"/>
              </w:rPr>
              <w:t>、建筑垃圾和工人生活垃圾。</w:t>
            </w:r>
          </w:p>
          <w:p w14:paraId="57058BEC">
            <w:pPr>
              <w:keepNext w:val="0"/>
              <w:keepLines w:val="0"/>
              <w:suppressLineNumbers w:val="0"/>
              <w:shd w:val="clear" w:color="auto" w:fill="auto"/>
              <w:bidi w:val="0"/>
              <w:spacing w:before="0" w:beforeAutospacing="0" w:after="0" w:afterAutospacing="0" w:line="360" w:lineRule="auto"/>
              <w:ind w:left="0" w:right="0" w:firstLine="420" w:firstLineChars="200"/>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rPr>
              <w:t>（1）</w:t>
            </w:r>
            <w:r>
              <w:rPr>
                <w:rFonts w:hint="default" w:ascii="Times New Roman" w:hAnsi="Times New Roman" w:cs="Times New Roman"/>
                <w:color w:val="000000"/>
                <w:highlight w:val="none"/>
                <w:lang w:val="en-US" w:eastAsia="zh-CN"/>
              </w:rPr>
              <w:t>土石方平衡</w:t>
            </w:r>
          </w:p>
          <w:p w14:paraId="1B75FF22">
            <w:pPr>
              <w:keepNext w:val="0"/>
              <w:keepLines w:val="0"/>
              <w:suppressLineNumbers w:val="0"/>
              <w:shd w:val="clear" w:color="auto" w:fill="auto"/>
              <w:bidi w:val="0"/>
              <w:spacing w:before="0" w:beforeAutospacing="0" w:after="0" w:afterAutospacing="0" w:line="360" w:lineRule="auto"/>
              <w:ind w:left="0" w:right="0" w:firstLine="420" w:firstLineChars="200"/>
              <w:rPr>
                <w:rFonts w:hint="default" w:ascii="Times New Roman" w:hAnsi="Times New Roman" w:eastAsia="宋体" w:cs="Times New Roman"/>
                <w:color w:val="000000"/>
                <w:kern w:val="0"/>
                <w:szCs w:val="21"/>
                <w:highlight w:val="none"/>
                <w:lang w:val="en-US" w:eastAsia="zh-CN" w:bidi="ar-SA"/>
              </w:rPr>
            </w:pPr>
            <w:r>
              <w:rPr>
                <w:rFonts w:hint="default" w:ascii="Times New Roman" w:hAnsi="Times New Roman" w:cs="Times New Roman"/>
                <w:color w:val="000000"/>
                <w:highlight w:val="none"/>
                <w:lang w:val="en-US" w:eastAsia="zh-CN"/>
              </w:rPr>
              <w:t>本项目施工期主要</w:t>
            </w:r>
            <w:r>
              <w:rPr>
                <w:rFonts w:hint="default" w:ascii="Times New Roman" w:hAnsi="Times New Roman" w:eastAsia="宋体" w:cs="Times New Roman"/>
                <w:color w:val="000000"/>
                <w:kern w:val="0"/>
                <w:szCs w:val="21"/>
                <w:highlight w:val="none"/>
                <w:lang w:val="en-US" w:eastAsia="zh-CN" w:bidi="ar-SA"/>
              </w:rPr>
              <w:t>进行厂房、道路等基础设施的建设，施工前首先需要对建设地进行表土剥离，剥离厚度约30cm，剥离面积</w:t>
            </w:r>
            <w:r>
              <w:rPr>
                <w:rFonts w:hint="eastAsia" w:ascii="Times New Roman" w:hAnsi="Times New Roman" w:eastAsia="宋体" w:cs="Times New Roman"/>
                <w:color w:val="000000"/>
                <w:kern w:val="0"/>
                <w:szCs w:val="21"/>
                <w:highlight w:val="none"/>
                <w:lang w:val="en-US" w:eastAsia="zh-CN" w:bidi="ar-SA"/>
              </w:rPr>
              <w:t>3504㎡</w:t>
            </w:r>
            <w:r>
              <w:rPr>
                <w:rFonts w:hint="default" w:ascii="Times New Roman" w:hAnsi="Times New Roman" w:eastAsia="宋体" w:cs="Times New Roman"/>
                <w:color w:val="000000"/>
                <w:kern w:val="0"/>
                <w:szCs w:val="21"/>
                <w:highlight w:val="none"/>
                <w:lang w:val="en-US" w:eastAsia="zh-CN" w:bidi="ar-SA"/>
              </w:rPr>
              <w:t>，共剥离表土</w:t>
            </w:r>
            <w:r>
              <w:rPr>
                <w:rFonts w:hint="eastAsia" w:ascii="Times New Roman" w:hAnsi="Times New Roman" w:eastAsia="宋体" w:cs="Times New Roman"/>
                <w:color w:val="000000"/>
                <w:kern w:val="0"/>
                <w:szCs w:val="21"/>
                <w:highlight w:val="none"/>
                <w:lang w:val="en-US" w:eastAsia="zh-CN" w:bidi="ar-SA"/>
              </w:rPr>
              <w:t>1051.2m³</w:t>
            </w:r>
            <w:r>
              <w:rPr>
                <w:rFonts w:hint="default" w:ascii="Times New Roman" w:hAnsi="Times New Roman" w:eastAsia="宋体" w:cs="Times New Roman"/>
                <w:color w:val="000000"/>
                <w:kern w:val="0"/>
                <w:szCs w:val="21"/>
                <w:highlight w:val="none"/>
                <w:lang w:val="en-US" w:eastAsia="zh-CN" w:bidi="ar-SA"/>
              </w:rPr>
              <w:t>，全部堆存在施工区的临时堆土场内。施工结束后，对建设区回填段进行表土回填，并进行土地整治，土地整治面积约</w:t>
            </w:r>
            <w:r>
              <w:rPr>
                <w:rFonts w:hint="eastAsia" w:ascii="Times New Roman" w:hAnsi="Times New Roman" w:eastAsia="宋体" w:cs="Times New Roman"/>
                <w:color w:val="000000"/>
                <w:kern w:val="0"/>
                <w:szCs w:val="21"/>
                <w:highlight w:val="none"/>
                <w:lang w:val="en-US" w:eastAsia="zh-CN" w:bidi="ar-SA"/>
              </w:rPr>
              <w:t>5300㎡</w:t>
            </w:r>
            <w:r>
              <w:rPr>
                <w:rFonts w:hint="default" w:ascii="Times New Roman" w:hAnsi="Times New Roman" w:eastAsia="宋体" w:cs="Times New Roman"/>
                <w:color w:val="000000"/>
                <w:kern w:val="0"/>
                <w:szCs w:val="21"/>
                <w:highlight w:val="none"/>
                <w:lang w:val="en-US" w:eastAsia="zh-CN" w:bidi="ar-SA"/>
              </w:rPr>
              <w:t>，覆土厚度</w:t>
            </w:r>
            <w:r>
              <w:rPr>
                <w:rFonts w:hint="eastAsia" w:ascii="Times New Roman" w:hAnsi="Times New Roman" w:eastAsia="宋体" w:cs="Times New Roman"/>
                <w:color w:val="000000"/>
                <w:kern w:val="0"/>
                <w:szCs w:val="21"/>
                <w:highlight w:val="none"/>
                <w:lang w:val="en-US" w:eastAsia="zh-CN" w:bidi="ar-SA"/>
              </w:rPr>
              <w:t>19.83</w:t>
            </w:r>
            <w:r>
              <w:rPr>
                <w:rFonts w:hint="default" w:ascii="Times New Roman" w:hAnsi="Times New Roman" w:eastAsia="宋体" w:cs="Times New Roman"/>
                <w:color w:val="000000"/>
                <w:kern w:val="0"/>
                <w:szCs w:val="21"/>
                <w:highlight w:val="none"/>
                <w:lang w:val="en-US" w:eastAsia="zh-CN" w:bidi="ar-SA"/>
              </w:rPr>
              <w:t>cm，共覆土</w:t>
            </w:r>
            <w:r>
              <w:rPr>
                <w:rFonts w:hint="eastAsia" w:ascii="Times New Roman" w:hAnsi="Times New Roman" w:eastAsia="宋体" w:cs="Times New Roman"/>
                <w:color w:val="000000"/>
                <w:kern w:val="0"/>
                <w:szCs w:val="21"/>
                <w:highlight w:val="none"/>
                <w:lang w:val="en-US" w:eastAsia="zh-CN" w:bidi="ar-SA"/>
              </w:rPr>
              <w:t>1051.2m³</w:t>
            </w:r>
            <w:r>
              <w:rPr>
                <w:rFonts w:hint="default" w:ascii="Times New Roman" w:hAnsi="Times New Roman" w:eastAsia="宋体" w:cs="Times New Roman"/>
                <w:color w:val="000000"/>
                <w:kern w:val="0"/>
                <w:szCs w:val="21"/>
                <w:highlight w:val="none"/>
                <w:lang w:val="en-US" w:eastAsia="zh-CN" w:bidi="ar-SA"/>
              </w:rPr>
              <w:t>，土源为施工前剥离的表土。</w:t>
            </w:r>
          </w:p>
          <w:p w14:paraId="735C61A3">
            <w:pPr>
              <w:pStyle w:val="66"/>
              <w:keepNext w:val="0"/>
              <w:keepLines w:val="0"/>
              <w:pageBreakBefore w:val="0"/>
              <w:numPr>
                <w:ilvl w:val="0"/>
                <w:numId w:val="0"/>
              </w:numPr>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（2）建筑垃圾</w:t>
            </w:r>
          </w:p>
          <w:p w14:paraId="51305956">
            <w:pPr>
              <w:pStyle w:val="66"/>
              <w:keepNext w:val="0"/>
              <w:keepLines w:val="0"/>
              <w:pageBreakBefore w:val="0"/>
              <w:numPr>
                <w:ilvl w:val="0"/>
                <w:numId w:val="0"/>
              </w:numPr>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本项目生产厂房为钢构结构，办公楼为混凝土结构，因此施工时场地平整</w:t>
            </w:r>
            <w:r>
              <w:rPr>
                <w:rFonts w:hint="eastAsia"/>
                <w:lang w:val="en-US" w:eastAsia="zh-CN"/>
              </w:rPr>
              <w:t>及</w:t>
            </w:r>
            <w:r>
              <w:rPr>
                <w:rFonts w:hint="default" w:ascii="Times New Roman" w:hAnsi="Times New Roman" w:cs="Times New Roman"/>
                <w:color w:val="000000"/>
                <w:sz w:val="21"/>
                <w:szCs w:val="21"/>
                <w:highlight w:val="none"/>
              </w:rPr>
              <w:t>土石方挖填量很少，可以做到场内平衡，建设构筑物等过程中会产生少量建筑垃圾，大部分可以回收利用；少部分为土、石沙等建筑材料废弃物，运至指定地点进行处理。</w:t>
            </w:r>
          </w:p>
          <w:p w14:paraId="476B1EC2">
            <w:pPr>
              <w:keepNext w:val="0"/>
              <w:keepLines w:val="0"/>
              <w:pageBreakBefore w:val="0"/>
              <w:widowControl w:val="0"/>
              <w:numPr>
                <w:ilvl w:val="0"/>
                <w:numId w:val="6"/>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生活垃圾</w:t>
            </w:r>
          </w:p>
          <w:p w14:paraId="29B77EBA">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both"/>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员工生活垃圾按0.5kg/人·d，施工人员按30人计，则产生的生活垃圾产生量为15kg/d，生活垃圾统一收集后，由环卫部门统一清运。</w:t>
            </w:r>
          </w:p>
          <w:p w14:paraId="682057EB">
            <w:pPr>
              <w:keepNext w:val="0"/>
              <w:keepLines w:val="0"/>
              <w:pageBreakBefore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sz w:val="21"/>
                <w:szCs w:val="21"/>
                <w:highlight w:val="none"/>
                <w:lang w:val="en-US"/>
              </w:rPr>
            </w:pPr>
            <w:r>
              <w:rPr>
                <w:rFonts w:hint="default" w:ascii="Times New Roman" w:hAnsi="Times New Roman" w:cs="Times New Roman"/>
                <w:color w:val="000000"/>
                <w:sz w:val="21"/>
                <w:szCs w:val="21"/>
                <w:highlight w:val="none"/>
                <w:lang w:val="en-US" w:eastAsia="zh-CN"/>
              </w:rPr>
              <w:t>综上措施，本项目施工期产生的污染物在采取本环评提出的措施后可将对环境的影响降到最低</w:t>
            </w:r>
            <w:r>
              <w:rPr>
                <w:rFonts w:hint="eastAsia" w:cs="Times New Roman"/>
                <w:color w:val="000000"/>
                <w:sz w:val="21"/>
                <w:szCs w:val="21"/>
                <w:highlight w:val="none"/>
                <w:lang w:val="en-US" w:eastAsia="zh-CN"/>
              </w:rPr>
              <w:t>；</w:t>
            </w:r>
            <w:r>
              <w:rPr>
                <w:rFonts w:hint="default" w:ascii="Times New Roman" w:hAnsi="Times New Roman" w:cs="Times New Roman"/>
                <w:color w:val="000000"/>
                <w:sz w:val="21"/>
                <w:szCs w:val="21"/>
                <w:highlight w:val="none"/>
                <w:lang w:val="en-US" w:eastAsia="zh-CN"/>
              </w:rPr>
              <w:t>施工结束后，施工期环境影响消失。</w:t>
            </w:r>
          </w:p>
          <w:p w14:paraId="783E9995">
            <w:pPr>
              <w:pStyle w:val="28"/>
              <w:keepNext w:val="0"/>
              <w:keepLines w:val="0"/>
              <w:pageBreakBefore w:val="0"/>
              <w:shd w:val="clear" w:color="auto" w:fill="auto"/>
              <w:kinsoku/>
              <w:wordWrap/>
              <w:overflowPunct/>
              <w:topLinePunct w:val="0"/>
              <w:bidi w:val="0"/>
              <w:adjustRightInd w:val="0"/>
              <w:snapToGrid w:val="0"/>
              <w:spacing w:line="360" w:lineRule="auto"/>
              <w:textAlignment w:val="auto"/>
              <w:rPr>
                <w:rFonts w:hint="eastAsia"/>
                <w:b/>
                <w:bCs/>
                <w:color w:val="000000"/>
                <w:kern w:val="0"/>
                <w:sz w:val="21"/>
                <w:szCs w:val="21"/>
                <w:highlight w:val="none"/>
              </w:rPr>
            </w:pPr>
          </w:p>
          <w:p w14:paraId="4366D845">
            <w:pPr>
              <w:pStyle w:val="30"/>
              <w:shd w:val="clear" w:color="auto" w:fill="auto"/>
              <w:rPr>
                <w:rFonts w:hint="eastAsia"/>
                <w:b/>
                <w:bCs/>
                <w:color w:val="000000"/>
                <w:kern w:val="0"/>
                <w:sz w:val="21"/>
                <w:szCs w:val="21"/>
                <w:highlight w:val="none"/>
              </w:rPr>
            </w:pPr>
          </w:p>
          <w:p w14:paraId="2DD17A7F">
            <w:pPr>
              <w:pStyle w:val="31"/>
              <w:shd w:val="clear" w:color="auto" w:fill="auto"/>
              <w:rPr>
                <w:rFonts w:hint="eastAsia"/>
                <w:b/>
                <w:bCs/>
                <w:color w:val="000000"/>
                <w:kern w:val="0"/>
                <w:sz w:val="21"/>
                <w:szCs w:val="21"/>
                <w:highlight w:val="none"/>
              </w:rPr>
            </w:pPr>
          </w:p>
          <w:p w14:paraId="429FB387">
            <w:pPr>
              <w:shd w:val="clear" w:color="auto" w:fill="auto"/>
              <w:rPr>
                <w:rFonts w:hint="eastAsia"/>
                <w:b/>
                <w:bCs/>
                <w:color w:val="000000"/>
                <w:kern w:val="0"/>
                <w:sz w:val="21"/>
                <w:szCs w:val="21"/>
                <w:highlight w:val="none"/>
              </w:rPr>
            </w:pPr>
          </w:p>
          <w:p w14:paraId="532B8EC3">
            <w:pPr>
              <w:pStyle w:val="61"/>
              <w:shd w:val="clear" w:color="auto" w:fill="auto"/>
              <w:ind w:hanging="420"/>
              <w:rPr>
                <w:rFonts w:hint="eastAsia"/>
                <w:b/>
                <w:bCs/>
                <w:color w:val="000000"/>
                <w:kern w:val="0"/>
                <w:sz w:val="21"/>
                <w:szCs w:val="21"/>
                <w:highlight w:val="none"/>
              </w:rPr>
            </w:pPr>
          </w:p>
          <w:p w14:paraId="38B52FA8">
            <w:pPr>
              <w:shd w:val="clear" w:color="auto" w:fill="auto"/>
              <w:rPr>
                <w:rFonts w:hint="eastAsia"/>
                <w:b/>
                <w:bCs/>
                <w:color w:val="000000"/>
                <w:kern w:val="0"/>
                <w:sz w:val="21"/>
                <w:szCs w:val="21"/>
                <w:highlight w:val="none"/>
              </w:rPr>
            </w:pPr>
          </w:p>
          <w:p w14:paraId="1BCF2B75">
            <w:pPr>
              <w:pStyle w:val="61"/>
              <w:shd w:val="clear" w:color="auto" w:fill="auto"/>
              <w:ind w:hanging="420"/>
              <w:rPr>
                <w:rFonts w:hint="eastAsia"/>
                <w:b/>
                <w:bCs/>
                <w:color w:val="000000"/>
                <w:kern w:val="0"/>
                <w:sz w:val="21"/>
                <w:szCs w:val="21"/>
                <w:highlight w:val="none"/>
              </w:rPr>
            </w:pPr>
          </w:p>
          <w:p w14:paraId="16B6E5CF">
            <w:pPr>
              <w:shd w:val="clear" w:color="auto" w:fill="auto"/>
              <w:rPr>
                <w:rFonts w:hint="eastAsia"/>
                <w:b/>
                <w:bCs/>
                <w:color w:val="000000"/>
                <w:kern w:val="0"/>
                <w:sz w:val="21"/>
                <w:szCs w:val="21"/>
                <w:highlight w:val="none"/>
              </w:rPr>
            </w:pPr>
          </w:p>
          <w:p w14:paraId="40050471">
            <w:pPr>
              <w:pStyle w:val="61"/>
              <w:shd w:val="clear" w:color="auto" w:fill="auto"/>
              <w:ind w:hanging="480"/>
              <w:rPr>
                <w:rFonts w:hint="eastAsia"/>
                <w:color w:val="000000"/>
                <w:highlight w:val="none"/>
              </w:rPr>
            </w:pPr>
          </w:p>
        </w:tc>
      </w:tr>
    </w:tbl>
    <w:p w14:paraId="509C0616">
      <w:pPr>
        <w:shd w:val="clear" w:color="auto" w:fill="auto"/>
        <w:adjustRightInd w:val="0"/>
        <w:snapToGrid w:val="0"/>
        <w:jc w:val="center"/>
        <w:rPr>
          <w:rFonts w:hint="eastAsia" w:ascii="宋体" w:hAnsi="宋体" w:cs="宋体"/>
          <w:bCs/>
          <w:color w:val="000000"/>
          <w:sz w:val="21"/>
          <w:szCs w:val="21"/>
          <w:highlight w:val="none"/>
        </w:rPr>
      </w:pPr>
      <w:r>
        <w:br w:type="page"/>
      </w:r>
    </w:p>
    <w:tbl>
      <w:tblPr>
        <w:tblStyle w:val="21"/>
        <w:tblW w:w="8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17"/>
        <w:gridCol w:w="8364"/>
      </w:tblGrid>
      <w:tr w14:paraId="716F1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18" w:hRule="atLeast"/>
          <w:jc w:val="center"/>
        </w:trPr>
        <w:tc>
          <w:tcPr>
            <w:tcW w:w="617" w:type="dxa"/>
            <w:tcBorders>
              <w:tl2br w:val="nil"/>
              <w:tr2bl w:val="nil"/>
            </w:tcBorders>
            <w:shd w:val="clear" w:color="auto" w:fill="auto"/>
            <w:noWrap w:val="0"/>
            <w:tcMar>
              <w:top w:w="0" w:type="dxa"/>
              <w:left w:w="28" w:type="dxa"/>
              <w:bottom w:w="0" w:type="dxa"/>
              <w:right w:w="28" w:type="dxa"/>
            </w:tcMar>
            <w:vAlign w:val="center"/>
          </w:tcPr>
          <w:p w14:paraId="4A88DF24">
            <w:pPr>
              <w:shd w:val="clear" w:color="auto" w:fill="auto"/>
              <w:adjustRightInd w:val="0"/>
              <w:snapToGrid w:val="0"/>
              <w:jc w:val="center"/>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运营</w:t>
            </w:r>
          </w:p>
          <w:p w14:paraId="435DD5A0">
            <w:pPr>
              <w:shd w:val="clear" w:color="auto" w:fill="auto"/>
              <w:adjustRightInd w:val="0"/>
              <w:snapToGrid w:val="0"/>
              <w:jc w:val="center"/>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期环</w:t>
            </w:r>
          </w:p>
          <w:p w14:paraId="63E2AA8D">
            <w:pPr>
              <w:shd w:val="clear" w:color="auto" w:fill="auto"/>
              <w:adjustRightInd w:val="0"/>
              <w:snapToGrid w:val="0"/>
              <w:jc w:val="center"/>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境影</w:t>
            </w:r>
          </w:p>
          <w:p w14:paraId="4D149783">
            <w:pPr>
              <w:shd w:val="clear" w:color="auto" w:fill="auto"/>
              <w:adjustRightInd w:val="0"/>
              <w:snapToGrid w:val="0"/>
              <w:jc w:val="center"/>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响和</w:t>
            </w:r>
          </w:p>
          <w:p w14:paraId="1DAE203E">
            <w:pPr>
              <w:shd w:val="clear" w:color="auto" w:fill="auto"/>
              <w:adjustRightInd w:val="0"/>
              <w:snapToGrid w:val="0"/>
              <w:jc w:val="center"/>
              <w:rPr>
                <w:rFonts w:hint="eastAsia" w:ascii="宋体" w:hAnsi="宋体" w:cs="宋体"/>
                <w:bCs/>
                <w:color w:val="000000"/>
                <w:sz w:val="21"/>
                <w:szCs w:val="21"/>
                <w:highlight w:val="none"/>
              </w:rPr>
            </w:pPr>
            <w:r>
              <w:rPr>
                <w:rFonts w:hint="eastAsia" w:ascii="宋体" w:hAnsi="宋体" w:cs="宋体"/>
                <w:bCs/>
                <w:color w:val="000000"/>
                <w:sz w:val="21"/>
                <w:szCs w:val="21"/>
                <w:highlight w:val="none"/>
              </w:rPr>
              <w:t>保护</w:t>
            </w:r>
          </w:p>
          <w:p w14:paraId="35356E91">
            <w:pPr>
              <w:shd w:val="clear" w:color="auto" w:fill="auto"/>
              <w:adjustRightInd w:val="0"/>
              <w:snapToGrid w:val="0"/>
              <w:jc w:val="center"/>
              <w:rPr>
                <w:rFonts w:ascii="宋体" w:hAnsi="宋体" w:cs="宋体"/>
                <w:bCs/>
                <w:color w:val="000000"/>
                <w:sz w:val="21"/>
                <w:szCs w:val="21"/>
                <w:highlight w:val="none"/>
              </w:rPr>
            </w:pPr>
            <w:r>
              <w:rPr>
                <w:rFonts w:hint="eastAsia" w:ascii="宋体" w:hAnsi="宋体" w:cs="宋体"/>
                <w:bCs/>
                <w:color w:val="000000"/>
                <w:sz w:val="21"/>
                <w:szCs w:val="21"/>
                <w:highlight w:val="none"/>
              </w:rPr>
              <w:t>措施</w:t>
            </w:r>
          </w:p>
        </w:tc>
        <w:tc>
          <w:tcPr>
            <w:tcW w:w="8364" w:type="dxa"/>
            <w:tcBorders>
              <w:tl2br w:val="nil"/>
              <w:tr2bl w:val="nil"/>
            </w:tcBorders>
            <w:shd w:val="clear" w:color="auto" w:fill="auto"/>
            <w:noWrap w:val="0"/>
            <w:vAlign w:val="center"/>
          </w:tcPr>
          <w:p w14:paraId="54E9D21E">
            <w:pPr>
              <w:keepNext w:val="0"/>
              <w:keepLines w:val="0"/>
              <w:pageBreakBefore w:val="0"/>
              <w:widowControl/>
              <w:shd w:val="clear" w:color="auto" w:fill="auto"/>
              <w:kinsoku/>
              <w:wordWrap/>
              <w:overflowPunct/>
              <w:topLinePunct w:val="0"/>
              <w:autoSpaceDE/>
              <w:autoSpaceDN/>
              <w:bidi w:val="0"/>
              <w:adjustRightInd w:val="0"/>
              <w:snapToGrid w:val="0"/>
              <w:spacing w:line="360" w:lineRule="auto"/>
              <w:ind w:firstLine="422" w:firstLineChars="200"/>
              <w:jc w:val="both"/>
              <w:textAlignment w:val="auto"/>
              <w:rPr>
                <w:rFonts w:hint="eastAsia" w:ascii="Times New Roman" w:hAnsi="Times New Roman" w:eastAsia="宋体" w:cs="Times New Roman"/>
                <w:b/>
                <w:color w:val="000000"/>
                <w:sz w:val="21"/>
                <w:szCs w:val="21"/>
                <w:highlight w:val="none"/>
              </w:rPr>
            </w:pPr>
            <w:r>
              <w:rPr>
                <w:rFonts w:hint="eastAsia" w:ascii="Times New Roman" w:hAnsi="Times New Roman" w:eastAsia="宋体" w:cs="Times New Roman"/>
                <w:b/>
                <w:color w:val="000000"/>
                <w:sz w:val="21"/>
                <w:szCs w:val="21"/>
                <w:highlight w:val="none"/>
              </w:rPr>
              <w:t>一、运营期大气环境影响和保护措施</w:t>
            </w:r>
          </w:p>
          <w:p w14:paraId="2562279E">
            <w:pPr>
              <w:keepNext w:val="0"/>
              <w:keepLines w:val="0"/>
              <w:pageBreakBefore w:val="0"/>
              <w:shd w:val="clear" w:color="auto" w:fill="auto"/>
              <w:kinsoku/>
              <w:wordWrap/>
              <w:overflowPunct/>
              <w:topLinePunct w:val="0"/>
              <w:autoSpaceDE/>
              <w:autoSpaceDN/>
              <w:bidi w:val="0"/>
              <w:adjustRightInd w:val="0"/>
              <w:snapToGrid w:val="0"/>
              <w:spacing w:line="360" w:lineRule="auto"/>
              <w:ind w:firstLine="422" w:firstLineChars="200"/>
              <w:jc w:val="left"/>
              <w:textAlignment w:val="auto"/>
              <w:rPr>
                <w:b/>
                <w:bCs/>
                <w:color w:val="000000"/>
                <w:kern w:val="0"/>
                <w:sz w:val="21"/>
                <w:szCs w:val="21"/>
                <w:highlight w:val="none"/>
              </w:rPr>
            </w:pPr>
            <w:r>
              <w:rPr>
                <w:rFonts w:hint="eastAsia"/>
                <w:b/>
                <w:bCs/>
                <w:color w:val="000000"/>
                <w:kern w:val="0"/>
                <w:sz w:val="21"/>
                <w:szCs w:val="21"/>
                <w:highlight w:val="none"/>
                <w:lang w:val="en-US" w:eastAsia="zh-CN"/>
              </w:rPr>
              <w:t>1.</w:t>
            </w:r>
            <w:r>
              <w:rPr>
                <w:rFonts w:hint="eastAsia"/>
                <w:b/>
                <w:bCs/>
                <w:color w:val="000000"/>
                <w:kern w:val="0"/>
                <w:sz w:val="21"/>
                <w:szCs w:val="21"/>
                <w:highlight w:val="none"/>
              </w:rPr>
              <w:t>废气产排情况</w:t>
            </w:r>
          </w:p>
          <w:p w14:paraId="557780C4">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jc w:val="left"/>
              <w:textAlignment w:val="auto"/>
              <w:rPr>
                <w:color w:val="000000"/>
                <w:kern w:val="0"/>
                <w:sz w:val="21"/>
                <w:szCs w:val="21"/>
                <w:highlight w:val="none"/>
              </w:rPr>
            </w:pPr>
            <w:r>
              <w:rPr>
                <w:rFonts w:hint="eastAsia"/>
                <w:color w:val="000000"/>
                <w:kern w:val="0"/>
                <w:sz w:val="21"/>
                <w:szCs w:val="21"/>
                <w:highlight w:val="none"/>
              </w:rPr>
              <w:t>本项目</w:t>
            </w:r>
            <w:r>
              <w:rPr>
                <w:rFonts w:hint="eastAsia"/>
                <w:color w:val="000000"/>
                <w:kern w:val="0"/>
                <w:sz w:val="21"/>
                <w:szCs w:val="21"/>
                <w:highlight w:val="none"/>
                <w:lang w:val="en-US" w:eastAsia="zh-CN"/>
              </w:rPr>
              <w:t>废气产生环节主要为粮食、大曲粉碎粉尘、锅炉烟气、污水处理站的臭气、酒糟堆存臭气、食堂油烟</w:t>
            </w:r>
            <w:r>
              <w:rPr>
                <w:rFonts w:hint="eastAsia"/>
                <w:color w:val="000000"/>
                <w:kern w:val="0"/>
                <w:sz w:val="21"/>
                <w:szCs w:val="21"/>
                <w:highlight w:val="none"/>
              </w:rPr>
              <w:t>。</w:t>
            </w:r>
          </w:p>
          <w:p w14:paraId="4852C5C0">
            <w:pPr>
              <w:keepNext w:val="0"/>
              <w:keepLines w:val="0"/>
              <w:pageBreakBefore w:val="0"/>
              <w:widowControl/>
              <w:shd w:val="clear" w:color="auto" w:fill="auto"/>
              <w:kinsoku/>
              <w:wordWrap/>
              <w:overflowPunct/>
              <w:topLinePunct w:val="0"/>
              <w:autoSpaceDE/>
              <w:autoSpaceDN/>
              <w:bidi w:val="0"/>
              <w:adjustRightInd w:val="0"/>
              <w:snapToGrid w:val="0"/>
              <w:spacing w:line="240" w:lineRule="auto"/>
              <w:jc w:val="center"/>
              <w:textAlignment w:val="auto"/>
              <w:rPr>
                <w:rFonts w:hint="eastAsia"/>
                <w:b/>
                <w:color w:val="000000"/>
                <w:sz w:val="21"/>
                <w:szCs w:val="21"/>
                <w:highlight w:val="none"/>
              </w:rPr>
            </w:pPr>
            <w:r>
              <w:rPr>
                <w:rFonts w:hint="eastAsia"/>
                <w:b/>
                <w:color w:val="000000"/>
                <w:sz w:val="21"/>
                <w:szCs w:val="21"/>
                <w:highlight w:val="none"/>
              </w:rPr>
              <w:t>表4-</w:t>
            </w:r>
            <w:r>
              <w:rPr>
                <w:b/>
                <w:color w:val="000000"/>
                <w:sz w:val="21"/>
                <w:szCs w:val="21"/>
                <w:highlight w:val="none"/>
              </w:rPr>
              <w:t>1</w:t>
            </w:r>
            <w:r>
              <w:rPr>
                <w:rFonts w:hint="eastAsia"/>
                <w:b/>
                <w:color w:val="000000"/>
                <w:sz w:val="21"/>
                <w:szCs w:val="21"/>
                <w:highlight w:val="none"/>
                <w:lang w:val="en-US" w:eastAsia="zh-CN"/>
              </w:rPr>
              <w:t xml:space="preserve">    </w:t>
            </w:r>
            <w:r>
              <w:rPr>
                <w:rFonts w:hint="eastAsia"/>
                <w:b/>
                <w:color w:val="000000"/>
                <w:sz w:val="21"/>
                <w:szCs w:val="21"/>
                <w:highlight w:val="none"/>
              </w:rPr>
              <w:t>项目</w:t>
            </w:r>
            <w:r>
              <w:rPr>
                <w:rFonts w:hint="eastAsia"/>
                <w:b/>
                <w:color w:val="000000"/>
                <w:sz w:val="21"/>
                <w:szCs w:val="21"/>
                <w:highlight w:val="none"/>
                <w:lang w:val="en-US" w:eastAsia="zh-CN"/>
              </w:rPr>
              <w:t>有组织</w:t>
            </w:r>
            <w:r>
              <w:rPr>
                <w:rFonts w:hint="eastAsia"/>
                <w:b/>
                <w:color w:val="000000"/>
                <w:sz w:val="21"/>
                <w:szCs w:val="21"/>
                <w:highlight w:val="none"/>
              </w:rPr>
              <w:t>废气产排情况一览表</w:t>
            </w:r>
          </w:p>
          <w:tbl>
            <w:tblPr>
              <w:tblStyle w:val="21"/>
              <w:tblW w:w="81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04"/>
              <w:gridCol w:w="1126"/>
              <w:gridCol w:w="2"/>
              <w:gridCol w:w="742"/>
              <w:gridCol w:w="768"/>
              <w:gridCol w:w="5"/>
              <w:gridCol w:w="884"/>
              <w:gridCol w:w="18"/>
              <w:gridCol w:w="1132"/>
              <w:gridCol w:w="1113"/>
              <w:gridCol w:w="954"/>
              <w:gridCol w:w="7"/>
              <w:gridCol w:w="1000"/>
            </w:tblGrid>
            <w:tr w14:paraId="23B73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38" w:type="pct"/>
                  <w:gridSpan w:val="2"/>
                  <w:tcBorders>
                    <w:tl2br w:val="nil"/>
                    <w:tr2bl w:val="nil"/>
                  </w:tcBorders>
                  <w:shd w:val="clear" w:color="auto" w:fill="auto"/>
                  <w:noWrap w:val="0"/>
                  <w:vAlign w:val="center"/>
                </w:tcPr>
                <w:p w14:paraId="324CA80C">
                  <w:pPr>
                    <w:shd w:val="clear" w:color="auto" w:fill="auto"/>
                    <w:adjustRightInd w:val="0"/>
                    <w:snapToGrid w:val="0"/>
                    <w:jc w:val="center"/>
                    <w:rPr>
                      <w:rFonts w:hint="eastAsia"/>
                      <w:b/>
                      <w:bCs/>
                      <w:color w:val="000000"/>
                      <w:sz w:val="21"/>
                      <w:szCs w:val="21"/>
                      <w:highlight w:val="none"/>
                    </w:rPr>
                  </w:pPr>
                  <w:r>
                    <w:rPr>
                      <w:rFonts w:hint="eastAsia"/>
                      <w:b/>
                      <w:bCs/>
                      <w:color w:val="000000"/>
                      <w:sz w:val="21"/>
                      <w:szCs w:val="21"/>
                      <w:highlight w:val="none"/>
                    </w:rPr>
                    <w:t>产污环节</w:t>
                  </w:r>
                </w:p>
              </w:tc>
              <w:tc>
                <w:tcPr>
                  <w:tcW w:w="456" w:type="pct"/>
                  <w:gridSpan w:val="2"/>
                  <w:tcBorders>
                    <w:tl2br w:val="nil"/>
                    <w:tr2bl w:val="nil"/>
                  </w:tcBorders>
                  <w:shd w:val="clear" w:color="auto" w:fill="auto"/>
                  <w:noWrap w:val="0"/>
                  <w:vAlign w:val="center"/>
                </w:tcPr>
                <w:p w14:paraId="57717F00">
                  <w:pPr>
                    <w:shd w:val="clear" w:color="auto" w:fill="auto"/>
                    <w:adjustRightInd w:val="0"/>
                    <w:snapToGrid w:val="0"/>
                    <w:jc w:val="center"/>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粮食粉碎</w:t>
                  </w:r>
                </w:p>
              </w:tc>
              <w:tc>
                <w:tcPr>
                  <w:tcW w:w="470" w:type="pct"/>
                  <w:tcBorders>
                    <w:tl2br w:val="nil"/>
                    <w:tr2bl w:val="nil"/>
                  </w:tcBorders>
                  <w:shd w:val="clear" w:color="auto" w:fill="auto"/>
                  <w:noWrap w:val="0"/>
                  <w:vAlign w:val="center"/>
                </w:tcPr>
                <w:p w14:paraId="550B3E4C">
                  <w:pPr>
                    <w:shd w:val="clear" w:color="auto" w:fill="auto"/>
                    <w:adjustRightInd w:val="0"/>
                    <w:snapToGrid w:val="0"/>
                    <w:jc w:val="center"/>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大曲粉碎</w:t>
                  </w:r>
                </w:p>
              </w:tc>
              <w:tc>
                <w:tcPr>
                  <w:tcW w:w="1932" w:type="pct"/>
                  <w:gridSpan w:val="5"/>
                  <w:tcBorders>
                    <w:tl2br w:val="nil"/>
                    <w:tr2bl w:val="nil"/>
                  </w:tcBorders>
                  <w:shd w:val="clear" w:color="auto" w:fill="auto"/>
                  <w:noWrap w:val="0"/>
                  <w:vAlign w:val="center"/>
                </w:tcPr>
                <w:p w14:paraId="5C203ADF">
                  <w:pPr>
                    <w:shd w:val="clear" w:color="auto" w:fill="auto"/>
                    <w:adjustRightInd w:val="0"/>
                    <w:snapToGrid w:val="0"/>
                    <w:jc w:val="center"/>
                    <w:rPr>
                      <w:rFonts w:hint="default"/>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锅炉烟气</w:t>
                  </w:r>
                </w:p>
              </w:tc>
              <w:tc>
                <w:tcPr>
                  <w:tcW w:w="1202" w:type="pct"/>
                  <w:gridSpan w:val="3"/>
                  <w:tcBorders>
                    <w:tl2br w:val="nil"/>
                    <w:tr2bl w:val="nil"/>
                  </w:tcBorders>
                  <w:shd w:val="clear" w:color="auto" w:fill="auto"/>
                  <w:noWrap w:val="0"/>
                  <w:vAlign w:val="center"/>
                </w:tcPr>
                <w:p w14:paraId="2690960E">
                  <w:pPr>
                    <w:shd w:val="clear" w:color="auto" w:fill="auto"/>
                    <w:adjustRightInd w:val="0"/>
                    <w:snapToGrid w:val="0"/>
                    <w:jc w:val="center"/>
                    <w:rPr>
                      <w:rFonts w:hint="default"/>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污水处理站的臭气</w:t>
                  </w:r>
                </w:p>
              </w:tc>
            </w:tr>
            <w:tr w14:paraId="7764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38" w:type="pct"/>
                  <w:gridSpan w:val="2"/>
                  <w:tcBorders>
                    <w:tl2br w:val="nil"/>
                    <w:tr2bl w:val="nil"/>
                  </w:tcBorders>
                  <w:shd w:val="clear" w:color="auto" w:fill="auto"/>
                  <w:noWrap w:val="0"/>
                  <w:vAlign w:val="center"/>
                </w:tcPr>
                <w:p w14:paraId="008AAEE0">
                  <w:pPr>
                    <w:shd w:val="clear" w:color="auto" w:fill="auto"/>
                    <w:adjustRightInd w:val="0"/>
                    <w:snapToGrid w:val="0"/>
                    <w:jc w:val="center"/>
                    <w:rPr>
                      <w:b w:val="0"/>
                      <w:bCs w:val="0"/>
                      <w:color w:val="000000"/>
                      <w:sz w:val="21"/>
                      <w:szCs w:val="21"/>
                      <w:highlight w:val="none"/>
                    </w:rPr>
                  </w:pPr>
                  <w:r>
                    <w:rPr>
                      <w:b w:val="0"/>
                      <w:bCs w:val="0"/>
                      <w:color w:val="000000"/>
                      <w:sz w:val="21"/>
                      <w:szCs w:val="21"/>
                      <w:highlight w:val="none"/>
                    </w:rPr>
                    <w:t>污染物种类</w:t>
                  </w:r>
                </w:p>
              </w:tc>
              <w:tc>
                <w:tcPr>
                  <w:tcW w:w="927" w:type="pct"/>
                  <w:gridSpan w:val="3"/>
                  <w:tcBorders>
                    <w:tl2br w:val="nil"/>
                    <w:tr2bl w:val="nil"/>
                  </w:tcBorders>
                  <w:shd w:val="clear" w:color="auto" w:fill="auto"/>
                  <w:noWrap w:val="0"/>
                  <w:vAlign w:val="center"/>
                </w:tcPr>
                <w:p w14:paraId="48BF5606">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颗粒物</w:t>
                  </w:r>
                </w:p>
              </w:tc>
              <w:tc>
                <w:tcPr>
                  <w:tcW w:w="545" w:type="pct"/>
                  <w:gridSpan w:val="2"/>
                  <w:tcBorders>
                    <w:tl2br w:val="nil"/>
                    <w:tr2bl w:val="nil"/>
                  </w:tcBorders>
                  <w:shd w:val="clear" w:color="auto" w:fill="auto"/>
                  <w:noWrap w:val="0"/>
                  <w:vAlign w:val="center"/>
                </w:tcPr>
                <w:p w14:paraId="4086C42C">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颗粒物</w:t>
                  </w:r>
                </w:p>
              </w:tc>
              <w:tc>
                <w:tcPr>
                  <w:tcW w:w="705" w:type="pct"/>
                  <w:gridSpan w:val="2"/>
                  <w:tcBorders>
                    <w:tl2br w:val="nil"/>
                    <w:tr2bl w:val="nil"/>
                  </w:tcBorders>
                  <w:shd w:val="clear" w:color="auto" w:fill="auto"/>
                  <w:noWrap w:val="0"/>
                  <w:vAlign w:val="center"/>
                </w:tcPr>
                <w:p w14:paraId="70E1C71E">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二氧化硫</w:t>
                  </w:r>
                </w:p>
              </w:tc>
              <w:tc>
                <w:tcPr>
                  <w:tcW w:w="682" w:type="pct"/>
                  <w:tcBorders>
                    <w:tl2br w:val="nil"/>
                    <w:tr2bl w:val="nil"/>
                  </w:tcBorders>
                  <w:shd w:val="clear" w:color="auto" w:fill="auto"/>
                  <w:noWrap w:val="0"/>
                  <w:vAlign w:val="center"/>
                </w:tcPr>
                <w:p w14:paraId="55AAEFAF">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氮氧化物</w:t>
                  </w:r>
                </w:p>
              </w:tc>
              <w:tc>
                <w:tcPr>
                  <w:tcW w:w="589" w:type="pct"/>
                  <w:gridSpan w:val="2"/>
                  <w:tcBorders>
                    <w:tl2br w:val="nil"/>
                    <w:tr2bl w:val="nil"/>
                  </w:tcBorders>
                  <w:shd w:val="clear" w:color="auto" w:fill="auto"/>
                  <w:noWrap w:val="0"/>
                  <w:vAlign w:val="center"/>
                </w:tcPr>
                <w:p w14:paraId="4FA15C06">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氨</w:t>
                  </w:r>
                </w:p>
              </w:tc>
              <w:tc>
                <w:tcPr>
                  <w:tcW w:w="613" w:type="pct"/>
                  <w:tcBorders>
                    <w:tl2br w:val="nil"/>
                    <w:tr2bl w:val="nil"/>
                  </w:tcBorders>
                  <w:shd w:val="clear" w:color="auto" w:fill="auto"/>
                  <w:noWrap w:val="0"/>
                  <w:vAlign w:val="center"/>
                </w:tcPr>
                <w:p w14:paraId="493D3131">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硫化氢</w:t>
                  </w:r>
                </w:p>
              </w:tc>
            </w:tr>
            <w:tr w14:paraId="08217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38" w:type="pct"/>
                  <w:gridSpan w:val="2"/>
                  <w:tcBorders>
                    <w:tl2br w:val="nil"/>
                    <w:tr2bl w:val="nil"/>
                  </w:tcBorders>
                  <w:shd w:val="clear" w:color="auto" w:fill="auto"/>
                  <w:noWrap w:val="0"/>
                  <w:vAlign w:val="center"/>
                </w:tcPr>
                <w:p w14:paraId="7BF3EBFE">
                  <w:pPr>
                    <w:shd w:val="clear" w:color="auto" w:fill="auto"/>
                    <w:adjustRightInd w:val="0"/>
                    <w:snapToGrid w:val="0"/>
                    <w:jc w:val="center"/>
                    <w:rPr>
                      <w:color w:val="000000"/>
                      <w:sz w:val="21"/>
                      <w:szCs w:val="21"/>
                      <w:highlight w:val="none"/>
                    </w:rPr>
                  </w:pPr>
                  <w:r>
                    <w:rPr>
                      <w:color w:val="000000"/>
                      <w:sz w:val="21"/>
                      <w:szCs w:val="21"/>
                      <w:highlight w:val="none"/>
                    </w:rPr>
                    <w:t>污染物产生量（t/a）</w:t>
                  </w:r>
                </w:p>
              </w:tc>
              <w:tc>
                <w:tcPr>
                  <w:tcW w:w="456" w:type="pct"/>
                  <w:gridSpan w:val="2"/>
                  <w:tcBorders>
                    <w:tl2br w:val="nil"/>
                    <w:tr2bl w:val="nil"/>
                  </w:tcBorders>
                  <w:shd w:val="clear" w:color="auto" w:fill="auto"/>
                  <w:noWrap w:val="0"/>
                  <w:vAlign w:val="center"/>
                </w:tcPr>
                <w:p w14:paraId="5B7D55E2">
                  <w:pPr>
                    <w:shd w:val="clear" w:color="auto" w:fill="auto"/>
                    <w:adjustRightInd w:val="0"/>
                    <w:snapToGrid w:val="0"/>
                    <w:jc w:val="center"/>
                    <w:rPr>
                      <w:rFonts w:hint="default"/>
                      <w:color w:val="000000"/>
                      <w:sz w:val="21"/>
                      <w:szCs w:val="21"/>
                      <w:highlight w:val="none"/>
                      <w:lang w:val="en-US"/>
                    </w:rPr>
                  </w:pPr>
                  <w:r>
                    <w:rPr>
                      <w:rFonts w:hint="eastAsia" w:ascii="Times New Roman" w:hAnsi="Times New Roman" w:eastAsia="宋体" w:cs="Times New Roman"/>
                      <w:b w:val="0"/>
                      <w:bCs w:val="0"/>
                      <w:color w:val="000000"/>
                      <w:kern w:val="2"/>
                      <w:sz w:val="21"/>
                      <w:szCs w:val="21"/>
                      <w:highlight w:val="none"/>
                      <w:lang w:val="en-US" w:eastAsia="zh-CN" w:bidi="ar-SA"/>
                    </w:rPr>
                    <w:t>2.55</w:t>
                  </w:r>
                </w:p>
              </w:tc>
              <w:tc>
                <w:tcPr>
                  <w:tcW w:w="470" w:type="pct"/>
                  <w:tcBorders>
                    <w:tl2br w:val="nil"/>
                    <w:tr2bl w:val="nil"/>
                  </w:tcBorders>
                  <w:shd w:val="clear" w:color="auto" w:fill="auto"/>
                  <w:noWrap w:val="0"/>
                  <w:vAlign w:val="center"/>
                </w:tcPr>
                <w:p w14:paraId="17C9A6B9">
                  <w:pPr>
                    <w:shd w:val="clear" w:color="auto" w:fill="auto"/>
                    <w:adjustRightInd w:val="0"/>
                    <w:snapToGrid w:val="0"/>
                    <w:jc w:val="center"/>
                    <w:rPr>
                      <w:rFonts w:hint="default"/>
                      <w:color w:val="000000"/>
                      <w:sz w:val="21"/>
                      <w:szCs w:val="21"/>
                      <w:highlight w:val="none"/>
                      <w:lang w:val="en-US"/>
                    </w:rPr>
                  </w:pPr>
                  <w:r>
                    <w:rPr>
                      <w:rFonts w:hint="eastAsia" w:ascii="Times New Roman" w:hAnsi="Times New Roman" w:eastAsia="宋体" w:cs="Times New Roman"/>
                      <w:b w:val="0"/>
                      <w:bCs w:val="0"/>
                      <w:color w:val="000000"/>
                      <w:kern w:val="2"/>
                      <w:sz w:val="21"/>
                      <w:szCs w:val="21"/>
                      <w:highlight w:val="none"/>
                      <w:lang w:val="en-US" w:eastAsia="zh-CN" w:bidi="ar-SA"/>
                    </w:rPr>
                    <w:t>0.66</w:t>
                  </w:r>
                </w:p>
              </w:tc>
              <w:tc>
                <w:tcPr>
                  <w:tcW w:w="545" w:type="pct"/>
                  <w:gridSpan w:val="2"/>
                  <w:tcBorders>
                    <w:tl2br w:val="nil"/>
                    <w:tr2bl w:val="nil"/>
                  </w:tcBorders>
                  <w:shd w:val="clear" w:color="auto" w:fill="auto"/>
                  <w:noWrap w:val="0"/>
                  <w:vAlign w:val="center"/>
                </w:tcPr>
                <w:p w14:paraId="26A9A08D">
                  <w:pPr>
                    <w:shd w:val="clear" w:color="auto" w:fill="auto"/>
                    <w:adjustRightInd w:val="0"/>
                    <w:snapToGrid w:val="0"/>
                    <w:jc w:val="center"/>
                    <w:rPr>
                      <w:rFonts w:hint="default"/>
                      <w:color w:val="000000"/>
                      <w:sz w:val="21"/>
                      <w:szCs w:val="21"/>
                      <w:highlight w:val="none"/>
                      <w:lang w:val="en-US" w:eastAsia="zh-CN"/>
                    </w:rPr>
                  </w:pPr>
                  <w:r>
                    <w:rPr>
                      <w:rFonts w:hint="eastAsia" w:ascii="Times New Roman" w:hAnsi="Times New Roman" w:cs="Times New Roman"/>
                      <w:color w:val="000000"/>
                      <w:highlight w:val="none"/>
                      <w:lang w:val="en-US" w:eastAsia="zh-CN"/>
                    </w:rPr>
                    <w:t>0.0043</w:t>
                  </w:r>
                </w:p>
              </w:tc>
              <w:tc>
                <w:tcPr>
                  <w:tcW w:w="705" w:type="pct"/>
                  <w:gridSpan w:val="2"/>
                  <w:tcBorders>
                    <w:tl2br w:val="nil"/>
                    <w:tr2bl w:val="nil"/>
                  </w:tcBorders>
                  <w:shd w:val="clear" w:color="auto" w:fill="auto"/>
                  <w:noWrap w:val="0"/>
                  <w:vAlign w:val="center"/>
                </w:tcPr>
                <w:p w14:paraId="4AB8D7DC">
                  <w:pPr>
                    <w:shd w:val="clear" w:color="auto" w:fill="auto"/>
                    <w:adjustRightInd w:val="0"/>
                    <w:snapToGrid w:val="0"/>
                    <w:jc w:val="center"/>
                    <w:rPr>
                      <w:rFonts w:hint="default"/>
                      <w:color w:val="000000"/>
                      <w:sz w:val="21"/>
                      <w:szCs w:val="21"/>
                      <w:highlight w:val="none"/>
                      <w:lang w:val="en-US" w:eastAsia="zh-CN"/>
                    </w:rPr>
                  </w:pPr>
                  <w:r>
                    <w:rPr>
                      <w:rFonts w:hint="eastAsia" w:ascii="Times New Roman" w:hAnsi="Times New Roman" w:eastAsia="宋体" w:cs="Times New Roman"/>
                      <w:color w:val="000000"/>
                      <w:highlight w:val="none"/>
                      <w:lang w:val="en-US" w:eastAsia="zh-CN"/>
                    </w:rPr>
                    <w:t>0.0134</w:t>
                  </w:r>
                </w:p>
              </w:tc>
              <w:tc>
                <w:tcPr>
                  <w:tcW w:w="682" w:type="pct"/>
                  <w:tcBorders>
                    <w:tl2br w:val="nil"/>
                    <w:tr2bl w:val="nil"/>
                  </w:tcBorders>
                  <w:shd w:val="clear" w:color="auto" w:fill="auto"/>
                  <w:noWrap w:val="0"/>
                  <w:vAlign w:val="center"/>
                </w:tcPr>
                <w:p w14:paraId="3701C3F6">
                  <w:pPr>
                    <w:shd w:val="clear" w:color="auto" w:fill="auto"/>
                    <w:adjustRightInd w:val="0"/>
                    <w:snapToGrid w:val="0"/>
                    <w:jc w:val="center"/>
                    <w:rPr>
                      <w:rFonts w:hint="default"/>
                      <w:color w:val="000000"/>
                      <w:sz w:val="21"/>
                      <w:szCs w:val="21"/>
                      <w:highlight w:val="none"/>
                      <w:lang w:val="en-US" w:eastAsia="zh-CN"/>
                    </w:rPr>
                  </w:pPr>
                  <w:r>
                    <w:rPr>
                      <w:rFonts w:hint="eastAsia" w:ascii="Times New Roman" w:hAnsi="Times New Roman" w:cs="Times New Roman"/>
                      <w:color w:val="000000"/>
                      <w:highlight w:val="none"/>
                      <w:lang w:val="en-US" w:eastAsia="zh-CN"/>
                    </w:rPr>
                    <w:t>0.102</w:t>
                  </w:r>
                </w:p>
              </w:tc>
              <w:tc>
                <w:tcPr>
                  <w:tcW w:w="589" w:type="pct"/>
                  <w:gridSpan w:val="2"/>
                  <w:tcBorders>
                    <w:tl2br w:val="nil"/>
                    <w:tr2bl w:val="nil"/>
                  </w:tcBorders>
                  <w:shd w:val="clear" w:color="auto" w:fill="auto"/>
                  <w:noWrap w:val="0"/>
                  <w:vAlign w:val="center"/>
                </w:tcPr>
                <w:p w14:paraId="30CC5109">
                  <w:pPr>
                    <w:shd w:val="clear" w:color="auto" w:fill="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0.1649</w:t>
                  </w:r>
                </w:p>
              </w:tc>
              <w:tc>
                <w:tcPr>
                  <w:tcW w:w="613" w:type="pct"/>
                  <w:tcBorders>
                    <w:tl2br w:val="nil"/>
                    <w:tr2bl w:val="nil"/>
                  </w:tcBorders>
                  <w:shd w:val="clear" w:color="auto" w:fill="auto"/>
                  <w:noWrap w:val="0"/>
                  <w:vAlign w:val="center"/>
                </w:tcPr>
                <w:p w14:paraId="57978624">
                  <w:pPr>
                    <w:shd w:val="clear" w:color="auto" w:fill="auto"/>
                    <w:adjustRightInd w:val="0"/>
                    <w:snapToGrid w:val="0"/>
                    <w:jc w:val="center"/>
                    <w:rPr>
                      <w:rFonts w:hint="default"/>
                      <w:color w:val="000000"/>
                      <w:sz w:val="21"/>
                      <w:szCs w:val="21"/>
                      <w:highlight w:val="none"/>
                      <w:lang w:val="en-US" w:eastAsia="zh-CN"/>
                    </w:rPr>
                  </w:pPr>
                  <w:r>
                    <w:rPr>
                      <w:rFonts w:hint="eastAsia" w:ascii="Times New Roman" w:hAnsi="Times New Roman" w:eastAsia="宋体" w:cs="Times New Roman"/>
                      <w:color w:val="000000"/>
                      <w:szCs w:val="21"/>
                      <w:highlight w:val="none"/>
                      <w:lang w:val="en-US" w:eastAsia="zh-CN"/>
                    </w:rPr>
                    <w:t>0.0064</w:t>
                  </w:r>
                </w:p>
              </w:tc>
            </w:tr>
            <w:tr w14:paraId="7566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38" w:type="pct"/>
                  <w:gridSpan w:val="2"/>
                  <w:tcBorders>
                    <w:tl2br w:val="nil"/>
                    <w:tr2bl w:val="nil"/>
                  </w:tcBorders>
                  <w:shd w:val="clear" w:color="auto" w:fill="auto"/>
                  <w:noWrap w:val="0"/>
                  <w:vAlign w:val="center"/>
                </w:tcPr>
                <w:p w14:paraId="4019F678">
                  <w:pPr>
                    <w:shd w:val="clear" w:color="auto" w:fill="auto"/>
                    <w:adjustRightInd w:val="0"/>
                    <w:snapToGrid w:val="0"/>
                    <w:jc w:val="center"/>
                    <w:rPr>
                      <w:rFonts w:hint="default" w:eastAsia="宋体"/>
                      <w:color w:val="000000"/>
                      <w:sz w:val="21"/>
                      <w:szCs w:val="21"/>
                      <w:highlight w:val="none"/>
                      <w:lang w:val="en-US" w:eastAsia="zh-CN"/>
                    </w:rPr>
                  </w:pPr>
                  <w:r>
                    <w:rPr>
                      <w:color w:val="000000"/>
                      <w:sz w:val="21"/>
                      <w:szCs w:val="21"/>
                      <w:highlight w:val="none"/>
                    </w:rPr>
                    <w:t>污染物</w:t>
                  </w:r>
                  <w:r>
                    <w:rPr>
                      <w:rFonts w:hint="eastAsia"/>
                      <w:color w:val="000000"/>
                      <w:sz w:val="21"/>
                      <w:szCs w:val="21"/>
                      <w:highlight w:val="none"/>
                      <w:lang w:val="en-US" w:eastAsia="zh-CN"/>
                    </w:rPr>
                    <w:t>产生速率</w:t>
                  </w:r>
                  <w:r>
                    <w:rPr>
                      <w:color w:val="000000"/>
                      <w:sz w:val="21"/>
                      <w:szCs w:val="21"/>
                      <w:highlight w:val="none"/>
                    </w:rPr>
                    <w:t>（kg/h）</w:t>
                  </w:r>
                </w:p>
              </w:tc>
              <w:tc>
                <w:tcPr>
                  <w:tcW w:w="456" w:type="pct"/>
                  <w:gridSpan w:val="2"/>
                  <w:tcBorders>
                    <w:tl2br w:val="nil"/>
                    <w:tr2bl w:val="nil"/>
                  </w:tcBorders>
                  <w:shd w:val="clear" w:color="auto" w:fill="auto"/>
                  <w:noWrap w:val="0"/>
                  <w:vAlign w:val="center"/>
                </w:tcPr>
                <w:p w14:paraId="02C076AA">
                  <w:pPr>
                    <w:shd w:val="clear" w:color="auto" w:fill="auto"/>
                    <w:adjustRightInd w:val="0"/>
                    <w:snapToGrid w:val="0"/>
                    <w:jc w:val="center"/>
                    <w:rPr>
                      <w:rFonts w:hint="default"/>
                      <w:color w:val="000000"/>
                      <w:sz w:val="21"/>
                      <w:szCs w:val="21"/>
                      <w:highlight w:val="none"/>
                      <w:lang w:val="en-US"/>
                    </w:rPr>
                  </w:pPr>
                  <w:r>
                    <w:rPr>
                      <w:rFonts w:hint="eastAsia" w:ascii="Times New Roman" w:hAnsi="Times New Roman" w:eastAsia="宋体" w:cs="Times New Roman"/>
                      <w:b w:val="0"/>
                      <w:bCs w:val="0"/>
                      <w:color w:val="000000"/>
                      <w:kern w:val="2"/>
                      <w:sz w:val="21"/>
                      <w:szCs w:val="21"/>
                      <w:highlight w:val="none"/>
                      <w:lang w:val="en-US" w:eastAsia="zh-CN" w:bidi="ar-SA"/>
                    </w:rPr>
                    <w:t>2.83</w:t>
                  </w:r>
                </w:p>
              </w:tc>
              <w:tc>
                <w:tcPr>
                  <w:tcW w:w="470" w:type="pct"/>
                  <w:tcBorders>
                    <w:tl2br w:val="nil"/>
                    <w:tr2bl w:val="nil"/>
                  </w:tcBorders>
                  <w:shd w:val="clear" w:color="auto" w:fill="auto"/>
                  <w:noWrap w:val="0"/>
                  <w:vAlign w:val="center"/>
                </w:tcPr>
                <w:p w14:paraId="16011D96">
                  <w:pPr>
                    <w:shd w:val="clear" w:color="auto" w:fill="auto"/>
                    <w:adjustRightInd w:val="0"/>
                    <w:snapToGrid w:val="0"/>
                    <w:jc w:val="center"/>
                    <w:rPr>
                      <w:rFonts w:hint="default"/>
                      <w:color w:val="000000"/>
                      <w:sz w:val="21"/>
                      <w:szCs w:val="21"/>
                      <w:highlight w:val="none"/>
                      <w:lang w:val="en-US"/>
                    </w:rPr>
                  </w:pPr>
                  <w:r>
                    <w:rPr>
                      <w:rFonts w:hint="eastAsia" w:ascii="Times New Roman" w:hAnsi="Times New Roman" w:eastAsia="宋体" w:cs="Times New Roman"/>
                      <w:b w:val="0"/>
                      <w:bCs w:val="0"/>
                      <w:color w:val="000000"/>
                      <w:kern w:val="2"/>
                      <w:sz w:val="21"/>
                      <w:szCs w:val="21"/>
                      <w:highlight w:val="none"/>
                      <w:lang w:val="en-US" w:eastAsia="zh-CN" w:bidi="ar-SA"/>
                    </w:rPr>
                    <w:t>1.1</w:t>
                  </w:r>
                </w:p>
              </w:tc>
              <w:tc>
                <w:tcPr>
                  <w:tcW w:w="545" w:type="pct"/>
                  <w:gridSpan w:val="2"/>
                  <w:tcBorders>
                    <w:tl2br w:val="nil"/>
                    <w:tr2bl w:val="nil"/>
                  </w:tcBorders>
                  <w:shd w:val="clear" w:color="auto" w:fill="auto"/>
                  <w:noWrap w:val="0"/>
                  <w:vAlign w:val="center"/>
                </w:tcPr>
                <w:p w14:paraId="79262363">
                  <w:pPr>
                    <w:shd w:val="clear" w:color="auto" w:fill="auto"/>
                    <w:adjustRightInd w:val="0"/>
                    <w:snapToGrid w:val="0"/>
                    <w:jc w:val="center"/>
                    <w:rPr>
                      <w:rFonts w:hint="default"/>
                      <w:color w:val="000000"/>
                      <w:sz w:val="21"/>
                      <w:szCs w:val="21"/>
                      <w:highlight w:val="none"/>
                      <w:lang w:val="en-US" w:eastAsia="zh-CN"/>
                    </w:rPr>
                  </w:pPr>
                  <w:r>
                    <w:rPr>
                      <w:rFonts w:hint="default" w:ascii="Times New Roman" w:hAnsi="Times New Roman" w:cs="Times New Roman"/>
                      <w:color w:val="000000"/>
                      <w:highlight w:val="none"/>
                      <w:lang w:val="en-US" w:eastAsia="zh-CN"/>
                    </w:rPr>
                    <w:t>0.00</w:t>
                  </w:r>
                  <w:r>
                    <w:rPr>
                      <w:rFonts w:hint="eastAsia" w:ascii="Times New Roman" w:hAnsi="Times New Roman" w:cs="Times New Roman"/>
                      <w:color w:val="000000"/>
                      <w:highlight w:val="none"/>
                      <w:lang w:val="en-US" w:eastAsia="zh-CN"/>
                    </w:rPr>
                    <w:t>2</w:t>
                  </w:r>
                </w:p>
              </w:tc>
              <w:tc>
                <w:tcPr>
                  <w:tcW w:w="705" w:type="pct"/>
                  <w:gridSpan w:val="2"/>
                  <w:tcBorders>
                    <w:tl2br w:val="nil"/>
                    <w:tr2bl w:val="nil"/>
                  </w:tcBorders>
                  <w:shd w:val="clear" w:color="auto" w:fill="auto"/>
                  <w:noWrap w:val="0"/>
                  <w:vAlign w:val="center"/>
                </w:tcPr>
                <w:p w14:paraId="6F0F8B95">
                  <w:pPr>
                    <w:shd w:val="clear" w:color="auto" w:fill="auto"/>
                    <w:adjustRightInd w:val="0"/>
                    <w:snapToGrid w:val="0"/>
                    <w:jc w:val="center"/>
                    <w:rPr>
                      <w:rFonts w:hint="default"/>
                      <w:color w:val="000000"/>
                      <w:sz w:val="21"/>
                      <w:szCs w:val="21"/>
                      <w:highlight w:val="none"/>
                      <w:lang w:val="en-US" w:eastAsia="zh-CN"/>
                    </w:rPr>
                  </w:pPr>
                  <w:r>
                    <w:rPr>
                      <w:rFonts w:hint="eastAsia" w:ascii="Times New Roman" w:hAnsi="Times New Roman" w:eastAsia="宋体" w:cs="Times New Roman"/>
                      <w:color w:val="000000"/>
                      <w:highlight w:val="none"/>
                      <w:lang w:val="en-US" w:eastAsia="zh-CN"/>
                    </w:rPr>
                    <w:t>0.0032</w:t>
                  </w:r>
                </w:p>
              </w:tc>
              <w:tc>
                <w:tcPr>
                  <w:tcW w:w="682" w:type="pct"/>
                  <w:tcBorders>
                    <w:tl2br w:val="nil"/>
                    <w:tr2bl w:val="nil"/>
                  </w:tcBorders>
                  <w:shd w:val="clear" w:color="auto" w:fill="auto"/>
                  <w:noWrap w:val="0"/>
                  <w:vAlign w:val="center"/>
                </w:tcPr>
                <w:p w14:paraId="7353BA38">
                  <w:pPr>
                    <w:shd w:val="clear" w:color="auto" w:fill="auto"/>
                    <w:adjustRightInd w:val="0"/>
                    <w:snapToGrid w:val="0"/>
                    <w:jc w:val="center"/>
                    <w:rPr>
                      <w:rFonts w:hint="default"/>
                      <w:color w:val="000000"/>
                      <w:sz w:val="21"/>
                      <w:szCs w:val="21"/>
                      <w:highlight w:val="none"/>
                      <w:lang w:val="en-US" w:eastAsia="zh-CN"/>
                    </w:rPr>
                  </w:pPr>
                  <w:r>
                    <w:rPr>
                      <w:rFonts w:hint="eastAsia" w:ascii="Times New Roman" w:hAnsi="Times New Roman" w:cs="Times New Roman"/>
                      <w:color w:val="000000"/>
                      <w:highlight w:val="none"/>
                      <w:lang w:val="en-US" w:eastAsia="zh-CN"/>
                    </w:rPr>
                    <w:t>0.049</w:t>
                  </w:r>
                </w:p>
              </w:tc>
              <w:tc>
                <w:tcPr>
                  <w:tcW w:w="589" w:type="pct"/>
                  <w:gridSpan w:val="2"/>
                  <w:tcBorders>
                    <w:tl2br w:val="nil"/>
                    <w:tr2bl w:val="nil"/>
                  </w:tcBorders>
                  <w:shd w:val="clear" w:color="auto" w:fill="auto"/>
                  <w:noWrap w:val="0"/>
                  <w:vAlign w:val="center"/>
                </w:tcPr>
                <w:p w14:paraId="531B2677">
                  <w:pPr>
                    <w:shd w:val="clear" w:color="auto" w:fill="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0.023</w:t>
                  </w:r>
                </w:p>
              </w:tc>
              <w:tc>
                <w:tcPr>
                  <w:tcW w:w="613" w:type="pct"/>
                  <w:tcBorders>
                    <w:tl2br w:val="nil"/>
                    <w:tr2bl w:val="nil"/>
                  </w:tcBorders>
                  <w:shd w:val="clear" w:color="auto" w:fill="auto"/>
                  <w:noWrap w:val="0"/>
                  <w:vAlign w:val="center"/>
                </w:tcPr>
                <w:p w14:paraId="5561BDFB">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0.0009</w:t>
                  </w:r>
                </w:p>
              </w:tc>
            </w:tr>
            <w:tr w14:paraId="11C32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38" w:type="pct"/>
                  <w:gridSpan w:val="2"/>
                  <w:tcBorders>
                    <w:tl2br w:val="nil"/>
                    <w:tr2bl w:val="nil"/>
                  </w:tcBorders>
                  <w:shd w:val="clear" w:color="auto" w:fill="auto"/>
                  <w:noWrap w:val="0"/>
                  <w:vAlign w:val="center"/>
                </w:tcPr>
                <w:p w14:paraId="731C604F">
                  <w:pPr>
                    <w:shd w:val="clear" w:color="auto" w:fill="auto"/>
                    <w:adjustRightInd w:val="0"/>
                    <w:snapToGrid w:val="0"/>
                    <w:jc w:val="center"/>
                    <w:rPr>
                      <w:rFonts w:hint="default" w:eastAsia="宋体"/>
                      <w:color w:val="000000"/>
                      <w:sz w:val="21"/>
                      <w:szCs w:val="21"/>
                      <w:highlight w:val="none"/>
                      <w:lang w:val="en-US" w:eastAsia="zh-CN"/>
                    </w:rPr>
                  </w:pPr>
                  <w:r>
                    <w:rPr>
                      <w:color w:val="000000"/>
                      <w:sz w:val="21"/>
                      <w:szCs w:val="21"/>
                      <w:highlight w:val="none"/>
                    </w:rPr>
                    <w:t>污染物</w:t>
                  </w:r>
                  <w:r>
                    <w:rPr>
                      <w:rFonts w:hint="eastAsia"/>
                      <w:color w:val="000000"/>
                      <w:sz w:val="21"/>
                      <w:szCs w:val="21"/>
                      <w:highlight w:val="none"/>
                      <w:lang w:val="en-US" w:eastAsia="zh-CN"/>
                    </w:rPr>
                    <w:t>产生浓度（mg/m³）</w:t>
                  </w:r>
                </w:p>
              </w:tc>
              <w:tc>
                <w:tcPr>
                  <w:tcW w:w="456" w:type="pct"/>
                  <w:gridSpan w:val="2"/>
                  <w:tcBorders>
                    <w:tl2br w:val="nil"/>
                    <w:tr2bl w:val="nil"/>
                  </w:tcBorders>
                  <w:shd w:val="clear" w:color="auto" w:fill="auto"/>
                  <w:noWrap w:val="0"/>
                  <w:vAlign w:val="center"/>
                </w:tcPr>
                <w:p w14:paraId="7F39E2BB">
                  <w:pPr>
                    <w:shd w:val="clear" w:color="auto" w:fill="auto"/>
                    <w:adjustRightInd w:val="0"/>
                    <w:snapToGrid w:val="0"/>
                    <w:jc w:val="center"/>
                    <w:rPr>
                      <w:rFonts w:hint="default"/>
                      <w:color w:val="000000"/>
                      <w:sz w:val="21"/>
                      <w:szCs w:val="21"/>
                      <w:highlight w:val="no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566</w:t>
                  </w:r>
                </w:p>
              </w:tc>
              <w:tc>
                <w:tcPr>
                  <w:tcW w:w="470" w:type="pct"/>
                  <w:tcBorders>
                    <w:tl2br w:val="nil"/>
                    <w:tr2bl w:val="nil"/>
                  </w:tcBorders>
                  <w:shd w:val="clear" w:color="auto" w:fill="auto"/>
                  <w:noWrap w:val="0"/>
                  <w:vAlign w:val="center"/>
                </w:tcPr>
                <w:p w14:paraId="666C8574">
                  <w:pPr>
                    <w:shd w:val="clear" w:color="auto" w:fill="auto"/>
                    <w:adjustRightInd w:val="0"/>
                    <w:snapToGrid w:val="0"/>
                    <w:jc w:val="center"/>
                    <w:rPr>
                      <w:rFonts w:hint="default"/>
                      <w:color w:val="000000"/>
                      <w:sz w:val="21"/>
                      <w:szCs w:val="21"/>
                      <w:highlight w:val="no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220</w:t>
                  </w:r>
                </w:p>
              </w:tc>
              <w:tc>
                <w:tcPr>
                  <w:tcW w:w="545" w:type="pct"/>
                  <w:gridSpan w:val="2"/>
                  <w:tcBorders>
                    <w:tl2br w:val="nil"/>
                    <w:tr2bl w:val="nil"/>
                  </w:tcBorders>
                  <w:shd w:val="clear" w:color="auto" w:fill="auto"/>
                  <w:noWrap w:val="0"/>
                  <w:vAlign w:val="center"/>
                </w:tcPr>
                <w:p w14:paraId="1FD8E699">
                  <w:pPr>
                    <w:shd w:val="clear" w:color="auto" w:fill="auto"/>
                    <w:adjustRightInd w:val="0"/>
                    <w:snapToGrid w:val="0"/>
                    <w:jc w:val="center"/>
                    <w:rPr>
                      <w:rFonts w:hint="default"/>
                      <w:color w:val="000000"/>
                      <w:sz w:val="21"/>
                      <w:szCs w:val="21"/>
                      <w:highlight w:val="yellow"/>
                      <w:lang w:val="en-US" w:eastAsia="zh-CN"/>
                    </w:rPr>
                  </w:pPr>
                  <w:r>
                    <w:rPr>
                      <w:rFonts w:hint="default" w:ascii="Times New Roman" w:hAnsi="Times New Roman" w:cs="Times New Roman"/>
                      <w:color w:val="000000"/>
                      <w:highlight w:val="none"/>
                      <w:lang w:val="en-US" w:eastAsia="zh-CN"/>
                    </w:rPr>
                    <w:t>1.2</w:t>
                  </w:r>
                </w:p>
              </w:tc>
              <w:tc>
                <w:tcPr>
                  <w:tcW w:w="705" w:type="pct"/>
                  <w:gridSpan w:val="2"/>
                  <w:tcBorders>
                    <w:tl2br w:val="nil"/>
                    <w:tr2bl w:val="nil"/>
                  </w:tcBorders>
                  <w:shd w:val="clear" w:color="auto" w:fill="auto"/>
                  <w:noWrap w:val="0"/>
                  <w:vAlign w:val="center"/>
                </w:tcPr>
                <w:p w14:paraId="32FA6585">
                  <w:pPr>
                    <w:shd w:val="clear" w:color="auto" w:fill="auto"/>
                    <w:adjustRightInd w:val="0"/>
                    <w:snapToGrid w:val="0"/>
                    <w:jc w:val="center"/>
                    <w:rPr>
                      <w:rFonts w:hint="default"/>
                      <w:color w:val="000000"/>
                      <w:sz w:val="21"/>
                      <w:szCs w:val="21"/>
                      <w:highlight w:val="yellow"/>
                      <w:lang w:val="en-US" w:eastAsia="zh-CN"/>
                    </w:rPr>
                  </w:pPr>
                  <w:r>
                    <w:rPr>
                      <w:rFonts w:hint="default" w:ascii="Times New Roman" w:hAnsi="Times New Roman" w:eastAsia="宋体" w:cs="Times New Roman"/>
                      <w:color w:val="000000"/>
                      <w:highlight w:val="none"/>
                      <w:lang w:val="en-US" w:eastAsia="zh-CN"/>
                    </w:rPr>
                    <w:t>3.7</w:t>
                  </w:r>
                </w:p>
              </w:tc>
              <w:tc>
                <w:tcPr>
                  <w:tcW w:w="682" w:type="pct"/>
                  <w:tcBorders>
                    <w:tl2br w:val="nil"/>
                    <w:tr2bl w:val="nil"/>
                  </w:tcBorders>
                  <w:shd w:val="clear" w:color="auto" w:fill="auto"/>
                  <w:noWrap w:val="0"/>
                  <w:vAlign w:val="center"/>
                </w:tcPr>
                <w:p w14:paraId="58B92612">
                  <w:pPr>
                    <w:shd w:val="clear" w:color="auto" w:fill="auto"/>
                    <w:adjustRightInd w:val="0"/>
                    <w:snapToGrid w:val="0"/>
                    <w:jc w:val="center"/>
                    <w:rPr>
                      <w:rFonts w:hint="default"/>
                      <w:color w:val="000000"/>
                      <w:sz w:val="21"/>
                      <w:szCs w:val="21"/>
                      <w:highlight w:val="yellow"/>
                      <w:lang w:val="en-US" w:eastAsia="zh-CN"/>
                    </w:rPr>
                  </w:pPr>
                  <w:r>
                    <w:rPr>
                      <w:rFonts w:hint="default" w:ascii="Times New Roman" w:hAnsi="Times New Roman" w:cs="Times New Roman"/>
                      <w:color w:val="000000"/>
                      <w:highlight w:val="none"/>
                      <w:lang w:val="en-US" w:eastAsia="zh-CN"/>
                    </w:rPr>
                    <w:t>28.</w:t>
                  </w:r>
                  <w:r>
                    <w:rPr>
                      <w:rFonts w:hint="eastAsia" w:ascii="Times New Roman" w:hAnsi="Times New Roman" w:cs="Times New Roman"/>
                      <w:color w:val="000000"/>
                      <w:highlight w:val="none"/>
                      <w:lang w:val="en-US" w:eastAsia="zh-CN"/>
                    </w:rPr>
                    <w:t>17</w:t>
                  </w:r>
                </w:p>
              </w:tc>
              <w:tc>
                <w:tcPr>
                  <w:tcW w:w="589" w:type="pct"/>
                  <w:gridSpan w:val="2"/>
                  <w:tcBorders>
                    <w:tl2br w:val="nil"/>
                    <w:tr2bl w:val="nil"/>
                  </w:tcBorders>
                  <w:shd w:val="clear" w:color="auto" w:fill="auto"/>
                  <w:noWrap w:val="0"/>
                  <w:vAlign w:val="center"/>
                </w:tcPr>
                <w:p w14:paraId="0182C12D">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4.6</w:t>
                  </w:r>
                </w:p>
              </w:tc>
              <w:tc>
                <w:tcPr>
                  <w:tcW w:w="613" w:type="pct"/>
                  <w:tcBorders>
                    <w:tl2br w:val="nil"/>
                    <w:tr2bl w:val="nil"/>
                  </w:tcBorders>
                  <w:shd w:val="clear" w:color="auto" w:fill="auto"/>
                  <w:noWrap w:val="0"/>
                  <w:vAlign w:val="center"/>
                </w:tcPr>
                <w:p w14:paraId="79B84240">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0.18</w:t>
                  </w:r>
                </w:p>
              </w:tc>
            </w:tr>
            <w:tr w14:paraId="11577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38" w:type="pct"/>
                  <w:gridSpan w:val="2"/>
                  <w:tcBorders>
                    <w:tl2br w:val="nil"/>
                    <w:tr2bl w:val="nil"/>
                  </w:tcBorders>
                  <w:shd w:val="clear" w:color="auto" w:fill="auto"/>
                  <w:noWrap w:val="0"/>
                  <w:vAlign w:val="center"/>
                </w:tcPr>
                <w:p w14:paraId="5EC97D18">
                  <w:pPr>
                    <w:shd w:val="clear" w:color="auto" w:fill="auto"/>
                    <w:adjustRightInd w:val="0"/>
                    <w:snapToGrid w:val="0"/>
                    <w:jc w:val="center"/>
                    <w:rPr>
                      <w:color w:val="000000"/>
                      <w:sz w:val="21"/>
                      <w:szCs w:val="21"/>
                      <w:highlight w:val="none"/>
                    </w:rPr>
                  </w:pPr>
                  <w:r>
                    <w:rPr>
                      <w:color w:val="000000"/>
                      <w:sz w:val="21"/>
                      <w:szCs w:val="21"/>
                      <w:highlight w:val="none"/>
                    </w:rPr>
                    <w:t>排放形式</w:t>
                  </w:r>
                </w:p>
              </w:tc>
              <w:tc>
                <w:tcPr>
                  <w:tcW w:w="927" w:type="pct"/>
                  <w:gridSpan w:val="3"/>
                  <w:tcBorders>
                    <w:tl2br w:val="nil"/>
                    <w:tr2bl w:val="nil"/>
                  </w:tcBorders>
                  <w:shd w:val="clear" w:color="auto" w:fill="auto"/>
                  <w:noWrap w:val="0"/>
                  <w:vAlign w:val="center"/>
                </w:tcPr>
                <w:p w14:paraId="0C569EEE">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有</w:t>
                  </w:r>
                  <w:r>
                    <w:rPr>
                      <w:color w:val="000000"/>
                      <w:sz w:val="21"/>
                      <w:szCs w:val="21"/>
                      <w:highlight w:val="none"/>
                    </w:rPr>
                    <w:t>组织</w:t>
                  </w:r>
                </w:p>
              </w:tc>
              <w:tc>
                <w:tcPr>
                  <w:tcW w:w="1932" w:type="pct"/>
                  <w:gridSpan w:val="5"/>
                  <w:tcBorders>
                    <w:tl2br w:val="nil"/>
                    <w:tr2bl w:val="nil"/>
                  </w:tcBorders>
                  <w:shd w:val="clear" w:color="auto" w:fill="auto"/>
                  <w:noWrap w:val="0"/>
                  <w:vAlign w:val="center"/>
                </w:tcPr>
                <w:p w14:paraId="6AC272E4">
                  <w:pPr>
                    <w:shd w:val="clear" w:color="auto" w:fill="auto"/>
                    <w:adjustRightInd w:val="0"/>
                    <w:snapToGrid w:val="0"/>
                    <w:jc w:val="center"/>
                    <w:rPr>
                      <w:rFonts w:hint="eastAsia"/>
                      <w:color w:val="000000"/>
                      <w:kern w:val="2"/>
                      <w:sz w:val="21"/>
                      <w:szCs w:val="21"/>
                      <w:highlight w:val="none"/>
                      <w:lang w:val="en-US" w:eastAsia="zh-CN" w:bidi="ar-SA"/>
                    </w:rPr>
                  </w:pPr>
                  <w:r>
                    <w:rPr>
                      <w:rFonts w:hint="eastAsia"/>
                      <w:color w:val="000000"/>
                      <w:sz w:val="21"/>
                      <w:szCs w:val="21"/>
                      <w:highlight w:val="none"/>
                      <w:lang w:val="en-US" w:eastAsia="zh-CN"/>
                    </w:rPr>
                    <w:t>有</w:t>
                  </w:r>
                  <w:r>
                    <w:rPr>
                      <w:color w:val="000000"/>
                      <w:sz w:val="21"/>
                      <w:szCs w:val="21"/>
                      <w:highlight w:val="none"/>
                    </w:rPr>
                    <w:t>组织</w:t>
                  </w:r>
                </w:p>
              </w:tc>
              <w:tc>
                <w:tcPr>
                  <w:tcW w:w="1202" w:type="pct"/>
                  <w:gridSpan w:val="3"/>
                  <w:tcBorders>
                    <w:tl2br w:val="nil"/>
                    <w:tr2bl w:val="nil"/>
                  </w:tcBorders>
                  <w:shd w:val="clear" w:color="auto" w:fill="auto"/>
                  <w:noWrap w:val="0"/>
                  <w:vAlign w:val="center"/>
                </w:tcPr>
                <w:p w14:paraId="768C0717">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有组织</w:t>
                  </w:r>
                </w:p>
              </w:tc>
            </w:tr>
            <w:tr w14:paraId="312F7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247" w:type="pct"/>
                  <w:vMerge w:val="restart"/>
                  <w:tcBorders>
                    <w:tl2br w:val="nil"/>
                    <w:tr2bl w:val="nil"/>
                  </w:tcBorders>
                  <w:shd w:val="clear" w:color="auto" w:fill="auto"/>
                  <w:noWrap w:val="0"/>
                  <w:vAlign w:val="center"/>
                </w:tcPr>
                <w:p w14:paraId="4FAA27DE">
                  <w:pPr>
                    <w:shd w:val="clear" w:color="auto" w:fill="auto"/>
                    <w:adjustRightInd w:val="0"/>
                    <w:snapToGrid w:val="0"/>
                    <w:jc w:val="center"/>
                    <w:rPr>
                      <w:color w:val="000000"/>
                      <w:sz w:val="21"/>
                      <w:szCs w:val="21"/>
                      <w:highlight w:val="none"/>
                    </w:rPr>
                  </w:pPr>
                  <w:r>
                    <w:rPr>
                      <w:color w:val="000000"/>
                      <w:sz w:val="21"/>
                      <w:szCs w:val="21"/>
                      <w:highlight w:val="none"/>
                    </w:rPr>
                    <w:t>治理设施</w:t>
                  </w:r>
                </w:p>
              </w:tc>
              <w:tc>
                <w:tcPr>
                  <w:tcW w:w="690" w:type="pct"/>
                  <w:tcBorders>
                    <w:tl2br w:val="nil"/>
                    <w:tr2bl w:val="nil"/>
                  </w:tcBorders>
                  <w:shd w:val="clear" w:color="auto" w:fill="auto"/>
                  <w:noWrap w:val="0"/>
                  <w:vAlign w:val="center"/>
                </w:tcPr>
                <w:p w14:paraId="1ECFD989">
                  <w:pPr>
                    <w:shd w:val="clear" w:color="auto" w:fill="auto"/>
                    <w:adjustRightInd w:val="0"/>
                    <w:snapToGrid w:val="0"/>
                    <w:jc w:val="center"/>
                    <w:rPr>
                      <w:color w:val="000000"/>
                      <w:sz w:val="21"/>
                      <w:szCs w:val="21"/>
                      <w:highlight w:val="none"/>
                    </w:rPr>
                  </w:pPr>
                  <w:r>
                    <w:rPr>
                      <w:color w:val="000000"/>
                      <w:sz w:val="21"/>
                      <w:szCs w:val="21"/>
                      <w:highlight w:val="none"/>
                    </w:rPr>
                    <w:t>处理</w:t>
                  </w:r>
                  <w:r>
                    <w:rPr>
                      <w:rFonts w:hint="eastAsia"/>
                      <w:color w:val="000000"/>
                      <w:sz w:val="21"/>
                      <w:szCs w:val="21"/>
                      <w:highlight w:val="none"/>
                    </w:rPr>
                    <w:t>设施</w:t>
                  </w:r>
                </w:p>
              </w:tc>
              <w:tc>
                <w:tcPr>
                  <w:tcW w:w="927" w:type="pct"/>
                  <w:gridSpan w:val="3"/>
                  <w:tcBorders>
                    <w:tl2br w:val="nil"/>
                    <w:tr2bl w:val="nil"/>
                  </w:tcBorders>
                  <w:shd w:val="clear" w:color="auto" w:fill="auto"/>
                  <w:noWrap w:val="0"/>
                  <w:vAlign w:val="center"/>
                </w:tcPr>
                <w:p w14:paraId="2A6F7ECD">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布袋除尘器</w:t>
                  </w:r>
                </w:p>
              </w:tc>
              <w:tc>
                <w:tcPr>
                  <w:tcW w:w="1932" w:type="pct"/>
                  <w:gridSpan w:val="5"/>
                  <w:tcBorders>
                    <w:tl2br w:val="nil"/>
                    <w:tr2bl w:val="nil"/>
                  </w:tcBorders>
                  <w:shd w:val="clear" w:color="auto" w:fill="auto"/>
                  <w:noWrap w:val="0"/>
                  <w:vAlign w:val="center"/>
                </w:tcPr>
                <w:p w14:paraId="36CCEE93">
                  <w:pPr>
                    <w:shd w:val="clear" w:color="auto" w:fill="auto"/>
                    <w:adjustRightInd w:val="0"/>
                    <w:snapToGrid w:val="0"/>
                    <w:jc w:val="center"/>
                    <w:rPr>
                      <w:rFonts w:hint="default"/>
                      <w:color w:val="000000"/>
                      <w:sz w:val="21"/>
                      <w:szCs w:val="21"/>
                      <w:highlight w:val="none"/>
                      <w:lang w:val="en-US" w:eastAsia="zh-CN"/>
                    </w:rPr>
                  </w:pPr>
                  <w:r>
                    <w:rPr>
                      <w:rFonts w:hint="eastAsia" w:ascii="Times New Roman" w:hAnsi="Times New Roman" w:cs="Times New Roman"/>
                      <w:color w:val="000000"/>
                      <w:highlight w:val="none"/>
                      <w:lang w:val="en-US" w:eastAsia="zh-CN"/>
                    </w:rPr>
                    <w:t>低氮燃烧器</w:t>
                  </w:r>
                </w:p>
              </w:tc>
              <w:tc>
                <w:tcPr>
                  <w:tcW w:w="1202" w:type="pct"/>
                  <w:gridSpan w:val="3"/>
                  <w:tcBorders>
                    <w:tl2br w:val="nil"/>
                    <w:tr2bl w:val="nil"/>
                  </w:tcBorders>
                  <w:shd w:val="clear" w:color="auto" w:fill="auto"/>
                  <w:noWrap w:val="0"/>
                  <w:vAlign w:val="center"/>
                </w:tcPr>
                <w:p w14:paraId="45BC0361">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活性炭箱</w:t>
                  </w:r>
                </w:p>
              </w:tc>
            </w:tr>
            <w:tr w14:paraId="285DC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noWrap w:val="0"/>
                  <w:vAlign w:val="center"/>
                </w:tcPr>
                <w:p w14:paraId="6D635942">
                  <w:pPr>
                    <w:shd w:val="clear" w:color="auto" w:fill="auto"/>
                    <w:adjustRightInd w:val="0"/>
                    <w:snapToGrid w:val="0"/>
                    <w:jc w:val="center"/>
                    <w:rPr>
                      <w:color w:val="000000"/>
                      <w:sz w:val="21"/>
                      <w:szCs w:val="21"/>
                      <w:highlight w:val="none"/>
                    </w:rPr>
                  </w:pPr>
                </w:p>
              </w:tc>
              <w:tc>
                <w:tcPr>
                  <w:tcW w:w="690" w:type="pct"/>
                  <w:tcBorders>
                    <w:tl2br w:val="nil"/>
                    <w:tr2bl w:val="nil"/>
                  </w:tcBorders>
                  <w:shd w:val="clear" w:color="auto" w:fill="auto"/>
                  <w:noWrap w:val="0"/>
                  <w:vAlign w:val="center"/>
                </w:tcPr>
                <w:p w14:paraId="39122694">
                  <w:pPr>
                    <w:shd w:val="clear" w:color="auto" w:fill="auto"/>
                    <w:adjustRightInd w:val="0"/>
                    <w:snapToGrid w:val="0"/>
                    <w:jc w:val="center"/>
                    <w:rPr>
                      <w:color w:val="000000"/>
                      <w:sz w:val="21"/>
                      <w:szCs w:val="21"/>
                      <w:highlight w:val="none"/>
                    </w:rPr>
                  </w:pPr>
                  <w:r>
                    <w:rPr>
                      <w:color w:val="000000"/>
                      <w:sz w:val="21"/>
                      <w:szCs w:val="21"/>
                      <w:highlight w:val="none"/>
                    </w:rPr>
                    <w:t>收集效率%</w:t>
                  </w:r>
                </w:p>
              </w:tc>
              <w:tc>
                <w:tcPr>
                  <w:tcW w:w="927" w:type="pct"/>
                  <w:gridSpan w:val="3"/>
                  <w:tcBorders>
                    <w:tl2br w:val="nil"/>
                    <w:tr2bl w:val="nil"/>
                  </w:tcBorders>
                  <w:shd w:val="clear" w:color="auto" w:fill="auto"/>
                  <w:noWrap w:val="0"/>
                  <w:vAlign w:val="center"/>
                </w:tcPr>
                <w:p w14:paraId="5A703FA6">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90%</w:t>
                  </w:r>
                </w:p>
              </w:tc>
              <w:tc>
                <w:tcPr>
                  <w:tcW w:w="3152" w:type="dxa"/>
                  <w:gridSpan w:val="5"/>
                  <w:tcBorders>
                    <w:tl2br w:val="nil"/>
                    <w:tr2bl w:val="nil"/>
                  </w:tcBorders>
                  <w:shd w:val="clear" w:color="auto" w:fill="auto"/>
                  <w:noWrap w:val="0"/>
                  <w:vAlign w:val="center"/>
                </w:tcPr>
                <w:p w14:paraId="4FC65582">
                  <w:pPr>
                    <w:shd w:val="clear" w:color="auto" w:fill="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p>
              </w:tc>
              <w:tc>
                <w:tcPr>
                  <w:tcW w:w="1202" w:type="pct"/>
                  <w:gridSpan w:val="3"/>
                  <w:tcBorders>
                    <w:tl2br w:val="nil"/>
                    <w:tr2bl w:val="nil"/>
                  </w:tcBorders>
                  <w:shd w:val="clear" w:color="auto" w:fill="auto"/>
                  <w:noWrap w:val="0"/>
                  <w:vAlign w:val="center"/>
                </w:tcPr>
                <w:p w14:paraId="48EA6CC8">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90%</w:t>
                  </w:r>
                </w:p>
              </w:tc>
            </w:tr>
            <w:tr w14:paraId="593F2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noWrap w:val="0"/>
                  <w:vAlign w:val="center"/>
                </w:tcPr>
                <w:p w14:paraId="688B43FB">
                  <w:pPr>
                    <w:shd w:val="clear" w:color="auto" w:fill="auto"/>
                    <w:adjustRightInd w:val="0"/>
                    <w:snapToGrid w:val="0"/>
                    <w:jc w:val="center"/>
                    <w:rPr>
                      <w:color w:val="000000"/>
                      <w:sz w:val="21"/>
                      <w:szCs w:val="21"/>
                      <w:highlight w:val="none"/>
                    </w:rPr>
                  </w:pPr>
                </w:p>
              </w:tc>
              <w:tc>
                <w:tcPr>
                  <w:tcW w:w="690" w:type="pct"/>
                  <w:tcBorders>
                    <w:tl2br w:val="nil"/>
                    <w:tr2bl w:val="nil"/>
                  </w:tcBorders>
                  <w:shd w:val="clear" w:color="auto" w:fill="auto"/>
                  <w:noWrap w:val="0"/>
                  <w:vAlign w:val="center"/>
                </w:tcPr>
                <w:p w14:paraId="165F59FF">
                  <w:pPr>
                    <w:shd w:val="clear" w:color="auto" w:fill="auto"/>
                    <w:adjustRightInd w:val="0"/>
                    <w:snapToGrid w:val="0"/>
                    <w:jc w:val="center"/>
                    <w:rPr>
                      <w:color w:val="000000"/>
                      <w:sz w:val="21"/>
                      <w:szCs w:val="21"/>
                      <w:highlight w:val="none"/>
                    </w:rPr>
                  </w:pPr>
                  <w:r>
                    <w:rPr>
                      <w:color w:val="000000"/>
                      <w:sz w:val="21"/>
                      <w:szCs w:val="21"/>
                      <w:highlight w:val="none"/>
                    </w:rPr>
                    <w:t>治理工艺</w:t>
                  </w:r>
                </w:p>
                <w:p w14:paraId="07BAE142">
                  <w:pPr>
                    <w:shd w:val="clear" w:color="auto" w:fill="auto"/>
                    <w:adjustRightInd w:val="0"/>
                    <w:snapToGrid w:val="0"/>
                    <w:jc w:val="center"/>
                    <w:rPr>
                      <w:color w:val="000000"/>
                      <w:sz w:val="21"/>
                      <w:szCs w:val="21"/>
                      <w:highlight w:val="none"/>
                    </w:rPr>
                  </w:pPr>
                  <w:r>
                    <w:rPr>
                      <w:color w:val="000000"/>
                      <w:sz w:val="21"/>
                      <w:szCs w:val="21"/>
                      <w:highlight w:val="none"/>
                    </w:rPr>
                    <w:t>去除率%</w:t>
                  </w:r>
                </w:p>
              </w:tc>
              <w:tc>
                <w:tcPr>
                  <w:tcW w:w="927" w:type="pct"/>
                  <w:gridSpan w:val="3"/>
                  <w:tcBorders>
                    <w:tl2br w:val="nil"/>
                    <w:tr2bl w:val="nil"/>
                  </w:tcBorders>
                  <w:shd w:val="clear" w:color="auto" w:fill="auto"/>
                  <w:noWrap w:val="0"/>
                  <w:vAlign w:val="center"/>
                </w:tcPr>
                <w:p w14:paraId="4889F1FF">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95%</w:t>
                  </w:r>
                </w:p>
              </w:tc>
              <w:tc>
                <w:tcPr>
                  <w:tcW w:w="3152" w:type="dxa"/>
                  <w:gridSpan w:val="5"/>
                  <w:tcBorders>
                    <w:tl2br w:val="nil"/>
                    <w:tr2bl w:val="nil"/>
                  </w:tcBorders>
                  <w:shd w:val="clear" w:color="auto" w:fill="auto"/>
                  <w:noWrap w:val="0"/>
                  <w:vAlign w:val="center"/>
                </w:tcPr>
                <w:p w14:paraId="6669DBF7">
                  <w:pPr>
                    <w:shd w:val="clear" w:color="auto" w:fill="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p>
              </w:tc>
              <w:tc>
                <w:tcPr>
                  <w:tcW w:w="1202" w:type="pct"/>
                  <w:gridSpan w:val="3"/>
                  <w:tcBorders>
                    <w:tl2br w:val="nil"/>
                    <w:tr2bl w:val="nil"/>
                  </w:tcBorders>
                  <w:shd w:val="clear" w:color="auto" w:fill="auto"/>
                  <w:noWrap w:val="0"/>
                  <w:vAlign w:val="center"/>
                </w:tcPr>
                <w:p w14:paraId="69F387F9">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60%</w:t>
                  </w:r>
                </w:p>
              </w:tc>
            </w:tr>
            <w:tr w14:paraId="05492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noWrap w:val="0"/>
                  <w:vAlign w:val="center"/>
                </w:tcPr>
                <w:p w14:paraId="3826CA74">
                  <w:pPr>
                    <w:shd w:val="clear" w:color="auto" w:fill="auto"/>
                    <w:adjustRightInd w:val="0"/>
                    <w:snapToGrid w:val="0"/>
                    <w:jc w:val="center"/>
                    <w:rPr>
                      <w:color w:val="000000"/>
                      <w:sz w:val="21"/>
                      <w:szCs w:val="21"/>
                      <w:highlight w:val="none"/>
                    </w:rPr>
                  </w:pPr>
                </w:p>
              </w:tc>
              <w:tc>
                <w:tcPr>
                  <w:tcW w:w="690" w:type="pct"/>
                  <w:tcBorders>
                    <w:tl2br w:val="nil"/>
                    <w:tr2bl w:val="nil"/>
                  </w:tcBorders>
                  <w:shd w:val="clear" w:color="auto" w:fill="auto"/>
                  <w:noWrap w:val="0"/>
                  <w:vAlign w:val="center"/>
                </w:tcPr>
                <w:p w14:paraId="38D66BE2">
                  <w:pPr>
                    <w:shd w:val="clear" w:color="auto" w:fill="auto"/>
                    <w:adjustRightInd w:val="0"/>
                    <w:snapToGrid w:val="0"/>
                    <w:jc w:val="center"/>
                    <w:rPr>
                      <w:color w:val="000000"/>
                      <w:sz w:val="21"/>
                      <w:szCs w:val="21"/>
                      <w:highlight w:val="none"/>
                    </w:rPr>
                  </w:pPr>
                  <w:r>
                    <w:rPr>
                      <w:color w:val="000000"/>
                      <w:sz w:val="21"/>
                      <w:szCs w:val="21"/>
                      <w:highlight w:val="none"/>
                    </w:rPr>
                    <w:t>是否为可行技术</w:t>
                  </w:r>
                </w:p>
              </w:tc>
              <w:tc>
                <w:tcPr>
                  <w:tcW w:w="927" w:type="pct"/>
                  <w:gridSpan w:val="3"/>
                  <w:tcBorders>
                    <w:tl2br w:val="nil"/>
                    <w:tr2bl w:val="nil"/>
                  </w:tcBorders>
                  <w:shd w:val="clear" w:color="auto" w:fill="auto"/>
                  <w:noWrap w:val="0"/>
                  <w:vAlign w:val="center"/>
                </w:tcPr>
                <w:p w14:paraId="088CA996">
                  <w:pPr>
                    <w:shd w:val="clear" w:color="auto" w:fill="auto"/>
                    <w:adjustRightInd w:val="0"/>
                    <w:snapToGrid w:val="0"/>
                    <w:jc w:val="center"/>
                    <w:rPr>
                      <w:rFonts w:hint="eastAsia"/>
                      <w:color w:val="000000"/>
                      <w:sz w:val="21"/>
                      <w:szCs w:val="21"/>
                      <w:highlight w:val="none"/>
                    </w:rPr>
                  </w:pPr>
                  <w:r>
                    <w:rPr>
                      <w:rFonts w:hint="eastAsia"/>
                      <w:color w:val="000000"/>
                      <w:sz w:val="21"/>
                      <w:szCs w:val="21"/>
                      <w:highlight w:val="none"/>
                    </w:rPr>
                    <w:t>是</w:t>
                  </w:r>
                </w:p>
              </w:tc>
              <w:tc>
                <w:tcPr>
                  <w:tcW w:w="3152" w:type="dxa"/>
                  <w:gridSpan w:val="5"/>
                  <w:tcBorders>
                    <w:tl2br w:val="nil"/>
                    <w:tr2bl w:val="nil"/>
                  </w:tcBorders>
                  <w:shd w:val="clear" w:color="auto" w:fill="auto"/>
                  <w:noWrap w:val="0"/>
                  <w:vAlign w:val="center"/>
                </w:tcPr>
                <w:p w14:paraId="7906AF17">
                  <w:pPr>
                    <w:shd w:val="clear" w:color="auto" w:fill="auto"/>
                    <w:adjustRightInd w:val="0"/>
                    <w:snapToGrid w:val="0"/>
                    <w:jc w:val="center"/>
                    <w:rPr>
                      <w:rFonts w:hint="eastAsia"/>
                      <w:color w:val="000000"/>
                      <w:sz w:val="21"/>
                      <w:szCs w:val="21"/>
                      <w:highlight w:val="none"/>
                    </w:rPr>
                  </w:pPr>
                  <w:r>
                    <w:rPr>
                      <w:rFonts w:hint="eastAsia"/>
                      <w:color w:val="000000"/>
                      <w:sz w:val="21"/>
                      <w:szCs w:val="21"/>
                      <w:highlight w:val="none"/>
                    </w:rPr>
                    <w:t>是</w:t>
                  </w:r>
                </w:p>
              </w:tc>
              <w:tc>
                <w:tcPr>
                  <w:tcW w:w="1202" w:type="pct"/>
                  <w:gridSpan w:val="3"/>
                  <w:tcBorders>
                    <w:tl2br w:val="nil"/>
                    <w:tr2bl w:val="nil"/>
                  </w:tcBorders>
                  <w:shd w:val="clear" w:color="auto" w:fill="auto"/>
                  <w:noWrap w:val="0"/>
                  <w:vAlign w:val="center"/>
                </w:tcPr>
                <w:p w14:paraId="181C7FBA">
                  <w:pPr>
                    <w:shd w:val="clear" w:color="auto" w:fill="auto"/>
                    <w:adjustRightInd w:val="0"/>
                    <w:snapToGrid w:val="0"/>
                    <w:jc w:val="center"/>
                    <w:rPr>
                      <w:rFonts w:hint="eastAsia" w:eastAsia="宋体"/>
                      <w:color w:val="000000"/>
                      <w:sz w:val="21"/>
                      <w:szCs w:val="21"/>
                      <w:highlight w:val="none"/>
                      <w:lang w:val="en-US" w:eastAsia="zh-CN"/>
                    </w:rPr>
                  </w:pPr>
                  <w:r>
                    <w:rPr>
                      <w:rFonts w:hint="eastAsia"/>
                      <w:color w:val="000000"/>
                      <w:sz w:val="21"/>
                      <w:szCs w:val="21"/>
                      <w:highlight w:val="none"/>
                      <w:lang w:val="en-US" w:eastAsia="zh-CN"/>
                    </w:rPr>
                    <w:t>是</w:t>
                  </w:r>
                </w:p>
              </w:tc>
            </w:tr>
            <w:tr w14:paraId="3F10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38" w:type="pct"/>
                  <w:gridSpan w:val="2"/>
                  <w:tcBorders>
                    <w:tl2br w:val="nil"/>
                    <w:tr2bl w:val="nil"/>
                  </w:tcBorders>
                  <w:shd w:val="clear" w:color="auto" w:fill="auto"/>
                  <w:noWrap w:val="0"/>
                  <w:vAlign w:val="center"/>
                </w:tcPr>
                <w:p w14:paraId="7E352435">
                  <w:pPr>
                    <w:shd w:val="clear" w:color="auto" w:fill="auto"/>
                    <w:adjustRightInd w:val="0"/>
                    <w:snapToGrid w:val="0"/>
                    <w:jc w:val="center"/>
                    <w:rPr>
                      <w:color w:val="000000"/>
                      <w:sz w:val="21"/>
                      <w:szCs w:val="21"/>
                      <w:highlight w:val="none"/>
                    </w:rPr>
                  </w:pPr>
                  <w:r>
                    <w:rPr>
                      <w:color w:val="000000"/>
                      <w:sz w:val="21"/>
                      <w:szCs w:val="21"/>
                      <w:highlight w:val="none"/>
                    </w:rPr>
                    <w:t>污染物排放量（t/a）</w:t>
                  </w:r>
                </w:p>
              </w:tc>
              <w:tc>
                <w:tcPr>
                  <w:tcW w:w="927" w:type="pct"/>
                  <w:gridSpan w:val="3"/>
                  <w:tcBorders>
                    <w:tl2br w:val="nil"/>
                    <w:tr2bl w:val="nil"/>
                  </w:tcBorders>
                  <w:shd w:val="clear" w:color="auto" w:fill="auto"/>
                  <w:noWrap w:val="0"/>
                  <w:vAlign w:val="center"/>
                </w:tcPr>
                <w:p w14:paraId="61BA42C0">
                  <w:pPr>
                    <w:shd w:val="clear" w:color="auto" w:fill="auto"/>
                    <w:adjustRightInd w:val="0"/>
                    <w:snapToGrid w:val="0"/>
                    <w:jc w:val="center"/>
                    <w:rPr>
                      <w:rFonts w:hint="default"/>
                      <w:color w:val="000000"/>
                      <w:sz w:val="21"/>
                      <w:szCs w:val="21"/>
                      <w:highlight w:val="no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0.1605</w:t>
                  </w:r>
                </w:p>
              </w:tc>
              <w:tc>
                <w:tcPr>
                  <w:tcW w:w="889" w:type="dxa"/>
                  <w:gridSpan w:val="2"/>
                  <w:tcBorders>
                    <w:tl2br w:val="nil"/>
                    <w:tr2bl w:val="nil"/>
                  </w:tcBorders>
                  <w:shd w:val="clear" w:color="auto" w:fill="auto"/>
                  <w:noWrap w:val="0"/>
                  <w:vAlign w:val="center"/>
                </w:tcPr>
                <w:p w14:paraId="4B32E0EE">
                  <w:pPr>
                    <w:shd w:val="clear" w:color="auto" w:fill="auto"/>
                    <w:adjustRightInd w:val="0"/>
                    <w:snapToGrid w:val="0"/>
                    <w:jc w:val="center"/>
                    <w:rPr>
                      <w:rFonts w:hint="default"/>
                      <w:color w:val="000000"/>
                      <w:kern w:val="2"/>
                      <w:sz w:val="21"/>
                      <w:szCs w:val="21"/>
                      <w:highlight w:val="none"/>
                      <w:lang w:val="en-US" w:eastAsia="zh-CN" w:bidi="ar-SA"/>
                    </w:rPr>
                  </w:pPr>
                  <w:r>
                    <w:rPr>
                      <w:rFonts w:hint="eastAsia" w:ascii="Times New Roman" w:hAnsi="Times New Roman" w:cs="Times New Roman"/>
                      <w:color w:val="000000"/>
                      <w:highlight w:val="none"/>
                      <w:lang w:val="en-US" w:eastAsia="zh-CN"/>
                    </w:rPr>
                    <w:t>0.0043</w:t>
                  </w:r>
                </w:p>
              </w:tc>
              <w:tc>
                <w:tcPr>
                  <w:tcW w:w="1150" w:type="dxa"/>
                  <w:gridSpan w:val="2"/>
                  <w:tcBorders>
                    <w:tl2br w:val="nil"/>
                    <w:tr2bl w:val="nil"/>
                  </w:tcBorders>
                  <w:shd w:val="clear" w:color="auto" w:fill="auto"/>
                  <w:noWrap w:val="0"/>
                  <w:vAlign w:val="center"/>
                </w:tcPr>
                <w:p w14:paraId="4D37D4DE">
                  <w:pPr>
                    <w:shd w:val="clear" w:color="auto" w:fill="auto"/>
                    <w:adjustRightInd w:val="0"/>
                    <w:snapToGrid w:val="0"/>
                    <w:jc w:val="center"/>
                    <w:rPr>
                      <w:rFonts w:hint="default"/>
                      <w:color w:val="000000"/>
                      <w:kern w:val="2"/>
                      <w:sz w:val="21"/>
                      <w:szCs w:val="21"/>
                      <w:highlight w:val="none"/>
                      <w:lang w:val="en-US" w:eastAsia="zh-CN" w:bidi="ar-SA"/>
                    </w:rPr>
                  </w:pPr>
                  <w:r>
                    <w:rPr>
                      <w:rFonts w:hint="eastAsia" w:ascii="Times New Roman" w:hAnsi="Times New Roman" w:eastAsia="宋体" w:cs="Times New Roman"/>
                      <w:color w:val="000000"/>
                      <w:highlight w:val="none"/>
                      <w:lang w:val="en-US" w:eastAsia="zh-CN"/>
                    </w:rPr>
                    <w:t>0.0134</w:t>
                  </w:r>
                </w:p>
              </w:tc>
              <w:tc>
                <w:tcPr>
                  <w:tcW w:w="1113" w:type="dxa"/>
                  <w:tcBorders>
                    <w:tl2br w:val="nil"/>
                    <w:tr2bl w:val="nil"/>
                  </w:tcBorders>
                  <w:shd w:val="clear" w:color="auto" w:fill="auto"/>
                  <w:noWrap w:val="0"/>
                  <w:vAlign w:val="center"/>
                </w:tcPr>
                <w:p w14:paraId="2D41E231">
                  <w:pPr>
                    <w:shd w:val="clear" w:color="auto" w:fill="auto"/>
                    <w:adjustRightInd w:val="0"/>
                    <w:snapToGrid w:val="0"/>
                    <w:jc w:val="center"/>
                    <w:rPr>
                      <w:rFonts w:hint="default"/>
                      <w:color w:val="000000"/>
                      <w:kern w:val="2"/>
                      <w:sz w:val="21"/>
                      <w:szCs w:val="21"/>
                      <w:highlight w:val="none"/>
                      <w:lang w:val="en-US" w:eastAsia="zh-CN" w:bidi="ar-SA"/>
                    </w:rPr>
                  </w:pPr>
                  <w:r>
                    <w:rPr>
                      <w:rFonts w:hint="eastAsia" w:ascii="Times New Roman" w:hAnsi="Times New Roman" w:cs="Times New Roman"/>
                      <w:color w:val="000000"/>
                      <w:highlight w:val="none"/>
                      <w:lang w:val="en-US" w:eastAsia="zh-CN"/>
                    </w:rPr>
                    <w:t>0.102</w:t>
                  </w:r>
                </w:p>
              </w:tc>
              <w:tc>
                <w:tcPr>
                  <w:tcW w:w="589" w:type="pct"/>
                  <w:gridSpan w:val="2"/>
                  <w:tcBorders>
                    <w:tl2br w:val="nil"/>
                    <w:tr2bl w:val="nil"/>
                  </w:tcBorders>
                  <w:shd w:val="clear" w:color="auto" w:fill="auto"/>
                  <w:noWrap w:val="0"/>
                  <w:vAlign w:val="center"/>
                </w:tcPr>
                <w:p w14:paraId="37B596F1">
                  <w:pPr>
                    <w:shd w:val="clear" w:color="auto" w:fill="auto"/>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0.066</w:t>
                  </w:r>
                </w:p>
              </w:tc>
              <w:tc>
                <w:tcPr>
                  <w:tcW w:w="613" w:type="pct"/>
                  <w:tcBorders>
                    <w:tl2br w:val="nil"/>
                    <w:tr2bl w:val="nil"/>
                  </w:tcBorders>
                  <w:shd w:val="clear" w:color="auto" w:fill="auto"/>
                  <w:noWrap w:val="0"/>
                  <w:vAlign w:val="center"/>
                </w:tcPr>
                <w:p w14:paraId="04079B09">
                  <w:pPr>
                    <w:shd w:val="clear" w:color="auto" w:fill="auto"/>
                    <w:adjustRightInd w:val="0"/>
                    <w:snapToGrid w:val="0"/>
                    <w:jc w:val="center"/>
                    <w:rPr>
                      <w:rFonts w:hint="eastAsia"/>
                      <w:color w:val="000000"/>
                      <w:sz w:val="21"/>
                      <w:szCs w:val="21"/>
                      <w:highlight w:val="none"/>
                      <w:lang w:val="en-US" w:eastAsia="zh-CN"/>
                    </w:rPr>
                  </w:pPr>
                  <w:r>
                    <w:rPr>
                      <w:rFonts w:hint="eastAsia" w:ascii="Times New Roman" w:hAnsi="Times New Roman" w:eastAsia="宋体" w:cs="Times New Roman"/>
                      <w:color w:val="000000"/>
                      <w:szCs w:val="21"/>
                      <w:highlight w:val="none"/>
                      <w:lang w:val="en-US" w:eastAsia="zh-CN"/>
                    </w:rPr>
                    <w:t>0.0026</w:t>
                  </w:r>
                </w:p>
              </w:tc>
            </w:tr>
            <w:tr w14:paraId="2867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38" w:type="pct"/>
                  <w:gridSpan w:val="2"/>
                  <w:tcBorders>
                    <w:tl2br w:val="nil"/>
                    <w:tr2bl w:val="nil"/>
                  </w:tcBorders>
                  <w:shd w:val="clear" w:color="auto" w:fill="auto"/>
                  <w:noWrap w:val="0"/>
                  <w:vAlign w:val="center"/>
                </w:tcPr>
                <w:p w14:paraId="58E04D09">
                  <w:pPr>
                    <w:shd w:val="clear" w:color="auto" w:fill="auto"/>
                    <w:adjustRightInd w:val="0"/>
                    <w:snapToGrid w:val="0"/>
                    <w:jc w:val="center"/>
                    <w:rPr>
                      <w:color w:val="000000"/>
                      <w:sz w:val="21"/>
                      <w:szCs w:val="21"/>
                      <w:highlight w:val="none"/>
                    </w:rPr>
                  </w:pPr>
                  <w:r>
                    <w:rPr>
                      <w:color w:val="000000"/>
                      <w:sz w:val="21"/>
                      <w:szCs w:val="21"/>
                      <w:highlight w:val="none"/>
                    </w:rPr>
                    <w:t>污染物排放速率（kg/h）</w:t>
                  </w:r>
                </w:p>
              </w:tc>
              <w:tc>
                <w:tcPr>
                  <w:tcW w:w="927" w:type="pct"/>
                  <w:gridSpan w:val="3"/>
                  <w:tcBorders>
                    <w:tl2br w:val="nil"/>
                    <w:tr2bl w:val="nil"/>
                  </w:tcBorders>
                  <w:shd w:val="clear" w:color="auto" w:fill="auto"/>
                  <w:noWrap w:val="0"/>
                  <w:vAlign w:val="center"/>
                </w:tcPr>
                <w:p w14:paraId="09EA792B">
                  <w:pPr>
                    <w:shd w:val="clear" w:color="auto" w:fill="auto"/>
                    <w:adjustRightInd w:val="0"/>
                    <w:snapToGrid w:val="0"/>
                    <w:jc w:val="center"/>
                    <w:rPr>
                      <w:rFonts w:hint="default"/>
                      <w:color w:val="000000"/>
                      <w:sz w:val="21"/>
                      <w:szCs w:val="21"/>
                      <w:highlight w:val="no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0.067</w:t>
                  </w:r>
                </w:p>
              </w:tc>
              <w:tc>
                <w:tcPr>
                  <w:tcW w:w="889" w:type="dxa"/>
                  <w:gridSpan w:val="2"/>
                  <w:tcBorders>
                    <w:tl2br w:val="nil"/>
                    <w:tr2bl w:val="nil"/>
                  </w:tcBorders>
                  <w:shd w:val="clear" w:color="auto" w:fill="auto"/>
                  <w:noWrap w:val="0"/>
                  <w:vAlign w:val="center"/>
                </w:tcPr>
                <w:p w14:paraId="112DDAB1">
                  <w:pPr>
                    <w:shd w:val="clear" w:color="auto" w:fill="auto"/>
                    <w:adjustRightInd w:val="0"/>
                    <w:snapToGrid w:val="0"/>
                    <w:jc w:val="center"/>
                    <w:rPr>
                      <w:rFonts w:hint="default"/>
                      <w:color w:val="000000"/>
                      <w:kern w:val="2"/>
                      <w:sz w:val="21"/>
                      <w:szCs w:val="21"/>
                      <w:highlight w:val="none"/>
                      <w:lang w:val="en-US" w:eastAsia="zh-CN" w:bidi="ar-SA"/>
                    </w:rPr>
                  </w:pPr>
                  <w:r>
                    <w:rPr>
                      <w:rFonts w:hint="default" w:ascii="Times New Roman" w:hAnsi="Times New Roman" w:cs="Times New Roman"/>
                      <w:color w:val="000000"/>
                      <w:highlight w:val="none"/>
                      <w:lang w:val="en-US" w:eastAsia="zh-CN"/>
                    </w:rPr>
                    <w:t>0.00</w:t>
                  </w:r>
                  <w:r>
                    <w:rPr>
                      <w:rFonts w:hint="eastAsia" w:ascii="Times New Roman" w:hAnsi="Times New Roman" w:cs="Times New Roman"/>
                      <w:color w:val="000000"/>
                      <w:highlight w:val="none"/>
                      <w:lang w:val="en-US" w:eastAsia="zh-CN"/>
                    </w:rPr>
                    <w:t>2</w:t>
                  </w:r>
                </w:p>
              </w:tc>
              <w:tc>
                <w:tcPr>
                  <w:tcW w:w="1150" w:type="dxa"/>
                  <w:gridSpan w:val="2"/>
                  <w:tcBorders>
                    <w:tl2br w:val="nil"/>
                    <w:tr2bl w:val="nil"/>
                  </w:tcBorders>
                  <w:shd w:val="clear" w:color="auto" w:fill="auto"/>
                  <w:noWrap w:val="0"/>
                  <w:vAlign w:val="center"/>
                </w:tcPr>
                <w:p w14:paraId="1535D06D">
                  <w:pPr>
                    <w:shd w:val="clear" w:color="auto" w:fill="auto"/>
                    <w:adjustRightInd w:val="0"/>
                    <w:snapToGrid w:val="0"/>
                    <w:jc w:val="center"/>
                    <w:rPr>
                      <w:rFonts w:hint="default"/>
                      <w:color w:val="000000"/>
                      <w:kern w:val="2"/>
                      <w:sz w:val="21"/>
                      <w:szCs w:val="21"/>
                      <w:highlight w:val="none"/>
                      <w:lang w:val="en-US" w:eastAsia="zh-CN" w:bidi="ar-SA"/>
                    </w:rPr>
                  </w:pPr>
                  <w:r>
                    <w:rPr>
                      <w:rFonts w:hint="eastAsia" w:ascii="Times New Roman" w:hAnsi="Times New Roman" w:eastAsia="宋体" w:cs="Times New Roman"/>
                      <w:color w:val="000000"/>
                      <w:highlight w:val="none"/>
                      <w:lang w:val="en-US" w:eastAsia="zh-CN"/>
                    </w:rPr>
                    <w:t>0.0032</w:t>
                  </w:r>
                </w:p>
              </w:tc>
              <w:tc>
                <w:tcPr>
                  <w:tcW w:w="1113" w:type="dxa"/>
                  <w:tcBorders>
                    <w:tl2br w:val="nil"/>
                    <w:tr2bl w:val="nil"/>
                  </w:tcBorders>
                  <w:shd w:val="clear" w:color="auto" w:fill="auto"/>
                  <w:noWrap w:val="0"/>
                  <w:vAlign w:val="center"/>
                </w:tcPr>
                <w:p w14:paraId="02B5A77B">
                  <w:pPr>
                    <w:shd w:val="clear" w:color="auto" w:fill="auto"/>
                    <w:adjustRightInd w:val="0"/>
                    <w:snapToGrid w:val="0"/>
                    <w:jc w:val="center"/>
                    <w:rPr>
                      <w:rFonts w:hint="default"/>
                      <w:color w:val="000000"/>
                      <w:kern w:val="2"/>
                      <w:sz w:val="21"/>
                      <w:szCs w:val="21"/>
                      <w:highlight w:val="none"/>
                      <w:lang w:val="en-US" w:eastAsia="zh-CN" w:bidi="ar-SA"/>
                    </w:rPr>
                  </w:pPr>
                  <w:r>
                    <w:rPr>
                      <w:rFonts w:hint="eastAsia" w:ascii="Times New Roman" w:hAnsi="Times New Roman" w:cs="Times New Roman"/>
                      <w:color w:val="000000"/>
                      <w:highlight w:val="none"/>
                      <w:lang w:val="en-US" w:eastAsia="zh-CN"/>
                    </w:rPr>
                    <w:t>0.049</w:t>
                  </w:r>
                </w:p>
              </w:tc>
              <w:tc>
                <w:tcPr>
                  <w:tcW w:w="589" w:type="pct"/>
                  <w:gridSpan w:val="2"/>
                  <w:tcBorders>
                    <w:tl2br w:val="nil"/>
                    <w:tr2bl w:val="nil"/>
                  </w:tcBorders>
                  <w:shd w:val="clear" w:color="auto" w:fill="auto"/>
                  <w:noWrap w:val="0"/>
                  <w:vAlign w:val="center"/>
                </w:tcPr>
                <w:p w14:paraId="259E6862">
                  <w:pPr>
                    <w:shd w:val="clear" w:color="auto" w:fill="auto"/>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0.0092</w:t>
                  </w:r>
                </w:p>
              </w:tc>
              <w:tc>
                <w:tcPr>
                  <w:tcW w:w="613" w:type="pct"/>
                  <w:tcBorders>
                    <w:tl2br w:val="nil"/>
                    <w:tr2bl w:val="nil"/>
                  </w:tcBorders>
                  <w:shd w:val="clear" w:color="auto" w:fill="auto"/>
                  <w:noWrap w:val="0"/>
                  <w:vAlign w:val="center"/>
                </w:tcPr>
                <w:p w14:paraId="258905A3">
                  <w:pPr>
                    <w:shd w:val="clear" w:color="auto" w:fill="auto"/>
                    <w:adjustRightInd w:val="0"/>
                    <w:snapToGrid w:val="0"/>
                    <w:jc w:val="center"/>
                    <w:rPr>
                      <w:rFonts w:hint="eastAsia"/>
                      <w:color w:val="000000"/>
                      <w:sz w:val="21"/>
                      <w:szCs w:val="21"/>
                      <w:highlight w:val="none"/>
                      <w:lang w:val="en-US" w:eastAsia="zh-CN"/>
                    </w:rPr>
                  </w:pPr>
                  <w:r>
                    <w:rPr>
                      <w:rFonts w:hint="eastAsia" w:ascii="Times New Roman" w:hAnsi="Times New Roman" w:eastAsia="宋体" w:cs="Times New Roman"/>
                      <w:color w:val="000000"/>
                      <w:szCs w:val="21"/>
                      <w:highlight w:val="none"/>
                      <w:lang w:val="en-US" w:eastAsia="zh-CN"/>
                    </w:rPr>
                    <w:t>0.0004</w:t>
                  </w:r>
                </w:p>
              </w:tc>
            </w:tr>
            <w:tr w14:paraId="17E87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38" w:type="pct"/>
                  <w:gridSpan w:val="2"/>
                  <w:tcBorders>
                    <w:tl2br w:val="nil"/>
                    <w:tr2bl w:val="nil"/>
                  </w:tcBorders>
                  <w:shd w:val="clear" w:color="auto" w:fill="auto"/>
                  <w:noWrap w:val="0"/>
                  <w:vAlign w:val="center"/>
                </w:tcPr>
                <w:p w14:paraId="076D4CCF">
                  <w:pPr>
                    <w:shd w:val="clear" w:color="auto" w:fill="auto"/>
                    <w:adjustRightInd w:val="0"/>
                    <w:snapToGrid w:val="0"/>
                    <w:jc w:val="center"/>
                    <w:rPr>
                      <w:color w:val="000000"/>
                      <w:sz w:val="21"/>
                      <w:szCs w:val="21"/>
                      <w:highlight w:val="none"/>
                    </w:rPr>
                  </w:pPr>
                  <w:r>
                    <w:rPr>
                      <w:color w:val="000000"/>
                      <w:sz w:val="21"/>
                      <w:szCs w:val="21"/>
                      <w:highlight w:val="none"/>
                    </w:rPr>
                    <w:t>污染物排放浓度（mg/</w:t>
                  </w:r>
                  <w:r>
                    <w:rPr>
                      <w:rFonts w:hint="eastAsia"/>
                      <w:color w:val="000000"/>
                      <w:sz w:val="21"/>
                      <w:szCs w:val="21"/>
                      <w:highlight w:val="none"/>
                      <w:lang w:eastAsia="zh-CN"/>
                    </w:rPr>
                    <w:t>m³</w:t>
                  </w:r>
                  <w:r>
                    <w:rPr>
                      <w:color w:val="000000"/>
                      <w:sz w:val="21"/>
                      <w:szCs w:val="21"/>
                      <w:highlight w:val="none"/>
                    </w:rPr>
                    <w:t>）</w:t>
                  </w:r>
                </w:p>
              </w:tc>
              <w:tc>
                <w:tcPr>
                  <w:tcW w:w="927" w:type="pct"/>
                  <w:gridSpan w:val="3"/>
                  <w:tcBorders>
                    <w:tl2br w:val="nil"/>
                    <w:tr2bl w:val="nil"/>
                  </w:tcBorders>
                  <w:shd w:val="clear" w:color="auto" w:fill="auto"/>
                  <w:noWrap w:val="0"/>
                  <w:vAlign w:val="center"/>
                </w:tcPr>
                <w:p w14:paraId="21AB378A">
                  <w:pPr>
                    <w:shd w:val="clear" w:color="auto" w:fill="auto"/>
                    <w:adjustRightInd w:val="0"/>
                    <w:snapToGrid w:val="0"/>
                    <w:jc w:val="center"/>
                    <w:rPr>
                      <w:rFonts w:hint="default" w:eastAsia="宋体"/>
                      <w:color w:val="000000"/>
                      <w:sz w:val="21"/>
                      <w:szCs w:val="21"/>
                      <w:highlight w:val="no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6.7</w:t>
                  </w:r>
                </w:p>
              </w:tc>
              <w:tc>
                <w:tcPr>
                  <w:tcW w:w="889" w:type="dxa"/>
                  <w:gridSpan w:val="2"/>
                  <w:tcBorders>
                    <w:tl2br w:val="nil"/>
                    <w:tr2bl w:val="nil"/>
                  </w:tcBorders>
                  <w:shd w:val="clear" w:color="auto" w:fill="auto"/>
                  <w:noWrap w:val="0"/>
                  <w:vAlign w:val="center"/>
                </w:tcPr>
                <w:p w14:paraId="71200524">
                  <w:pPr>
                    <w:shd w:val="clear" w:color="auto" w:fill="auto"/>
                    <w:adjustRightInd w:val="0"/>
                    <w:snapToGrid w:val="0"/>
                    <w:jc w:val="center"/>
                    <w:rPr>
                      <w:rFonts w:hint="default"/>
                      <w:color w:val="000000"/>
                      <w:kern w:val="2"/>
                      <w:sz w:val="21"/>
                      <w:szCs w:val="21"/>
                      <w:highlight w:val="yellow"/>
                      <w:lang w:val="en-US" w:eastAsia="zh-CN" w:bidi="ar-SA"/>
                    </w:rPr>
                  </w:pPr>
                  <w:r>
                    <w:rPr>
                      <w:rFonts w:hint="default" w:ascii="Times New Roman" w:hAnsi="Times New Roman" w:cs="Times New Roman"/>
                      <w:color w:val="000000"/>
                      <w:highlight w:val="none"/>
                      <w:lang w:val="en-US" w:eastAsia="zh-CN"/>
                    </w:rPr>
                    <w:t>1.2</w:t>
                  </w:r>
                </w:p>
              </w:tc>
              <w:tc>
                <w:tcPr>
                  <w:tcW w:w="1150" w:type="dxa"/>
                  <w:gridSpan w:val="2"/>
                  <w:tcBorders>
                    <w:tl2br w:val="nil"/>
                    <w:tr2bl w:val="nil"/>
                  </w:tcBorders>
                  <w:shd w:val="clear" w:color="auto" w:fill="auto"/>
                  <w:noWrap w:val="0"/>
                  <w:vAlign w:val="center"/>
                </w:tcPr>
                <w:p w14:paraId="5F6A77CE">
                  <w:pPr>
                    <w:shd w:val="clear" w:color="auto" w:fill="auto"/>
                    <w:adjustRightInd w:val="0"/>
                    <w:snapToGrid w:val="0"/>
                    <w:jc w:val="center"/>
                    <w:rPr>
                      <w:rFonts w:hint="default"/>
                      <w:color w:val="000000"/>
                      <w:kern w:val="2"/>
                      <w:sz w:val="21"/>
                      <w:szCs w:val="21"/>
                      <w:highlight w:val="yellow"/>
                      <w:lang w:val="en-US" w:eastAsia="zh-CN" w:bidi="ar-SA"/>
                    </w:rPr>
                  </w:pPr>
                  <w:r>
                    <w:rPr>
                      <w:rFonts w:hint="default" w:ascii="Times New Roman" w:hAnsi="Times New Roman" w:eastAsia="宋体" w:cs="Times New Roman"/>
                      <w:color w:val="000000"/>
                      <w:highlight w:val="none"/>
                      <w:lang w:val="en-US" w:eastAsia="zh-CN"/>
                    </w:rPr>
                    <w:t>3.7</w:t>
                  </w:r>
                </w:p>
              </w:tc>
              <w:tc>
                <w:tcPr>
                  <w:tcW w:w="1113" w:type="dxa"/>
                  <w:tcBorders>
                    <w:tl2br w:val="nil"/>
                    <w:tr2bl w:val="nil"/>
                  </w:tcBorders>
                  <w:shd w:val="clear" w:color="auto" w:fill="auto"/>
                  <w:noWrap w:val="0"/>
                  <w:vAlign w:val="center"/>
                </w:tcPr>
                <w:p w14:paraId="5FF84217">
                  <w:pPr>
                    <w:shd w:val="clear" w:color="auto" w:fill="auto"/>
                    <w:adjustRightInd w:val="0"/>
                    <w:snapToGrid w:val="0"/>
                    <w:jc w:val="center"/>
                    <w:rPr>
                      <w:rFonts w:hint="default"/>
                      <w:color w:val="000000"/>
                      <w:kern w:val="2"/>
                      <w:sz w:val="21"/>
                      <w:szCs w:val="21"/>
                      <w:highlight w:val="yellow"/>
                      <w:lang w:val="en-US" w:eastAsia="zh-CN" w:bidi="ar-SA"/>
                    </w:rPr>
                  </w:pPr>
                  <w:r>
                    <w:rPr>
                      <w:rFonts w:hint="default" w:ascii="Times New Roman" w:hAnsi="Times New Roman" w:cs="Times New Roman"/>
                      <w:color w:val="000000"/>
                      <w:highlight w:val="none"/>
                      <w:lang w:val="en-US" w:eastAsia="zh-CN"/>
                    </w:rPr>
                    <w:t>28.</w:t>
                  </w:r>
                  <w:r>
                    <w:rPr>
                      <w:rFonts w:hint="eastAsia" w:ascii="Times New Roman" w:hAnsi="Times New Roman" w:cs="Times New Roman"/>
                      <w:color w:val="000000"/>
                      <w:highlight w:val="none"/>
                      <w:lang w:val="en-US" w:eastAsia="zh-CN"/>
                    </w:rPr>
                    <w:t>17</w:t>
                  </w:r>
                </w:p>
              </w:tc>
              <w:tc>
                <w:tcPr>
                  <w:tcW w:w="589" w:type="pct"/>
                  <w:gridSpan w:val="2"/>
                  <w:tcBorders>
                    <w:tl2br w:val="nil"/>
                    <w:tr2bl w:val="nil"/>
                  </w:tcBorders>
                  <w:shd w:val="clear" w:color="auto" w:fill="auto"/>
                  <w:noWrap w:val="0"/>
                  <w:vAlign w:val="center"/>
                </w:tcPr>
                <w:p w14:paraId="0EA9F7E5">
                  <w:pPr>
                    <w:shd w:val="clear" w:color="auto" w:fill="auto"/>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1.84</w:t>
                  </w:r>
                </w:p>
              </w:tc>
              <w:tc>
                <w:tcPr>
                  <w:tcW w:w="613" w:type="pct"/>
                  <w:tcBorders>
                    <w:tl2br w:val="nil"/>
                    <w:tr2bl w:val="nil"/>
                  </w:tcBorders>
                  <w:shd w:val="clear" w:color="auto" w:fill="auto"/>
                  <w:noWrap w:val="0"/>
                  <w:vAlign w:val="center"/>
                </w:tcPr>
                <w:p w14:paraId="3134A101">
                  <w:pPr>
                    <w:shd w:val="clear" w:color="auto" w:fill="auto"/>
                    <w:adjustRightInd w:val="0"/>
                    <w:snapToGrid w:val="0"/>
                    <w:jc w:val="center"/>
                    <w:rPr>
                      <w:rFonts w:hint="eastAsia"/>
                      <w:color w:val="000000"/>
                      <w:sz w:val="21"/>
                      <w:szCs w:val="21"/>
                      <w:highlight w:val="none"/>
                      <w:lang w:val="en-US" w:eastAsia="zh-CN"/>
                    </w:rPr>
                  </w:pPr>
                  <w:r>
                    <w:rPr>
                      <w:rFonts w:hint="eastAsia" w:ascii="Times New Roman" w:hAnsi="Times New Roman" w:eastAsia="宋体" w:cs="Times New Roman"/>
                      <w:color w:val="000000"/>
                      <w:szCs w:val="21"/>
                      <w:highlight w:val="none"/>
                      <w:lang w:val="en-US" w:eastAsia="zh-CN"/>
                    </w:rPr>
                    <w:t>0.08</w:t>
                  </w:r>
                </w:p>
              </w:tc>
            </w:tr>
            <w:tr w14:paraId="350AD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247" w:type="pct"/>
                  <w:vMerge w:val="restart"/>
                  <w:tcBorders>
                    <w:tl2br w:val="nil"/>
                    <w:tr2bl w:val="nil"/>
                  </w:tcBorders>
                  <w:shd w:val="clear" w:color="auto" w:fill="auto"/>
                  <w:noWrap w:val="0"/>
                  <w:vAlign w:val="center"/>
                </w:tcPr>
                <w:p w14:paraId="114DACA3">
                  <w:pPr>
                    <w:shd w:val="clear" w:color="auto" w:fill="auto"/>
                    <w:adjustRightInd w:val="0"/>
                    <w:snapToGrid w:val="0"/>
                    <w:jc w:val="center"/>
                    <w:rPr>
                      <w:color w:val="000000"/>
                      <w:sz w:val="21"/>
                      <w:szCs w:val="21"/>
                      <w:highlight w:val="none"/>
                    </w:rPr>
                  </w:pPr>
                  <w:r>
                    <w:rPr>
                      <w:color w:val="000000"/>
                      <w:sz w:val="21"/>
                      <w:szCs w:val="21"/>
                      <w:highlight w:val="none"/>
                    </w:rPr>
                    <w:t>排放口基本信息</w:t>
                  </w:r>
                </w:p>
              </w:tc>
              <w:tc>
                <w:tcPr>
                  <w:tcW w:w="690" w:type="pct"/>
                  <w:tcBorders>
                    <w:tl2br w:val="nil"/>
                    <w:tr2bl w:val="nil"/>
                  </w:tcBorders>
                  <w:shd w:val="clear" w:color="auto" w:fill="auto"/>
                  <w:noWrap w:val="0"/>
                  <w:vAlign w:val="center"/>
                </w:tcPr>
                <w:p w14:paraId="382FE0D7">
                  <w:pPr>
                    <w:shd w:val="clear" w:color="auto" w:fill="auto"/>
                    <w:adjustRightInd w:val="0"/>
                    <w:snapToGrid w:val="0"/>
                    <w:jc w:val="center"/>
                    <w:rPr>
                      <w:color w:val="000000"/>
                      <w:sz w:val="21"/>
                      <w:szCs w:val="21"/>
                      <w:highlight w:val="none"/>
                    </w:rPr>
                  </w:pPr>
                  <w:r>
                    <w:rPr>
                      <w:color w:val="000000"/>
                      <w:sz w:val="21"/>
                      <w:szCs w:val="21"/>
                      <w:highlight w:val="none"/>
                    </w:rPr>
                    <w:t>高度（m）</w:t>
                  </w:r>
                </w:p>
              </w:tc>
              <w:tc>
                <w:tcPr>
                  <w:tcW w:w="927" w:type="pct"/>
                  <w:gridSpan w:val="3"/>
                  <w:tcBorders>
                    <w:tl2br w:val="nil"/>
                    <w:tr2bl w:val="nil"/>
                  </w:tcBorders>
                  <w:shd w:val="clear" w:color="auto" w:fill="auto"/>
                  <w:noWrap w:val="0"/>
                  <w:vAlign w:val="center"/>
                </w:tcPr>
                <w:p w14:paraId="0E245FC1">
                  <w:pPr>
                    <w:shd w:val="clear" w:color="auto" w:fill="auto"/>
                    <w:adjustRightInd w:val="0"/>
                    <w:snapToGrid w:val="0"/>
                    <w:jc w:val="center"/>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20</w:t>
                  </w:r>
                </w:p>
              </w:tc>
              <w:tc>
                <w:tcPr>
                  <w:tcW w:w="1932" w:type="pct"/>
                  <w:gridSpan w:val="5"/>
                  <w:tcBorders>
                    <w:tl2br w:val="nil"/>
                    <w:tr2bl w:val="nil"/>
                  </w:tcBorders>
                  <w:shd w:val="clear" w:color="auto" w:fill="auto"/>
                  <w:noWrap w:val="0"/>
                  <w:vAlign w:val="center"/>
                </w:tcPr>
                <w:p w14:paraId="3859A997">
                  <w:pPr>
                    <w:shd w:val="clear" w:color="auto" w:fill="auto"/>
                    <w:adjustRightInd w:val="0"/>
                    <w:snapToGrid w:val="0"/>
                    <w:jc w:val="center"/>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20</w:t>
                  </w:r>
                </w:p>
              </w:tc>
              <w:tc>
                <w:tcPr>
                  <w:tcW w:w="1202" w:type="pct"/>
                  <w:gridSpan w:val="3"/>
                  <w:tcBorders>
                    <w:tl2br w:val="nil"/>
                    <w:tr2bl w:val="nil"/>
                  </w:tcBorders>
                  <w:shd w:val="clear" w:color="auto" w:fill="auto"/>
                  <w:noWrap w:val="0"/>
                  <w:vAlign w:val="center"/>
                </w:tcPr>
                <w:p w14:paraId="0A10B5BB">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15</w:t>
                  </w:r>
                </w:p>
              </w:tc>
            </w:tr>
            <w:tr w14:paraId="09165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noWrap w:val="0"/>
                  <w:vAlign w:val="center"/>
                </w:tcPr>
                <w:p w14:paraId="09E563D7">
                  <w:pPr>
                    <w:shd w:val="clear" w:color="auto" w:fill="auto"/>
                    <w:adjustRightInd w:val="0"/>
                    <w:snapToGrid w:val="0"/>
                    <w:jc w:val="center"/>
                    <w:rPr>
                      <w:color w:val="000000"/>
                      <w:sz w:val="21"/>
                      <w:szCs w:val="21"/>
                      <w:highlight w:val="none"/>
                    </w:rPr>
                  </w:pPr>
                </w:p>
              </w:tc>
              <w:tc>
                <w:tcPr>
                  <w:tcW w:w="690" w:type="pct"/>
                  <w:tcBorders>
                    <w:tl2br w:val="nil"/>
                    <w:tr2bl w:val="nil"/>
                  </w:tcBorders>
                  <w:shd w:val="clear" w:color="auto" w:fill="auto"/>
                  <w:noWrap w:val="0"/>
                  <w:vAlign w:val="center"/>
                </w:tcPr>
                <w:p w14:paraId="73AC8209">
                  <w:pPr>
                    <w:shd w:val="clear" w:color="auto" w:fill="auto"/>
                    <w:adjustRightInd w:val="0"/>
                    <w:snapToGrid w:val="0"/>
                    <w:jc w:val="center"/>
                    <w:rPr>
                      <w:color w:val="000000"/>
                      <w:sz w:val="21"/>
                      <w:szCs w:val="21"/>
                      <w:highlight w:val="none"/>
                    </w:rPr>
                  </w:pPr>
                  <w:r>
                    <w:rPr>
                      <w:color w:val="000000"/>
                      <w:sz w:val="21"/>
                      <w:szCs w:val="21"/>
                      <w:highlight w:val="none"/>
                    </w:rPr>
                    <w:t>排气筒内径（m）</w:t>
                  </w:r>
                </w:p>
              </w:tc>
              <w:tc>
                <w:tcPr>
                  <w:tcW w:w="927" w:type="pct"/>
                  <w:gridSpan w:val="3"/>
                  <w:tcBorders>
                    <w:tl2br w:val="nil"/>
                    <w:tr2bl w:val="nil"/>
                  </w:tcBorders>
                  <w:shd w:val="clear" w:color="auto" w:fill="auto"/>
                  <w:noWrap w:val="0"/>
                  <w:vAlign w:val="center"/>
                </w:tcPr>
                <w:p w14:paraId="3AAB1011">
                  <w:pPr>
                    <w:shd w:val="clear" w:color="auto" w:fill="auto"/>
                    <w:adjustRightInd w:val="0"/>
                    <w:snapToGrid w:val="0"/>
                    <w:jc w:val="center"/>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0.5</w:t>
                  </w:r>
                </w:p>
              </w:tc>
              <w:tc>
                <w:tcPr>
                  <w:tcW w:w="1932" w:type="pct"/>
                  <w:gridSpan w:val="5"/>
                  <w:tcBorders>
                    <w:tl2br w:val="nil"/>
                    <w:tr2bl w:val="nil"/>
                  </w:tcBorders>
                  <w:shd w:val="clear" w:color="auto" w:fill="auto"/>
                  <w:noWrap w:val="0"/>
                  <w:vAlign w:val="center"/>
                </w:tcPr>
                <w:p w14:paraId="5457F9BF">
                  <w:pPr>
                    <w:shd w:val="clear" w:color="auto" w:fill="auto"/>
                    <w:adjustRightInd w:val="0"/>
                    <w:snapToGrid w:val="0"/>
                    <w:jc w:val="center"/>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0.5</w:t>
                  </w:r>
                </w:p>
              </w:tc>
              <w:tc>
                <w:tcPr>
                  <w:tcW w:w="1202" w:type="pct"/>
                  <w:gridSpan w:val="3"/>
                  <w:tcBorders>
                    <w:tl2br w:val="nil"/>
                    <w:tr2bl w:val="nil"/>
                  </w:tcBorders>
                  <w:shd w:val="clear" w:color="auto" w:fill="auto"/>
                  <w:noWrap w:val="0"/>
                  <w:vAlign w:val="center"/>
                </w:tcPr>
                <w:p w14:paraId="1301F4F1">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0.3</w:t>
                  </w:r>
                </w:p>
              </w:tc>
            </w:tr>
            <w:tr w14:paraId="66A26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noWrap w:val="0"/>
                  <w:vAlign w:val="center"/>
                </w:tcPr>
                <w:p w14:paraId="2506B5A3">
                  <w:pPr>
                    <w:shd w:val="clear" w:color="auto" w:fill="auto"/>
                    <w:adjustRightInd w:val="0"/>
                    <w:snapToGrid w:val="0"/>
                    <w:jc w:val="center"/>
                    <w:rPr>
                      <w:color w:val="000000"/>
                      <w:sz w:val="21"/>
                      <w:szCs w:val="21"/>
                      <w:highlight w:val="none"/>
                    </w:rPr>
                  </w:pPr>
                </w:p>
              </w:tc>
              <w:tc>
                <w:tcPr>
                  <w:tcW w:w="690" w:type="pct"/>
                  <w:tcBorders>
                    <w:tl2br w:val="nil"/>
                    <w:tr2bl w:val="nil"/>
                  </w:tcBorders>
                  <w:shd w:val="clear" w:color="auto" w:fill="auto"/>
                  <w:noWrap w:val="0"/>
                  <w:vAlign w:val="center"/>
                </w:tcPr>
                <w:p w14:paraId="75CDFACB">
                  <w:pPr>
                    <w:shd w:val="clear" w:color="auto" w:fill="auto"/>
                    <w:adjustRightInd w:val="0"/>
                    <w:snapToGrid w:val="0"/>
                    <w:jc w:val="center"/>
                    <w:rPr>
                      <w:color w:val="000000"/>
                      <w:sz w:val="21"/>
                      <w:szCs w:val="21"/>
                      <w:highlight w:val="none"/>
                    </w:rPr>
                  </w:pPr>
                  <w:r>
                    <w:rPr>
                      <w:color w:val="000000"/>
                      <w:sz w:val="21"/>
                      <w:szCs w:val="21"/>
                      <w:highlight w:val="none"/>
                    </w:rPr>
                    <w:t>温度（℃）</w:t>
                  </w:r>
                </w:p>
              </w:tc>
              <w:tc>
                <w:tcPr>
                  <w:tcW w:w="927" w:type="pct"/>
                  <w:gridSpan w:val="3"/>
                  <w:tcBorders>
                    <w:tl2br w:val="nil"/>
                    <w:tr2bl w:val="nil"/>
                  </w:tcBorders>
                  <w:shd w:val="clear" w:color="auto" w:fill="auto"/>
                  <w:noWrap w:val="0"/>
                  <w:vAlign w:val="center"/>
                </w:tcPr>
                <w:p w14:paraId="66FBC69E">
                  <w:pPr>
                    <w:shd w:val="clear" w:color="auto" w:fill="auto"/>
                    <w:adjustRightInd w:val="0"/>
                    <w:snapToGrid w:val="0"/>
                    <w:jc w:val="center"/>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25</w:t>
                  </w:r>
                </w:p>
              </w:tc>
              <w:tc>
                <w:tcPr>
                  <w:tcW w:w="1932" w:type="pct"/>
                  <w:gridSpan w:val="5"/>
                  <w:tcBorders>
                    <w:tl2br w:val="nil"/>
                    <w:tr2bl w:val="nil"/>
                  </w:tcBorders>
                  <w:shd w:val="clear" w:color="auto" w:fill="auto"/>
                  <w:noWrap w:val="0"/>
                  <w:vAlign w:val="center"/>
                </w:tcPr>
                <w:p w14:paraId="52605552">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150</w:t>
                  </w:r>
                </w:p>
              </w:tc>
              <w:tc>
                <w:tcPr>
                  <w:tcW w:w="1202" w:type="pct"/>
                  <w:gridSpan w:val="3"/>
                  <w:tcBorders>
                    <w:tl2br w:val="nil"/>
                    <w:tr2bl w:val="nil"/>
                  </w:tcBorders>
                  <w:shd w:val="clear" w:color="auto" w:fill="auto"/>
                  <w:noWrap w:val="0"/>
                  <w:vAlign w:val="center"/>
                </w:tcPr>
                <w:p w14:paraId="00B8D960">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25</w:t>
                  </w:r>
                </w:p>
              </w:tc>
            </w:tr>
            <w:tr w14:paraId="75B8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noWrap w:val="0"/>
                  <w:vAlign w:val="center"/>
                </w:tcPr>
                <w:p w14:paraId="664E525E">
                  <w:pPr>
                    <w:shd w:val="clear" w:color="auto" w:fill="auto"/>
                    <w:adjustRightInd w:val="0"/>
                    <w:snapToGrid w:val="0"/>
                    <w:jc w:val="center"/>
                    <w:rPr>
                      <w:color w:val="000000"/>
                      <w:sz w:val="21"/>
                      <w:szCs w:val="21"/>
                      <w:highlight w:val="none"/>
                    </w:rPr>
                  </w:pPr>
                </w:p>
              </w:tc>
              <w:tc>
                <w:tcPr>
                  <w:tcW w:w="690" w:type="pct"/>
                  <w:tcBorders>
                    <w:tl2br w:val="nil"/>
                    <w:tr2bl w:val="nil"/>
                  </w:tcBorders>
                  <w:shd w:val="clear" w:color="auto" w:fill="auto"/>
                  <w:noWrap w:val="0"/>
                  <w:vAlign w:val="center"/>
                </w:tcPr>
                <w:p w14:paraId="4DB861F7">
                  <w:pPr>
                    <w:shd w:val="clear" w:color="auto" w:fill="auto"/>
                    <w:adjustRightInd w:val="0"/>
                    <w:snapToGrid w:val="0"/>
                    <w:jc w:val="center"/>
                    <w:rPr>
                      <w:color w:val="000000"/>
                      <w:sz w:val="21"/>
                      <w:szCs w:val="21"/>
                      <w:highlight w:val="none"/>
                    </w:rPr>
                  </w:pPr>
                  <w:r>
                    <w:rPr>
                      <w:color w:val="000000"/>
                      <w:sz w:val="21"/>
                      <w:szCs w:val="21"/>
                      <w:highlight w:val="none"/>
                    </w:rPr>
                    <w:t>编号及名称</w:t>
                  </w:r>
                </w:p>
              </w:tc>
              <w:tc>
                <w:tcPr>
                  <w:tcW w:w="927" w:type="pct"/>
                  <w:gridSpan w:val="3"/>
                  <w:tcBorders>
                    <w:tl2br w:val="nil"/>
                    <w:tr2bl w:val="nil"/>
                  </w:tcBorders>
                  <w:shd w:val="clear" w:color="auto" w:fill="auto"/>
                  <w:noWrap w:val="0"/>
                  <w:vAlign w:val="center"/>
                </w:tcPr>
                <w:p w14:paraId="185B3FF2">
                  <w:pPr>
                    <w:shd w:val="clear" w:color="auto" w:fill="auto"/>
                    <w:adjustRightInd w:val="0"/>
                    <w:snapToGrid w:val="0"/>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DA001</w:t>
                  </w:r>
                </w:p>
              </w:tc>
              <w:tc>
                <w:tcPr>
                  <w:tcW w:w="1932" w:type="pct"/>
                  <w:gridSpan w:val="5"/>
                  <w:tcBorders>
                    <w:tl2br w:val="nil"/>
                    <w:tr2bl w:val="nil"/>
                  </w:tcBorders>
                  <w:shd w:val="clear" w:color="auto" w:fill="auto"/>
                  <w:noWrap w:val="0"/>
                  <w:vAlign w:val="center"/>
                </w:tcPr>
                <w:p w14:paraId="042FC9A7">
                  <w:pPr>
                    <w:shd w:val="clear" w:color="auto" w:fill="auto"/>
                    <w:adjustRightInd w:val="0"/>
                    <w:snapToGrid w:val="0"/>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DA002</w:t>
                  </w:r>
                </w:p>
              </w:tc>
              <w:tc>
                <w:tcPr>
                  <w:tcW w:w="1202" w:type="pct"/>
                  <w:gridSpan w:val="3"/>
                  <w:tcBorders>
                    <w:tl2br w:val="nil"/>
                    <w:tr2bl w:val="nil"/>
                  </w:tcBorders>
                  <w:shd w:val="clear" w:color="auto" w:fill="auto"/>
                  <w:noWrap w:val="0"/>
                  <w:vAlign w:val="center"/>
                </w:tcPr>
                <w:p w14:paraId="785E130C">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DA003</w:t>
                  </w:r>
                </w:p>
              </w:tc>
            </w:tr>
            <w:tr w14:paraId="378A0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247" w:type="pct"/>
                  <w:vMerge w:val="continue"/>
                  <w:tcBorders>
                    <w:tl2br w:val="nil"/>
                    <w:tr2bl w:val="nil"/>
                  </w:tcBorders>
                  <w:shd w:val="clear" w:color="auto" w:fill="auto"/>
                  <w:noWrap w:val="0"/>
                  <w:vAlign w:val="center"/>
                </w:tcPr>
                <w:p w14:paraId="6585238F">
                  <w:pPr>
                    <w:shd w:val="clear" w:color="auto" w:fill="auto"/>
                    <w:adjustRightInd w:val="0"/>
                    <w:snapToGrid w:val="0"/>
                    <w:jc w:val="center"/>
                    <w:rPr>
                      <w:color w:val="000000"/>
                      <w:sz w:val="21"/>
                      <w:szCs w:val="21"/>
                      <w:highlight w:val="none"/>
                    </w:rPr>
                  </w:pPr>
                </w:p>
              </w:tc>
              <w:tc>
                <w:tcPr>
                  <w:tcW w:w="690" w:type="pct"/>
                  <w:tcBorders>
                    <w:tl2br w:val="nil"/>
                    <w:tr2bl w:val="nil"/>
                  </w:tcBorders>
                  <w:shd w:val="clear" w:color="auto" w:fill="auto"/>
                  <w:noWrap w:val="0"/>
                  <w:vAlign w:val="center"/>
                </w:tcPr>
                <w:p w14:paraId="3C13D5FF">
                  <w:pPr>
                    <w:shd w:val="clear" w:color="auto" w:fill="auto"/>
                    <w:adjustRightInd w:val="0"/>
                    <w:snapToGrid w:val="0"/>
                    <w:jc w:val="center"/>
                    <w:rPr>
                      <w:color w:val="000000"/>
                      <w:sz w:val="21"/>
                      <w:szCs w:val="21"/>
                      <w:highlight w:val="none"/>
                    </w:rPr>
                  </w:pPr>
                  <w:r>
                    <w:rPr>
                      <w:color w:val="000000"/>
                      <w:sz w:val="21"/>
                      <w:szCs w:val="21"/>
                      <w:highlight w:val="none"/>
                    </w:rPr>
                    <w:t>地理坐标（°）</w:t>
                  </w:r>
                </w:p>
              </w:tc>
              <w:tc>
                <w:tcPr>
                  <w:tcW w:w="927" w:type="pct"/>
                  <w:gridSpan w:val="3"/>
                  <w:tcBorders>
                    <w:tl2br w:val="nil"/>
                    <w:tr2bl w:val="nil"/>
                  </w:tcBorders>
                  <w:shd w:val="clear" w:color="auto" w:fill="auto"/>
                  <w:noWrap w:val="0"/>
                  <w:vAlign w:val="center"/>
                </w:tcPr>
                <w:p w14:paraId="2DB5B0D2">
                  <w:pPr>
                    <w:shd w:val="clear" w:color="auto" w:fill="auto"/>
                    <w:adjustRightInd w:val="0"/>
                    <w:snapToGrid w:val="0"/>
                    <w:jc w:val="center"/>
                    <w:rPr>
                      <w:color w:val="000000"/>
                      <w:sz w:val="21"/>
                      <w:szCs w:val="21"/>
                      <w:highlight w:val="none"/>
                    </w:rPr>
                  </w:pPr>
                  <w:r>
                    <w:rPr>
                      <w:rFonts w:hint="eastAsia"/>
                      <w:color w:val="000000"/>
                      <w:sz w:val="21"/>
                      <w:szCs w:val="21"/>
                      <w:highlight w:val="none"/>
                    </w:rPr>
                    <w:t>107.300320199</w:t>
                  </w:r>
                  <w:r>
                    <w:rPr>
                      <w:rFonts w:hint="eastAsia"/>
                      <w:color w:val="000000"/>
                      <w:sz w:val="21"/>
                      <w:szCs w:val="21"/>
                      <w:highlight w:val="none"/>
                      <w:lang w:eastAsia="zh-CN"/>
                    </w:rPr>
                    <w:t>,</w:t>
                  </w:r>
                  <w:r>
                    <w:rPr>
                      <w:rFonts w:hint="eastAsia"/>
                      <w:color w:val="000000"/>
                      <w:sz w:val="21"/>
                      <w:szCs w:val="21"/>
                      <w:highlight w:val="none"/>
                    </w:rPr>
                    <w:t>34.462621775</w:t>
                  </w:r>
                </w:p>
              </w:tc>
              <w:tc>
                <w:tcPr>
                  <w:tcW w:w="1932" w:type="pct"/>
                  <w:gridSpan w:val="5"/>
                  <w:tcBorders>
                    <w:tl2br w:val="nil"/>
                    <w:tr2bl w:val="nil"/>
                  </w:tcBorders>
                  <w:shd w:val="clear" w:color="auto" w:fill="auto"/>
                  <w:noWrap w:val="0"/>
                  <w:vAlign w:val="center"/>
                </w:tcPr>
                <w:p w14:paraId="5E2D8989">
                  <w:pPr>
                    <w:shd w:val="clear" w:color="auto" w:fill="auto"/>
                    <w:adjustRightInd w:val="0"/>
                    <w:snapToGrid w:val="0"/>
                    <w:jc w:val="center"/>
                    <w:rPr>
                      <w:color w:val="000000"/>
                      <w:sz w:val="21"/>
                      <w:szCs w:val="21"/>
                      <w:highlight w:val="none"/>
                    </w:rPr>
                  </w:pPr>
                  <w:r>
                    <w:rPr>
                      <w:rFonts w:hint="eastAsia"/>
                      <w:color w:val="000000"/>
                      <w:sz w:val="21"/>
                      <w:szCs w:val="21"/>
                      <w:highlight w:val="none"/>
                    </w:rPr>
                    <w:t>107.300046614</w:t>
                  </w:r>
                  <w:r>
                    <w:rPr>
                      <w:rFonts w:hint="eastAsia"/>
                      <w:color w:val="000000"/>
                      <w:sz w:val="21"/>
                      <w:szCs w:val="21"/>
                      <w:highlight w:val="none"/>
                      <w:lang w:eastAsia="zh-CN"/>
                    </w:rPr>
                    <w:t>,</w:t>
                  </w:r>
                  <w:r>
                    <w:rPr>
                      <w:rFonts w:hint="eastAsia"/>
                      <w:color w:val="000000"/>
                      <w:sz w:val="21"/>
                      <w:szCs w:val="21"/>
                      <w:highlight w:val="none"/>
                    </w:rPr>
                    <w:t>34.462605682</w:t>
                  </w:r>
                </w:p>
              </w:tc>
              <w:tc>
                <w:tcPr>
                  <w:tcW w:w="1202" w:type="pct"/>
                  <w:gridSpan w:val="3"/>
                  <w:tcBorders>
                    <w:tl2br w:val="nil"/>
                    <w:tr2bl w:val="nil"/>
                  </w:tcBorders>
                  <w:shd w:val="clear" w:color="auto" w:fill="auto"/>
                  <w:noWrap w:val="0"/>
                  <w:vAlign w:val="center"/>
                </w:tcPr>
                <w:p w14:paraId="07DA259A">
                  <w:pPr>
                    <w:shd w:val="clear" w:color="auto" w:fill="auto"/>
                    <w:adjustRightInd w:val="0"/>
                    <w:snapToGrid w:val="0"/>
                    <w:jc w:val="center"/>
                    <w:rPr>
                      <w:rFonts w:hint="eastAsia"/>
                      <w:color w:val="000000"/>
                      <w:sz w:val="21"/>
                      <w:szCs w:val="21"/>
                      <w:highlight w:val="none"/>
                      <w:lang w:val="en-US" w:eastAsia="zh-CN"/>
                    </w:rPr>
                  </w:pPr>
                  <w:r>
                    <w:rPr>
                      <w:rFonts w:hint="eastAsia"/>
                      <w:color w:val="000000"/>
                      <w:sz w:val="21"/>
                      <w:szCs w:val="21"/>
                      <w:highlight w:val="none"/>
                      <w:lang w:val="en-US" w:eastAsia="zh-CN"/>
                    </w:rPr>
                    <w:t>107.300470403,34.462450114</w:t>
                  </w:r>
                </w:p>
              </w:tc>
            </w:tr>
            <w:tr w14:paraId="605D1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38" w:type="pct"/>
                  <w:gridSpan w:val="2"/>
                  <w:tcBorders>
                    <w:tl2br w:val="nil"/>
                    <w:tr2bl w:val="nil"/>
                  </w:tcBorders>
                  <w:shd w:val="clear" w:color="auto" w:fill="auto"/>
                  <w:noWrap w:val="0"/>
                  <w:vAlign w:val="center"/>
                </w:tcPr>
                <w:p w14:paraId="7E2BFB34">
                  <w:pPr>
                    <w:shd w:val="clear" w:color="auto" w:fill="auto"/>
                    <w:adjustRightInd w:val="0"/>
                    <w:snapToGrid w:val="0"/>
                    <w:jc w:val="center"/>
                    <w:rPr>
                      <w:color w:val="000000"/>
                      <w:sz w:val="21"/>
                      <w:szCs w:val="21"/>
                      <w:highlight w:val="none"/>
                    </w:rPr>
                  </w:pPr>
                  <w:r>
                    <w:rPr>
                      <w:color w:val="000000"/>
                      <w:sz w:val="21"/>
                      <w:szCs w:val="21"/>
                      <w:highlight w:val="none"/>
                    </w:rPr>
                    <w:t>排放标准</w:t>
                  </w:r>
                </w:p>
              </w:tc>
              <w:tc>
                <w:tcPr>
                  <w:tcW w:w="927" w:type="pct"/>
                  <w:gridSpan w:val="3"/>
                  <w:tcBorders>
                    <w:tl2br w:val="nil"/>
                    <w:tr2bl w:val="nil"/>
                  </w:tcBorders>
                  <w:shd w:val="clear" w:color="auto" w:fill="auto"/>
                  <w:noWrap w:val="0"/>
                  <w:vAlign w:val="center"/>
                </w:tcPr>
                <w:p w14:paraId="548DDA01">
                  <w:pPr>
                    <w:shd w:val="clear" w:color="auto" w:fill="auto"/>
                    <w:adjustRightInd w:val="0"/>
                    <w:snapToGrid w:val="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《大气污染物综合排放标准》（GB16297-1996）表2中二级标准限值</w:t>
                  </w:r>
                </w:p>
              </w:tc>
              <w:tc>
                <w:tcPr>
                  <w:tcW w:w="1932" w:type="pct"/>
                  <w:gridSpan w:val="5"/>
                  <w:tcBorders>
                    <w:tl2br w:val="nil"/>
                    <w:tr2bl w:val="nil"/>
                  </w:tcBorders>
                  <w:shd w:val="clear" w:color="auto" w:fill="auto"/>
                  <w:noWrap w:val="0"/>
                  <w:vAlign w:val="center"/>
                </w:tcPr>
                <w:p w14:paraId="57046D8B">
                  <w:pPr>
                    <w:shd w:val="clear" w:color="auto" w:fill="auto"/>
                    <w:adjustRightInd w:val="0"/>
                    <w:snapToGrid w:val="0"/>
                    <w:jc w:val="center"/>
                    <w:rPr>
                      <w:rFonts w:hint="default" w:ascii="Times New Roman" w:hAnsi="Times New Roman" w:eastAsia="宋体" w:cs="Times New Roman"/>
                      <w:color w:val="000000"/>
                      <w:kern w:val="2"/>
                      <w:sz w:val="21"/>
                      <w:szCs w:val="21"/>
                      <w:highlight w:val="none"/>
                      <w:lang w:val="en-US" w:eastAsia="zh-CN" w:bidi="ar-SA"/>
                    </w:rPr>
                  </w:pPr>
                  <w:r>
                    <w:rPr>
                      <w:rFonts w:ascii="Times New Roman" w:hAnsi="Times New Roman" w:eastAsia="宋体" w:cs="Times New Roman"/>
                      <w:color w:val="000000"/>
                      <w:szCs w:val="21"/>
                      <w:highlight w:val="none"/>
                    </w:rPr>
                    <w:t>《锅炉大气污染物排放标准》（DB61/1226-2018）</w:t>
                  </w:r>
                  <w:r>
                    <w:rPr>
                      <w:rFonts w:hint="eastAsia" w:cs="Times New Roman"/>
                      <w:color w:val="000000"/>
                      <w:szCs w:val="21"/>
                      <w:highlight w:val="none"/>
                      <w:lang w:eastAsia="zh-CN"/>
                    </w:rPr>
                    <w:t>、</w:t>
                  </w:r>
                  <w:r>
                    <w:rPr>
                      <w:rFonts w:hint="eastAsia" w:ascii="Times New Roman" w:hAnsi="Times New Roman" w:eastAsia="宋体" w:cs="Times New Roman"/>
                      <w:color w:val="000000"/>
                      <w:szCs w:val="21"/>
                      <w:highlight w:val="none"/>
                    </w:rPr>
                    <w:t>《宝鸡市锅炉大气污染专项整治行动方案》中限值要求</w:t>
                  </w:r>
                </w:p>
              </w:tc>
              <w:tc>
                <w:tcPr>
                  <w:tcW w:w="1202" w:type="pct"/>
                  <w:gridSpan w:val="3"/>
                  <w:tcBorders>
                    <w:tl2br w:val="nil"/>
                    <w:tr2bl w:val="nil"/>
                  </w:tcBorders>
                  <w:shd w:val="clear" w:color="auto" w:fill="auto"/>
                  <w:noWrap w:val="0"/>
                  <w:vAlign w:val="center"/>
                </w:tcPr>
                <w:p w14:paraId="68E36AF4">
                  <w:pPr>
                    <w:shd w:val="clear" w:color="auto" w:fill="auto"/>
                    <w:adjustRightInd w:val="0"/>
                    <w:snapToGrid w:val="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w:t>
                  </w:r>
                  <w:r>
                    <w:rPr>
                      <w:rFonts w:hint="default" w:ascii="Times New Roman" w:hAnsi="Times New Roman" w:eastAsia="宋体" w:cs="Times New Roman"/>
                      <w:color w:val="000000"/>
                      <w:kern w:val="2"/>
                      <w:sz w:val="21"/>
                      <w:szCs w:val="21"/>
                      <w:highlight w:val="none"/>
                      <w:lang w:val="en-US" w:eastAsia="zh-CN" w:bidi="ar-SA"/>
                    </w:rPr>
                    <w:t>恶臭污染物排放标准</w:t>
                  </w:r>
                  <w:r>
                    <w:rPr>
                      <w:rFonts w:hint="eastAsia" w:ascii="Times New Roman" w:hAnsi="Times New Roman" w:eastAsia="宋体" w:cs="Times New Roman"/>
                      <w:color w:val="000000"/>
                      <w:kern w:val="2"/>
                      <w:sz w:val="21"/>
                      <w:szCs w:val="21"/>
                      <w:highlight w:val="none"/>
                      <w:lang w:val="en-US" w:eastAsia="zh-CN" w:bidi="ar-SA"/>
                    </w:rPr>
                    <w:t>》（GB14554-93）表2中相关标准限值</w:t>
                  </w:r>
                </w:p>
              </w:tc>
            </w:tr>
            <w:tr w14:paraId="28E57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939" w:type="pct"/>
                  <w:gridSpan w:val="3"/>
                  <w:tcBorders>
                    <w:tl2br w:val="nil"/>
                    <w:tr2bl w:val="nil"/>
                  </w:tcBorders>
                  <w:shd w:val="clear" w:color="auto" w:fill="auto"/>
                  <w:noWrap w:val="0"/>
                  <w:vAlign w:val="center"/>
                </w:tcPr>
                <w:p w14:paraId="4A5D33F8">
                  <w:pPr>
                    <w:shd w:val="clear" w:color="auto" w:fill="auto"/>
                    <w:adjustRightInd w:val="0"/>
                    <w:snapToGrid w:val="0"/>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浓度限值</w:t>
                  </w:r>
                  <w:r>
                    <w:rPr>
                      <w:color w:val="000000"/>
                      <w:sz w:val="21"/>
                      <w:szCs w:val="21"/>
                      <w:highlight w:val="none"/>
                    </w:rPr>
                    <w:t>（mg/</w:t>
                  </w:r>
                  <w:r>
                    <w:rPr>
                      <w:rFonts w:hint="eastAsia"/>
                      <w:color w:val="000000"/>
                      <w:sz w:val="21"/>
                      <w:szCs w:val="21"/>
                      <w:highlight w:val="none"/>
                      <w:lang w:eastAsia="zh-CN"/>
                    </w:rPr>
                    <w:t>m³</w:t>
                  </w:r>
                  <w:r>
                    <w:rPr>
                      <w:color w:val="000000"/>
                      <w:sz w:val="21"/>
                      <w:szCs w:val="21"/>
                      <w:highlight w:val="none"/>
                    </w:rPr>
                    <w:t>）</w:t>
                  </w:r>
                </w:p>
              </w:tc>
              <w:tc>
                <w:tcPr>
                  <w:tcW w:w="928" w:type="pct"/>
                  <w:gridSpan w:val="3"/>
                  <w:tcBorders>
                    <w:tl2br w:val="nil"/>
                    <w:tr2bl w:val="nil"/>
                  </w:tcBorders>
                  <w:shd w:val="clear" w:color="auto" w:fill="auto"/>
                  <w:noWrap w:val="0"/>
                  <w:vAlign w:val="center"/>
                </w:tcPr>
                <w:p w14:paraId="09A0E107">
                  <w:pPr>
                    <w:shd w:val="clear" w:color="auto" w:fill="auto"/>
                    <w:bidi w:val="0"/>
                    <w:jc w:val="center"/>
                    <w:rPr>
                      <w:rFonts w:hint="default"/>
                      <w:color w:val="000000"/>
                      <w:highlight w:val="none"/>
                      <w:lang w:val="en-US" w:eastAsia="zh-CN"/>
                    </w:rPr>
                  </w:pPr>
                  <w:r>
                    <w:rPr>
                      <w:rFonts w:hint="eastAsia"/>
                      <w:color w:val="000000"/>
                      <w:highlight w:val="none"/>
                      <w:lang w:val="en-US" w:eastAsia="zh-CN"/>
                    </w:rPr>
                    <w:t>120</w:t>
                  </w:r>
                </w:p>
              </w:tc>
              <w:tc>
                <w:tcPr>
                  <w:tcW w:w="553" w:type="pct"/>
                  <w:gridSpan w:val="2"/>
                  <w:tcBorders>
                    <w:tl2br w:val="nil"/>
                    <w:tr2bl w:val="nil"/>
                  </w:tcBorders>
                  <w:shd w:val="clear" w:color="auto" w:fill="auto"/>
                  <w:noWrap w:val="0"/>
                  <w:vAlign w:val="center"/>
                </w:tcPr>
                <w:p w14:paraId="5521D9C7">
                  <w:pPr>
                    <w:shd w:val="clear" w:color="auto" w:fill="auto"/>
                    <w:bidi w:val="0"/>
                    <w:jc w:val="center"/>
                    <w:rPr>
                      <w:rFonts w:hint="default"/>
                      <w:color w:val="000000"/>
                      <w:highlight w:val="none"/>
                      <w:lang w:val="en-US" w:eastAsia="zh-CN"/>
                    </w:rPr>
                  </w:pPr>
                  <w:r>
                    <w:rPr>
                      <w:rFonts w:hint="eastAsia"/>
                      <w:color w:val="000000"/>
                      <w:highlight w:val="none"/>
                      <w:lang w:val="en-US" w:eastAsia="zh-CN"/>
                    </w:rPr>
                    <w:t>10</w:t>
                  </w:r>
                </w:p>
              </w:tc>
              <w:tc>
                <w:tcPr>
                  <w:tcW w:w="694" w:type="pct"/>
                  <w:tcBorders>
                    <w:tl2br w:val="nil"/>
                    <w:tr2bl w:val="nil"/>
                  </w:tcBorders>
                  <w:shd w:val="clear" w:color="auto" w:fill="auto"/>
                  <w:noWrap w:val="0"/>
                  <w:vAlign w:val="center"/>
                </w:tcPr>
                <w:p w14:paraId="29BD830E">
                  <w:pPr>
                    <w:shd w:val="clear" w:color="auto" w:fill="auto"/>
                    <w:bidi w:val="0"/>
                    <w:jc w:val="center"/>
                    <w:rPr>
                      <w:rFonts w:hint="default"/>
                      <w:color w:val="000000"/>
                      <w:highlight w:val="none"/>
                      <w:lang w:val="en-US" w:eastAsia="zh-CN"/>
                    </w:rPr>
                  </w:pPr>
                  <w:r>
                    <w:rPr>
                      <w:rFonts w:hint="eastAsia"/>
                      <w:color w:val="000000"/>
                      <w:highlight w:val="none"/>
                      <w:lang w:val="en-US" w:eastAsia="zh-CN"/>
                    </w:rPr>
                    <w:t>20</w:t>
                  </w:r>
                </w:p>
              </w:tc>
              <w:tc>
                <w:tcPr>
                  <w:tcW w:w="682" w:type="pct"/>
                  <w:tcBorders>
                    <w:tl2br w:val="nil"/>
                    <w:tr2bl w:val="nil"/>
                  </w:tcBorders>
                  <w:shd w:val="clear" w:color="auto" w:fill="auto"/>
                  <w:noWrap w:val="0"/>
                  <w:vAlign w:val="center"/>
                </w:tcPr>
                <w:p w14:paraId="404B0A58">
                  <w:pPr>
                    <w:shd w:val="clear" w:color="auto" w:fill="auto"/>
                    <w:bidi w:val="0"/>
                    <w:jc w:val="center"/>
                    <w:rPr>
                      <w:rFonts w:hint="default"/>
                      <w:color w:val="000000"/>
                      <w:kern w:val="2"/>
                      <w:sz w:val="21"/>
                      <w:szCs w:val="21"/>
                      <w:highlight w:val="none"/>
                      <w:lang w:val="en-US" w:eastAsia="zh-CN" w:bidi="ar-SA"/>
                    </w:rPr>
                  </w:pPr>
                  <w:r>
                    <w:rPr>
                      <w:rFonts w:hint="eastAsia"/>
                      <w:color w:val="000000"/>
                      <w:highlight w:val="none"/>
                      <w:lang w:val="en-US" w:eastAsia="zh-CN"/>
                    </w:rPr>
                    <w:t>30</w:t>
                  </w:r>
                </w:p>
              </w:tc>
              <w:tc>
                <w:tcPr>
                  <w:tcW w:w="584" w:type="pct"/>
                  <w:tcBorders>
                    <w:tl2br w:val="nil"/>
                    <w:tr2bl w:val="nil"/>
                  </w:tcBorders>
                  <w:shd w:val="clear" w:color="auto" w:fill="auto"/>
                  <w:noWrap w:val="0"/>
                  <w:vAlign w:val="center"/>
                </w:tcPr>
                <w:p w14:paraId="28F59A46">
                  <w:pPr>
                    <w:shd w:val="clear" w:color="auto" w:fill="auto"/>
                    <w:bidi w:val="0"/>
                    <w:jc w:val="center"/>
                    <w:rPr>
                      <w:rFonts w:hint="eastAsia" w:ascii="Times New Roman" w:hAnsi="Times New Roman" w:eastAsia="宋体" w:cs="Times New Roman"/>
                      <w:color w:val="000000"/>
                      <w:kern w:val="2"/>
                      <w:sz w:val="21"/>
                      <w:szCs w:val="21"/>
                      <w:highlight w:val="none"/>
                      <w:lang w:val="en-US" w:eastAsia="zh-CN" w:bidi="ar-SA"/>
                    </w:rPr>
                  </w:pPr>
                  <w:r>
                    <w:rPr>
                      <w:rFonts w:hint="eastAsia"/>
                      <w:color w:val="000000"/>
                      <w:highlight w:val="none"/>
                      <w:lang w:val="en-US" w:eastAsia="zh-CN"/>
                    </w:rPr>
                    <w:t>/</w:t>
                  </w:r>
                </w:p>
              </w:tc>
              <w:tc>
                <w:tcPr>
                  <w:tcW w:w="617" w:type="pct"/>
                  <w:gridSpan w:val="2"/>
                  <w:tcBorders>
                    <w:tl2br w:val="nil"/>
                    <w:tr2bl w:val="nil"/>
                  </w:tcBorders>
                  <w:shd w:val="clear" w:color="auto" w:fill="auto"/>
                  <w:noWrap w:val="0"/>
                  <w:vAlign w:val="center"/>
                </w:tcPr>
                <w:p w14:paraId="45EEB1D1">
                  <w:pPr>
                    <w:shd w:val="clear" w:color="auto" w:fill="auto"/>
                    <w:bidi w:val="0"/>
                    <w:jc w:val="center"/>
                    <w:rPr>
                      <w:rFonts w:hint="eastAsia" w:ascii="Times New Roman" w:hAnsi="Times New Roman" w:eastAsia="宋体" w:cs="Times New Roman"/>
                      <w:color w:val="000000"/>
                      <w:kern w:val="2"/>
                      <w:sz w:val="21"/>
                      <w:szCs w:val="21"/>
                      <w:highlight w:val="none"/>
                      <w:lang w:val="en-US" w:eastAsia="zh-CN" w:bidi="ar-SA"/>
                    </w:rPr>
                  </w:pPr>
                  <w:r>
                    <w:rPr>
                      <w:rFonts w:hint="eastAsia"/>
                      <w:color w:val="000000"/>
                      <w:highlight w:val="none"/>
                      <w:lang w:val="en-US" w:eastAsia="zh-CN"/>
                    </w:rPr>
                    <w:t>/</w:t>
                  </w:r>
                </w:p>
              </w:tc>
            </w:tr>
            <w:tr w14:paraId="5CB37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939" w:type="pct"/>
                  <w:gridSpan w:val="3"/>
                  <w:tcBorders>
                    <w:tl2br w:val="nil"/>
                    <w:tr2bl w:val="nil"/>
                  </w:tcBorders>
                  <w:shd w:val="clear" w:color="auto" w:fill="auto"/>
                  <w:noWrap w:val="0"/>
                  <w:vAlign w:val="center"/>
                </w:tcPr>
                <w:p w14:paraId="3810C797">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速率限值</w:t>
                  </w:r>
                  <w:r>
                    <w:rPr>
                      <w:color w:val="000000"/>
                      <w:sz w:val="21"/>
                      <w:szCs w:val="21"/>
                      <w:highlight w:val="none"/>
                    </w:rPr>
                    <w:t>（kg/h）</w:t>
                  </w:r>
                </w:p>
              </w:tc>
              <w:tc>
                <w:tcPr>
                  <w:tcW w:w="928" w:type="pct"/>
                  <w:gridSpan w:val="3"/>
                  <w:tcBorders>
                    <w:tl2br w:val="nil"/>
                    <w:tr2bl w:val="nil"/>
                  </w:tcBorders>
                  <w:shd w:val="clear" w:color="auto" w:fill="auto"/>
                  <w:noWrap w:val="0"/>
                  <w:vAlign w:val="center"/>
                </w:tcPr>
                <w:p w14:paraId="77F2F70E">
                  <w:pPr>
                    <w:shd w:val="clear" w:color="auto" w:fill="auto"/>
                    <w:bidi w:val="0"/>
                    <w:jc w:val="center"/>
                    <w:rPr>
                      <w:rFonts w:hint="default"/>
                      <w:color w:val="000000"/>
                      <w:highlight w:val="none"/>
                      <w:lang w:val="en-US" w:eastAsia="zh-CN"/>
                    </w:rPr>
                  </w:pPr>
                  <w:r>
                    <w:rPr>
                      <w:rFonts w:hint="eastAsia"/>
                      <w:color w:val="000000"/>
                      <w:highlight w:val="none"/>
                      <w:lang w:val="en-US" w:eastAsia="zh-CN"/>
                    </w:rPr>
                    <w:t>5.9</w:t>
                  </w:r>
                </w:p>
              </w:tc>
              <w:tc>
                <w:tcPr>
                  <w:tcW w:w="553" w:type="pct"/>
                  <w:gridSpan w:val="2"/>
                  <w:tcBorders>
                    <w:tl2br w:val="nil"/>
                    <w:tr2bl w:val="nil"/>
                  </w:tcBorders>
                  <w:shd w:val="clear" w:color="auto" w:fill="auto"/>
                  <w:noWrap w:val="0"/>
                  <w:vAlign w:val="center"/>
                </w:tcPr>
                <w:p w14:paraId="4F5042BD">
                  <w:pPr>
                    <w:shd w:val="clear" w:color="auto" w:fill="auto"/>
                    <w:bidi w:val="0"/>
                    <w:jc w:val="center"/>
                    <w:rPr>
                      <w:rFonts w:hint="default"/>
                      <w:color w:val="000000"/>
                      <w:kern w:val="2"/>
                      <w:sz w:val="21"/>
                      <w:szCs w:val="21"/>
                      <w:highlight w:val="none"/>
                      <w:lang w:val="en-US" w:eastAsia="zh-CN" w:bidi="ar-SA"/>
                    </w:rPr>
                  </w:pPr>
                  <w:r>
                    <w:rPr>
                      <w:rFonts w:hint="eastAsia"/>
                      <w:color w:val="000000"/>
                      <w:highlight w:val="none"/>
                      <w:lang w:val="en-US" w:eastAsia="zh-CN"/>
                    </w:rPr>
                    <w:t>/</w:t>
                  </w:r>
                </w:p>
              </w:tc>
              <w:tc>
                <w:tcPr>
                  <w:tcW w:w="694" w:type="pct"/>
                  <w:tcBorders>
                    <w:tl2br w:val="nil"/>
                    <w:tr2bl w:val="nil"/>
                  </w:tcBorders>
                  <w:shd w:val="clear" w:color="auto" w:fill="auto"/>
                  <w:noWrap w:val="0"/>
                  <w:vAlign w:val="center"/>
                </w:tcPr>
                <w:p w14:paraId="0E32C71B">
                  <w:pPr>
                    <w:shd w:val="clear" w:color="auto" w:fill="auto"/>
                    <w:bidi w:val="0"/>
                    <w:jc w:val="center"/>
                    <w:rPr>
                      <w:rFonts w:hint="default"/>
                      <w:color w:val="000000"/>
                      <w:kern w:val="2"/>
                      <w:sz w:val="21"/>
                      <w:szCs w:val="21"/>
                      <w:highlight w:val="none"/>
                      <w:lang w:val="en-US" w:eastAsia="zh-CN" w:bidi="ar-SA"/>
                    </w:rPr>
                  </w:pPr>
                  <w:r>
                    <w:rPr>
                      <w:rFonts w:hint="eastAsia"/>
                      <w:color w:val="000000"/>
                      <w:highlight w:val="none"/>
                      <w:lang w:val="en-US" w:eastAsia="zh-CN"/>
                    </w:rPr>
                    <w:t>/</w:t>
                  </w:r>
                </w:p>
              </w:tc>
              <w:tc>
                <w:tcPr>
                  <w:tcW w:w="682" w:type="pct"/>
                  <w:tcBorders>
                    <w:tl2br w:val="nil"/>
                    <w:tr2bl w:val="nil"/>
                  </w:tcBorders>
                  <w:shd w:val="clear" w:color="auto" w:fill="auto"/>
                  <w:noWrap w:val="0"/>
                  <w:vAlign w:val="center"/>
                </w:tcPr>
                <w:p w14:paraId="3094E634">
                  <w:pPr>
                    <w:shd w:val="clear" w:color="auto" w:fill="auto"/>
                    <w:bidi w:val="0"/>
                    <w:jc w:val="center"/>
                    <w:rPr>
                      <w:rFonts w:hint="default"/>
                      <w:color w:val="000000"/>
                      <w:highlight w:val="none"/>
                      <w:lang w:val="en-US" w:eastAsia="zh-CN"/>
                    </w:rPr>
                  </w:pPr>
                  <w:r>
                    <w:rPr>
                      <w:rFonts w:hint="eastAsia"/>
                      <w:color w:val="000000"/>
                      <w:highlight w:val="none"/>
                      <w:lang w:val="en-US" w:eastAsia="zh-CN"/>
                    </w:rPr>
                    <w:t>/</w:t>
                  </w:r>
                </w:p>
              </w:tc>
              <w:tc>
                <w:tcPr>
                  <w:tcW w:w="584" w:type="pct"/>
                  <w:tcBorders>
                    <w:tl2br w:val="nil"/>
                    <w:tr2bl w:val="nil"/>
                  </w:tcBorders>
                  <w:shd w:val="clear" w:color="auto" w:fill="auto"/>
                  <w:noWrap w:val="0"/>
                  <w:vAlign w:val="center"/>
                </w:tcPr>
                <w:p w14:paraId="4A10E68A">
                  <w:pPr>
                    <w:shd w:val="clear" w:color="auto" w:fill="auto"/>
                    <w:bidi w:val="0"/>
                    <w:jc w:val="center"/>
                    <w:rPr>
                      <w:rFonts w:hint="default" w:ascii="Times New Roman" w:hAnsi="Times New Roman" w:eastAsia="宋体" w:cs="Times New Roman"/>
                      <w:color w:val="000000"/>
                      <w:kern w:val="2"/>
                      <w:sz w:val="21"/>
                      <w:szCs w:val="21"/>
                      <w:highlight w:val="none"/>
                      <w:lang w:val="en-US" w:eastAsia="zh-CN" w:bidi="ar-SA"/>
                    </w:rPr>
                  </w:pPr>
                  <w:r>
                    <w:rPr>
                      <w:rFonts w:hint="eastAsia"/>
                      <w:color w:val="000000"/>
                      <w:highlight w:val="none"/>
                      <w:lang w:val="en-US" w:eastAsia="zh-CN"/>
                    </w:rPr>
                    <w:t>4.9</w:t>
                  </w:r>
                </w:p>
              </w:tc>
              <w:tc>
                <w:tcPr>
                  <w:tcW w:w="617" w:type="pct"/>
                  <w:gridSpan w:val="2"/>
                  <w:tcBorders>
                    <w:tl2br w:val="nil"/>
                    <w:tr2bl w:val="nil"/>
                  </w:tcBorders>
                  <w:shd w:val="clear" w:color="auto" w:fill="auto"/>
                  <w:noWrap w:val="0"/>
                  <w:vAlign w:val="center"/>
                </w:tcPr>
                <w:p w14:paraId="1F4B81D9">
                  <w:pPr>
                    <w:shd w:val="clear" w:color="auto" w:fill="auto"/>
                    <w:bidi w:val="0"/>
                    <w:jc w:val="center"/>
                    <w:rPr>
                      <w:rFonts w:hint="default" w:ascii="Times New Roman" w:hAnsi="Times New Roman" w:eastAsia="宋体" w:cs="Times New Roman"/>
                      <w:color w:val="000000"/>
                      <w:kern w:val="2"/>
                      <w:sz w:val="21"/>
                      <w:szCs w:val="21"/>
                      <w:highlight w:val="none"/>
                      <w:lang w:val="en-US" w:eastAsia="zh-CN" w:bidi="ar-SA"/>
                    </w:rPr>
                  </w:pPr>
                  <w:r>
                    <w:rPr>
                      <w:rFonts w:hint="eastAsia"/>
                      <w:color w:val="000000"/>
                      <w:highlight w:val="none"/>
                      <w:lang w:val="en-US" w:eastAsia="zh-CN"/>
                    </w:rPr>
                    <w:t>0.33</w:t>
                  </w:r>
                </w:p>
              </w:tc>
            </w:tr>
            <w:tr w14:paraId="42974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939" w:type="pct"/>
                  <w:gridSpan w:val="3"/>
                  <w:tcBorders>
                    <w:tl2br w:val="nil"/>
                    <w:tr2bl w:val="nil"/>
                  </w:tcBorders>
                  <w:shd w:val="clear" w:color="auto" w:fill="auto"/>
                  <w:noWrap w:val="0"/>
                  <w:vAlign w:val="center"/>
                </w:tcPr>
                <w:p w14:paraId="1D060847">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是否达标</w:t>
                  </w:r>
                </w:p>
              </w:tc>
              <w:tc>
                <w:tcPr>
                  <w:tcW w:w="928" w:type="pct"/>
                  <w:gridSpan w:val="3"/>
                  <w:tcBorders>
                    <w:tl2br w:val="nil"/>
                    <w:tr2bl w:val="nil"/>
                  </w:tcBorders>
                  <w:shd w:val="clear" w:color="auto" w:fill="auto"/>
                  <w:noWrap w:val="0"/>
                  <w:vAlign w:val="center"/>
                </w:tcPr>
                <w:p w14:paraId="37ECD38A">
                  <w:pPr>
                    <w:shd w:val="clear" w:color="auto" w:fill="auto"/>
                    <w:bidi w:val="0"/>
                    <w:jc w:val="center"/>
                    <w:rPr>
                      <w:rFonts w:hint="default"/>
                      <w:color w:val="000000"/>
                      <w:highlight w:val="none"/>
                      <w:lang w:val="en-US" w:eastAsia="zh-CN"/>
                    </w:rPr>
                  </w:pPr>
                  <w:r>
                    <w:rPr>
                      <w:rFonts w:hint="eastAsia"/>
                      <w:color w:val="000000"/>
                      <w:highlight w:val="none"/>
                      <w:lang w:val="en-US" w:eastAsia="zh-CN"/>
                    </w:rPr>
                    <w:t>达标</w:t>
                  </w:r>
                </w:p>
              </w:tc>
              <w:tc>
                <w:tcPr>
                  <w:tcW w:w="553" w:type="pct"/>
                  <w:gridSpan w:val="2"/>
                  <w:tcBorders>
                    <w:tl2br w:val="nil"/>
                    <w:tr2bl w:val="nil"/>
                  </w:tcBorders>
                  <w:shd w:val="clear" w:color="auto" w:fill="auto"/>
                  <w:noWrap w:val="0"/>
                  <w:vAlign w:val="center"/>
                </w:tcPr>
                <w:p w14:paraId="3D4A2D7C">
                  <w:pPr>
                    <w:shd w:val="clear" w:color="auto" w:fill="auto"/>
                    <w:bidi w:val="0"/>
                    <w:jc w:val="center"/>
                    <w:rPr>
                      <w:rFonts w:hint="default"/>
                      <w:color w:val="000000"/>
                      <w:highlight w:val="none"/>
                      <w:lang w:val="en-US" w:eastAsia="zh-CN"/>
                    </w:rPr>
                  </w:pPr>
                  <w:r>
                    <w:rPr>
                      <w:rFonts w:hint="eastAsia"/>
                      <w:color w:val="000000"/>
                      <w:highlight w:val="none"/>
                      <w:lang w:val="en-US" w:eastAsia="zh-CN"/>
                    </w:rPr>
                    <w:t>达标</w:t>
                  </w:r>
                </w:p>
              </w:tc>
              <w:tc>
                <w:tcPr>
                  <w:tcW w:w="694" w:type="pct"/>
                  <w:tcBorders>
                    <w:tl2br w:val="nil"/>
                    <w:tr2bl w:val="nil"/>
                  </w:tcBorders>
                  <w:shd w:val="clear" w:color="auto" w:fill="auto"/>
                  <w:noWrap w:val="0"/>
                  <w:vAlign w:val="center"/>
                </w:tcPr>
                <w:p w14:paraId="5672F81B">
                  <w:pPr>
                    <w:shd w:val="clear" w:color="auto" w:fill="auto"/>
                    <w:bidi w:val="0"/>
                    <w:jc w:val="center"/>
                    <w:rPr>
                      <w:rFonts w:hint="default"/>
                      <w:color w:val="000000"/>
                      <w:highlight w:val="none"/>
                      <w:lang w:val="en-US" w:eastAsia="zh-CN"/>
                    </w:rPr>
                  </w:pPr>
                  <w:r>
                    <w:rPr>
                      <w:rFonts w:hint="eastAsia"/>
                      <w:color w:val="000000"/>
                      <w:highlight w:val="none"/>
                      <w:lang w:val="en-US" w:eastAsia="zh-CN"/>
                    </w:rPr>
                    <w:t>达标</w:t>
                  </w:r>
                </w:p>
              </w:tc>
              <w:tc>
                <w:tcPr>
                  <w:tcW w:w="682" w:type="pct"/>
                  <w:tcBorders>
                    <w:tl2br w:val="nil"/>
                    <w:tr2bl w:val="nil"/>
                  </w:tcBorders>
                  <w:shd w:val="clear" w:color="auto" w:fill="auto"/>
                  <w:noWrap w:val="0"/>
                  <w:vAlign w:val="center"/>
                </w:tcPr>
                <w:p w14:paraId="6DCCAB88">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lang w:val="en-US" w:eastAsia="zh-CN"/>
                    </w:rPr>
                    <w:t>达标</w:t>
                  </w:r>
                </w:p>
              </w:tc>
              <w:tc>
                <w:tcPr>
                  <w:tcW w:w="584" w:type="pct"/>
                  <w:tcBorders>
                    <w:tl2br w:val="nil"/>
                    <w:tr2bl w:val="nil"/>
                  </w:tcBorders>
                  <w:shd w:val="clear" w:color="auto" w:fill="auto"/>
                  <w:noWrap w:val="0"/>
                  <w:vAlign w:val="center"/>
                </w:tcPr>
                <w:p w14:paraId="02496E24">
                  <w:pPr>
                    <w:shd w:val="clear" w:color="auto" w:fill="auto"/>
                    <w:bidi w:val="0"/>
                    <w:jc w:val="center"/>
                    <w:rPr>
                      <w:rFonts w:hint="eastAsia" w:ascii="Times New Roman" w:hAnsi="Times New Roman" w:eastAsia="宋体" w:cs="Times New Roman"/>
                      <w:color w:val="000000"/>
                      <w:kern w:val="2"/>
                      <w:sz w:val="21"/>
                      <w:szCs w:val="21"/>
                      <w:highlight w:val="none"/>
                      <w:lang w:val="en-US" w:eastAsia="zh-CN" w:bidi="ar-SA"/>
                    </w:rPr>
                  </w:pPr>
                  <w:r>
                    <w:rPr>
                      <w:rFonts w:hint="eastAsia"/>
                      <w:color w:val="000000"/>
                      <w:highlight w:val="none"/>
                      <w:lang w:val="en-US" w:eastAsia="zh-CN"/>
                    </w:rPr>
                    <w:t>达标</w:t>
                  </w:r>
                </w:p>
              </w:tc>
              <w:tc>
                <w:tcPr>
                  <w:tcW w:w="617" w:type="pct"/>
                  <w:gridSpan w:val="2"/>
                  <w:tcBorders>
                    <w:tl2br w:val="nil"/>
                    <w:tr2bl w:val="nil"/>
                  </w:tcBorders>
                  <w:shd w:val="clear" w:color="auto" w:fill="auto"/>
                  <w:noWrap w:val="0"/>
                  <w:vAlign w:val="center"/>
                </w:tcPr>
                <w:p w14:paraId="5E3E3B8D">
                  <w:pPr>
                    <w:shd w:val="clear" w:color="auto" w:fill="auto"/>
                    <w:bidi w:val="0"/>
                    <w:jc w:val="center"/>
                    <w:rPr>
                      <w:rFonts w:hint="eastAsia" w:ascii="Times New Roman" w:hAnsi="Times New Roman" w:eastAsia="宋体" w:cs="Times New Roman"/>
                      <w:color w:val="000000"/>
                      <w:kern w:val="2"/>
                      <w:sz w:val="21"/>
                      <w:szCs w:val="21"/>
                      <w:highlight w:val="none"/>
                      <w:lang w:val="en-US" w:eastAsia="zh-CN" w:bidi="ar-SA"/>
                    </w:rPr>
                  </w:pPr>
                  <w:r>
                    <w:rPr>
                      <w:rFonts w:hint="eastAsia"/>
                      <w:color w:val="000000"/>
                      <w:highlight w:val="none"/>
                      <w:lang w:val="en-US" w:eastAsia="zh-CN"/>
                    </w:rPr>
                    <w:t>达标</w:t>
                  </w:r>
                </w:p>
              </w:tc>
            </w:tr>
          </w:tbl>
          <w:p w14:paraId="581C0ED4">
            <w:pPr>
              <w:shd w:val="clear" w:color="auto" w:fill="auto"/>
              <w:spacing w:line="240" w:lineRule="auto"/>
              <w:ind w:firstLine="422" w:firstLineChars="200"/>
              <w:jc w:val="center"/>
              <w:rPr>
                <w:rFonts w:hint="default"/>
                <w:b/>
                <w:bCs/>
                <w:color w:val="000000"/>
                <w:kern w:val="0"/>
                <w:sz w:val="21"/>
                <w:szCs w:val="21"/>
                <w:highlight w:val="none"/>
                <w:lang w:val="en-US" w:eastAsia="zh-CN"/>
              </w:rPr>
            </w:pPr>
            <w:r>
              <w:rPr>
                <w:rFonts w:hint="eastAsia"/>
                <w:b/>
                <w:bCs/>
                <w:color w:val="000000"/>
                <w:kern w:val="0"/>
                <w:sz w:val="21"/>
                <w:szCs w:val="21"/>
                <w:highlight w:val="none"/>
                <w:lang w:val="en-US" w:eastAsia="zh-CN"/>
              </w:rPr>
              <w:t>表4-2</w:t>
            </w:r>
            <w:r>
              <w:rPr>
                <w:rFonts w:hint="eastAsia"/>
                <w:b/>
                <w:color w:val="000000"/>
                <w:sz w:val="21"/>
                <w:szCs w:val="21"/>
                <w:highlight w:val="none"/>
              </w:rPr>
              <w:t>项目</w:t>
            </w:r>
            <w:r>
              <w:rPr>
                <w:rFonts w:hint="eastAsia"/>
                <w:b/>
                <w:color w:val="000000"/>
                <w:sz w:val="21"/>
                <w:szCs w:val="21"/>
                <w:highlight w:val="none"/>
                <w:lang w:val="en-US" w:eastAsia="zh-CN"/>
              </w:rPr>
              <w:t>无组织</w:t>
            </w:r>
            <w:r>
              <w:rPr>
                <w:rFonts w:hint="eastAsia"/>
                <w:b/>
                <w:color w:val="000000"/>
                <w:sz w:val="21"/>
                <w:szCs w:val="21"/>
                <w:highlight w:val="none"/>
              </w:rPr>
              <w:t>废气产排情况一览表</w:t>
            </w:r>
          </w:p>
          <w:tbl>
            <w:tblPr>
              <w:tblStyle w:val="21"/>
              <w:tblW w:w="8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18"/>
              <w:gridCol w:w="1018"/>
              <w:gridCol w:w="1018"/>
              <w:gridCol w:w="1018"/>
              <w:gridCol w:w="1018"/>
              <w:gridCol w:w="911"/>
              <w:gridCol w:w="1023"/>
              <w:gridCol w:w="1120"/>
            </w:tblGrid>
            <w:tr w14:paraId="2EFDC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5" w:hRule="atLeast"/>
              </w:trPr>
              <w:tc>
                <w:tcPr>
                  <w:tcW w:w="1018" w:type="dxa"/>
                  <w:tcBorders>
                    <w:tl2br w:val="nil"/>
                    <w:tr2bl w:val="nil"/>
                  </w:tcBorders>
                  <w:shd w:val="clear" w:color="auto" w:fill="auto"/>
                  <w:noWrap w:val="0"/>
                  <w:vAlign w:val="center"/>
                </w:tcPr>
                <w:p w14:paraId="56D46F98">
                  <w:pPr>
                    <w:pStyle w:val="206"/>
                    <w:shd w:val="clear" w:color="auto" w:fill="auto"/>
                    <w:ind w:firstLine="0" w:firstLineChars="0"/>
                    <w:rPr>
                      <w:rFonts w:hint="default" w:ascii="Times New Roman" w:hAnsi="Times New Roman" w:eastAsia="宋体" w:cs="Times New Roman"/>
                      <w:b/>
                      <w:bCs/>
                      <w:color w:val="000000"/>
                      <w:kern w:val="2"/>
                      <w:sz w:val="21"/>
                      <w:szCs w:val="21"/>
                      <w:highlight w:val="none"/>
                      <w:lang w:val="en-US" w:eastAsia="zh-CN" w:bidi="ar-SA"/>
                    </w:rPr>
                  </w:pPr>
                  <w:r>
                    <w:rPr>
                      <w:rFonts w:hint="eastAsia"/>
                      <w:b/>
                      <w:bCs/>
                      <w:color w:val="000000"/>
                      <w:highlight w:val="none"/>
                      <w:lang w:val="en-US" w:eastAsia="zh-CN"/>
                    </w:rPr>
                    <w:t>产污环节</w:t>
                  </w:r>
                </w:p>
              </w:tc>
              <w:tc>
                <w:tcPr>
                  <w:tcW w:w="1018" w:type="dxa"/>
                  <w:tcBorders>
                    <w:tl2br w:val="nil"/>
                    <w:tr2bl w:val="nil"/>
                  </w:tcBorders>
                  <w:shd w:val="clear" w:color="auto" w:fill="auto"/>
                  <w:noWrap w:val="0"/>
                  <w:vAlign w:val="center"/>
                </w:tcPr>
                <w:p w14:paraId="76FD7D5A">
                  <w:pPr>
                    <w:pStyle w:val="206"/>
                    <w:shd w:val="clear" w:color="auto" w:fill="auto"/>
                    <w:ind w:firstLine="0" w:firstLineChars="0"/>
                    <w:rPr>
                      <w:rFonts w:ascii="Times New Roman" w:hAnsi="Times New Roman" w:eastAsia="宋体" w:cs="Times New Roman"/>
                      <w:b/>
                      <w:bCs/>
                      <w:color w:val="000000"/>
                      <w:kern w:val="2"/>
                      <w:sz w:val="21"/>
                      <w:szCs w:val="21"/>
                      <w:highlight w:val="none"/>
                      <w:lang w:val="en-US" w:eastAsia="zh-CN" w:bidi="ar-SA"/>
                    </w:rPr>
                  </w:pPr>
                  <w:r>
                    <w:rPr>
                      <w:rFonts w:hint="eastAsia"/>
                      <w:b/>
                      <w:bCs/>
                      <w:color w:val="000000"/>
                      <w:highlight w:val="none"/>
                    </w:rPr>
                    <w:t>污染物名称</w:t>
                  </w:r>
                </w:p>
              </w:tc>
              <w:tc>
                <w:tcPr>
                  <w:tcW w:w="1018" w:type="dxa"/>
                  <w:tcBorders>
                    <w:tl2br w:val="nil"/>
                    <w:tr2bl w:val="nil"/>
                  </w:tcBorders>
                  <w:shd w:val="clear" w:color="auto" w:fill="auto"/>
                  <w:noWrap w:val="0"/>
                  <w:vAlign w:val="center"/>
                </w:tcPr>
                <w:p w14:paraId="3B20103C">
                  <w:pPr>
                    <w:pStyle w:val="206"/>
                    <w:shd w:val="clear" w:color="auto" w:fill="auto"/>
                    <w:ind w:firstLine="0" w:firstLineChars="0"/>
                    <w:rPr>
                      <w:rFonts w:ascii="Times New Roman" w:hAnsi="Times New Roman" w:eastAsia="宋体" w:cs="Times New Roman"/>
                      <w:b/>
                      <w:bCs/>
                      <w:color w:val="000000"/>
                      <w:kern w:val="2"/>
                      <w:sz w:val="21"/>
                      <w:szCs w:val="21"/>
                      <w:highlight w:val="none"/>
                      <w:lang w:val="en-US" w:eastAsia="zh-CN" w:bidi="ar-SA"/>
                    </w:rPr>
                  </w:pPr>
                  <w:r>
                    <w:rPr>
                      <w:rFonts w:hint="eastAsia"/>
                      <w:b/>
                      <w:bCs/>
                      <w:color w:val="000000"/>
                      <w:highlight w:val="none"/>
                    </w:rPr>
                    <w:t>产生量</w:t>
                  </w:r>
                  <w:r>
                    <w:rPr>
                      <w:rFonts w:hint="eastAsia"/>
                      <w:b/>
                      <w:bCs/>
                      <w:color w:val="000000"/>
                      <w:highlight w:val="none"/>
                      <w:lang w:eastAsia="zh-CN"/>
                    </w:rPr>
                    <w:t>（</w:t>
                  </w:r>
                  <w:r>
                    <w:rPr>
                      <w:b/>
                      <w:bCs/>
                      <w:color w:val="000000"/>
                      <w:highlight w:val="none"/>
                    </w:rPr>
                    <w:t>t/a</w:t>
                  </w:r>
                  <w:r>
                    <w:rPr>
                      <w:rFonts w:hint="eastAsia"/>
                      <w:b/>
                      <w:bCs/>
                      <w:color w:val="000000"/>
                      <w:highlight w:val="none"/>
                      <w:lang w:eastAsia="zh-CN"/>
                    </w:rPr>
                    <w:t>）</w:t>
                  </w:r>
                </w:p>
              </w:tc>
              <w:tc>
                <w:tcPr>
                  <w:tcW w:w="1018" w:type="dxa"/>
                  <w:tcBorders>
                    <w:tl2br w:val="nil"/>
                    <w:tr2bl w:val="nil"/>
                  </w:tcBorders>
                  <w:shd w:val="clear" w:color="auto" w:fill="auto"/>
                  <w:noWrap w:val="0"/>
                  <w:vAlign w:val="center"/>
                </w:tcPr>
                <w:p w14:paraId="218476FA">
                  <w:pPr>
                    <w:pStyle w:val="206"/>
                    <w:shd w:val="clear" w:color="auto" w:fill="auto"/>
                    <w:ind w:firstLine="0" w:firstLineChars="0"/>
                    <w:rPr>
                      <w:rFonts w:ascii="Times New Roman" w:hAnsi="Times New Roman" w:eastAsia="宋体" w:cs="Times New Roman"/>
                      <w:b/>
                      <w:bCs/>
                      <w:color w:val="000000"/>
                      <w:kern w:val="2"/>
                      <w:sz w:val="21"/>
                      <w:szCs w:val="21"/>
                      <w:highlight w:val="none"/>
                      <w:lang w:val="en-US" w:eastAsia="zh-CN" w:bidi="ar-SA"/>
                    </w:rPr>
                  </w:pPr>
                  <w:r>
                    <w:rPr>
                      <w:rFonts w:hint="eastAsia"/>
                      <w:b/>
                      <w:bCs/>
                      <w:color w:val="000000"/>
                      <w:highlight w:val="none"/>
                    </w:rPr>
                    <w:t>产生速率</w:t>
                  </w:r>
                  <w:r>
                    <w:rPr>
                      <w:rFonts w:hint="eastAsia"/>
                      <w:b/>
                      <w:bCs/>
                      <w:color w:val="000000"/>
                      <w:highlight w:val="none"/>
                      <w:lang w:eastAsia="zh-CN"/>
                    </w:rPr>
                    <w:t>（</w:t>
                  </w:r>
                  <w:r>
                    <w:rPr>
                      <w:b/>
                      <w:bCs/>
                      <w:color w:val="000000"/>
                      <w:highlight w:val="none"/>
                    </w:rPr>
                    <w:t>kg/h</w:t>
                  </w:r>
                  <w:r>
                    <w:rPr>
                      <w:rFonts w:hint="eastAsia"/>
                      <w:b/>
                      <w:bCs/>
                      <w:color w:val="000000"/>
                      <w:highlight w:val="none"/>
                      <w:lang w:eastAsia="zh-CN"/>
                    </w:rPr>
                    <w:t>）</w:t>
                  </w:r>
                </w:p>
              </w:tc>
              <w:tc>
                <w:tcPr>
                  <w:tcW w:w="1018" w:type="dxa"/>
                  <w:tcBorders>
                    <w:tl2br w:val="nil"/>
                    <w:tr2bl w:val="nil"/>
                  </w:tcBorders>
                  <w:shd w:val="clear" w:color="auto" w:fill="auto"/>
                  <w:noWrap w:val="0"/>
                  <w:vAlign w:val="center"/>
                </w:tcPr>
                <w:p w14:paraId="0656E562">
                  <w:pPr>
                    <w:pStyle w:val="206"/>
                    <w:shd w:val="clear" w:color="auto" w:fill="auto"/>
                    <w:ind w:firstLine="0" w:firstLineChars="0"/>
                    <w:rPr>
                      <w:rFonts w:ascii="Times New Roman" w:hAnsi="Times New Roman" w:eastAsia="宋体" w:cs="Times New Roman"/>
                      <w:b/>
                      <w:bCs/>
                      <w:color w:val="000000"/>
                      <w:kern w:val="2"/>
                      <w:sz w:val="21"/>
                      <w:szCs w:val="21"/>
                      <w:highlight w:val="none"/>
                      <w:lang w:val="en-US" w:eastAsia="zh-CN" w:bidi="ar-SA"/>
                    </w:rPr>
                  </w:pPr>
                  <w:r>
                    <w:rPr>
                      <w:rFonts w:hint="eastAsia"/>
                      <w:b/>
                      <w:bCs/>
                      <w:color w:val="000000"/>
                      <w:highlight w:val="none"/>
                    </w:rPr>
                    <w:t>治理措施</w:t>
                  </w:r>
                </w:p>
              </w:tc>
              <w:tc>
                <w:tcPr>
                  <w:tcW w:w="911" w:type="dxa"/>
                  <w:tcBorders>
                    <w:tl2br w:val="nil"/>
                    <w:tr2bl w:val="nil"/>
                  </w:tcBorders>
                  <w:shd w:val="clear" w:color="auto" w:fill="auto"/>
                  <w:noWrap w:val="0"/>
                  <w:vAlign w:val="center"/>
                </w:tcPr>
                <w:p w14:paraId="57B91E6B">
                  <w:pPr>
                    <w:pStyle w:val="206"/>
                    <w:shd w:val="clear" w:color="auto" w:fill="auto"/>
                    <w:ind w:firstLine="0" w:firstLineChars="0"/>
                    <w:rPr>
                      <w:rFonts w:ascii="Times New Roman" w:hAnsi="Times New Roman" w:eastAsia="宋体" w:cs="Times New Roman"/>
                      <w:b/>
                      <w:bCs/>
                      <w:color w:val="000000"/>
                      <w:kern w:val="2"/>
                      <w:sz w:val="21"/>
                      <w:szCs w:val="21"/>
                      <w:highlight w:val="none"/>
                      <w:lang w:val="en-US" w:eastAsia="zh-CN" w:bidi="ar-SA"/>
                    </w:rPr>
                  </w:pPr>
                  <w:r>
                    <w:rPr>
                      <w:rFonts w:hint="eastAsia"/>
                      <w:b/>
                      <w:bCs/>
                      <w:color w:val="000000"/>
                      <w:highlight w:val="none"/>
                    </w:rPr>
                    <w:t>排放量</w:t>
                  </w:r>
                  <w:r>
                    <w:rPr>
                      <w:rFonts w:hint="eastAsia"/>
                      <w:b/>
                      <w:bCs/>
                      <w:color w:val="000000"/>
                      <w:highlight w:val="none"/>
                      <w:lang w:eastAsia="zh-CN"/>
                    </w:rPr>
                    <w:t>（</w:t>
                  </w:r>
                  <w:r>
                    <w:rPr>
                      <w:b/>
                      <w:bCs/>
                      <w:color w:val="000000"/>
                      <w:highlight w:val="none"/>
                    </w:rPr>
                    <w:t>t/a</w:t>
                  </w:r>
                  <w:r>
                    <w:rPr>
                      <w:rFonts w:hint="eastAsia"/>
                      <w:b/>
                      <w:bCs/>
                      <w:color w:val="000000"/>
                      <w:highlight w:val="none"/>
                      <w:lang w:eastAsia="zh-CN"/>
                    </w:rPr>
                    <w:t>）</w:t>
                  </w:r>
                </w:p>
              </w:tc>
              <w:tc>
                <w:tcPr>
                  <w:tcW w:w="1023" w:type="dxa"/>
                  <w:tcBorders>
                    <w:tl2br w:val="nil"/>
                    <w:tr2bl w:val="nil"/>
                  </w:tcBorders>
                  <w:shd w:val="clear" w:color="auto" w:fill="auto"/>
                  <w:noWrap w:val="0"/>
                  <w:vAlign w:val="center"/>
                </w:tcPr>
                <w:p w14:paraId="722314AC">
                  <w:pPr>
                    <w:pStyle w:val="206"/>
                    <w:shd w:val="clear" w:color="auto" w:fill="auto"/>
                    <w:ind w:firstLine="0" w:firstLineChars="0"/>
                    <w:rPr>
                      <w:rFonts w:hint="eastAsia" w:ascii="Times New Roman" w:hAnsi="Times New Roman" w:eastAsia="宋体" w:cs="Times New Roman"/>
                      <w:b/>
                      <w:bCs/>
                      <w:color w:val="000000"/>
                      <w:kern w:val="2"/>
                      <w:sz w:val="21"/>
                      <w:szCs w:val="21"/>
                      <w:highlight w:val="none"/>
                      <w:lang w:val="en-US" w:eastAsia="zh-CN" w:bidi="ar-SA"/>
                    </w:rPr>
                  </w:pPr>
                  <w:r>
                    <w:rPr>
                      <w:rFonts w:hint="eastAsia"/>
                      <w:b/>
                      <w:bCs/>
                      <w:color w:val="000000"/>
                      <w:highlight w:val="none"/>
                    </w:rPr>
                    <w:t>排放速率</w:t>
                  </w:r>
                  <w:r>
                    <w:rPr>
                      <w:rFonts w:hint="eastAsia"/>
                      <w:b/>
                      <w:bCs/>
                      <w:color w:val="000000"/>
                      <w:highlight w:val="none"/>
                      <w:lang w:eastAsia="zh-CN"/>
                    </w:rPr>
                    <w:t>（</w:t>
                  </w:r>
                  <w:r>
                    <w:rPr>
                      <w:b/>
                      <w:bCs/>
                      <w:color w:val="000000"/>
                      <w:highlight w:val="none"/>
                    </w:rPr>
                    <w:t>kg/h</w:t>
                  </w:r>
                  <w:r>
                    <w:rPr>
                      <w:rFonts w:hint="eastAsia"/>
                      <w:b/>
                      <w:bCs/>
                      <w:color w:val="000000"/>
                      <w:highlight w:val="none"/>
                      <w:lang w:eastAsia="zh-CN"/>
                    </w:rPr>
                    <w:t>）</w:t>
                  </w:r>
                </w:p>
              </w:tc>
              <w:tc>
                <w:tcPr>
                  <w:tcW w:w="1120" w:type="dxa"/>
                  <w:tcBorders>
                    <w:tl2br w:val="nil"/>
                    <w:tr2bl w:val="nil"/>
                  </w:tcBorders>
                  <w:shd w:val="clear" w:color="auto" w:fill="auto"/>
                  <w:noWrap w:val="0"/>
                  <w:vAlign w:val="center"/>
                </w:tcPr>
                <w:p w14:paraId="32982E81">
                  <w:pPr>
                    <w:pStyle w:val="206"/>
                    <w:shd w:val="clear" w:color="auto" w:fill="auto"/>
                    <w:ind w:firstLine="0" w:firstLineChars="0"/>
                    <w:rPr>
                      <w:rFonts w:hint="eastAsia" w:ascii="Times New Roman" w:hAnsi="Times New Roman" w:eastAsia="宋体" w:cs="Times New Roman"/>
                      <w:b/>
                      <w:bCs/>
                      <w:color w:val="000000"/>
                      <w:kern w:val="2"/>
                      <w:sz w:val="21"/>
                      <w:szCs w:val="21"/>
                      <w:highlight w:val="none"/>
                      <w:lang w:val="en-US" w:eastAsia="zh-CN" w:bidi="ar-SA"/>
                    </w:rPr>
                  </w:pPr>
                  <w:r>
                    <w:rPr>
                      <w:rFonts w:hint="eastAsia"/>
                      <w:b/>
                      <w:bCs/>
                      <w:color w:val="000000"/>
                      <w:highlight w:val="none"/>
                    </w:rPr>
                    <w:t>排放浓度</w:t>
                  </w:r>
                  <w:r>
                    <w:rPr>
                      <w:rFonts w:hint="eastAsia"/>
                      <w:b/>
                      <w:bCs/>
                      <w:color w:val="000000"/>
                      <w:highlight w:val="none"/>
                      <w:lang w:eastAsia="zh-CN"/>
                    </w:rPr>
                    <w:t>（</w:t>
                  </w:r>
                  <w:r>
                    <w:rPr>
                      <w:b/>
                      <w:bCs/>
                      <w:color w:val="000000"/>
                      <w:highlight w:val="none"/>
                    </w:rPr>
                    <w:t>mg/</w:t>
                  </w:r>
                  <w:r>
                    <w:rPr>
                      <w:rFonts w:hint="eastAsia"/>
                      <w:b/>
                      <w:bCs/>
                      <w:color w:val="000000"/>
                      <w:highlight w:val="none"/>
                      <w:lang w:eastAsia="zh-CN"/>
                    </w:rPr>
                    <w:t>m³）</w:t>
                  </w:r>
                </w:p>
              </w:tc>
            </w:tr>
            <w:tr w14:paraId="5D81A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1018" w:type="dxa"/>
                  <w:tcBorders>
                    <w:tl2br w:val="nil"/>
                    <w:tr2bl w:val="nil"/>
                  </w:tcBorders>
                  <w:shd w:val="clear" w:color="auto" w:fill="auto"/>
                  <w:noWrap w:val="0"/>
                  <w:vAlign w:val="center"/>
                </w:tcPr>
                <w:p w14:paraId="2452B248">
                  <w:pPr>
                    <w:pStyle w:val="206"/>
                    <w:shd w:val="clear" w:color="auto" w:fill="auto"/>
                    <w:rPr>
                      <w:rFonts w:hint="default" w:eastAsia="宋体"/>
                      <w:color w:val="000000"/>
                      <w:highlight w:val="none"/>
                      <w:lang w:val="en-US" w:eastAsia="zh-CN"/>
                    </w:rPr>
                  </w:pPr>
                  <w:r>
                    <w:rPr>
                      <w:rFonts w:hint="eastAsia"/>
                      <w:color w:val="000000"/>
                      <w:highlight w:val="none"/>
                      <w:lang w:val="en-US" w:eastAsia="zh-CN"/>
                    </w:rPr>
                    <w:t>粮食粉碎粉尘</w:t>
                  </w:r>
                </w:p>
              </w:tc>
              <w:tc>
                <w:tcPr>
                  <w:tcW w:w="1018" w:type="dxa"/>
                  <w:tcBorders>
                    <w:tl2br w:val="nil"/>
                    <w:tr2bl w:val="nil"/>
                  </w:tcBorders>
                  <w:shd w:val="clear" w:color="auto" w:fill="auto"/>
                  <w:noWrap w:val="0"/>
                  <w:vAlign w:val="center"/>
                </w:tcPr>
                <w:p w14:paraId="224C990D">
                  <w:pPr>
                    <w:pStyle w:val="206"/>
                    <w:shd w:val="clear" w:color="auto" w:fill="auto"/>
                    <w:rPr>
                      <w:rFonts w:hint="eastAsia" w:eastAsia="宋体"/>
                      <w:color w:val="000000"/>
                      <w:highlight w:val="none"/>
                      <w:lang w:val="en-US" w:eastAsia="zh-CN"/>
                    </w:rPr>
                  </w:pPr>
                  <w:r>
                    <w:rPr>
                      <w:rFonts w:hint="eastAsia"/>
                      <w:color w:val="000000"/>
                      <w:highlight w:val="none"/>
                      <w:lang w:val="en-US" w:eastAsia="zh-CN"/>
                    </w:rPr>
                    <w:t>颗粒物</w:t>
                  </w:r>
                </w:p>
              </w:tc>
              <w:tc>
                <w:tcPr>
                  <w:tcW w:w="1018" w:type="dxa"/>
                  <w:tcBorders>
                    <w:tl2br w:val="nil"/>
                    <w:tr2bl w:val="nil"/>
                  </w:tcBorders>
                  <w:shd w:val="clear" w:color="auto" w:fill="auto"/>
                  <w:noWrap w:val="0"/>
                  <w:vAlign w:val="center"/>
                </w:tcPr>
                <w:p w14:paraId="4410F07A">
                  <w:pPr>
                    <w:pStyle w:val="206"/>
                    <w:shd w:val="clear" w:color="auto" w:fill="auto"/>
                    <w:rPr>
                      <w:color w:val="000000"/>
                      <w:highlight w:val="none"/>
                    </w:rPr>
                  </w:pPr>
                  <w:r>
                    <w:rPr>
                      <w:rFonts w:hint="eastAsia" w:ascii="Times New Roman" w:hAnsi="Times New Roman" w:eastAsia="宋体" w:cs="Times New Roman"/>
                      <w:b w:val="0"/>
                      <w:bCs w:val="0"/>
                      <w:color w:val="000000"/>
                      <w:kern w:val="0"/>
                      <w:sz w:val="21"/>
                      <w:szCs w:val="21"/>
                      <w:highlight w:val="none"/>
                      <w:lang w:val="en-US" w:eastAsia="zh-CN" w:bidi="ar-SA"/>
                    </w:rPr>
                    <w:t>0.28</w:t>
                  </w:r>
                </w:p>
              </w:tc>
              <w:tc>
                <w:tcPr>
                  <w:tcW w:w="1018" w:type="dxa"/>
                  <w:tcBorders>
                    <w:tl2br w:val="nil"/>
                    <w:tr2bl w:val="nil"/>
                  </w:tcBorders>
                  <w:shd w:val="clear" w:color="auto" w:fill="auto"/>
                  <w:noWrap w:val="0"/>
                  <w:vAlign w:val="center"/>
                </w:tcPr>
                <w:p w14:paraId="31C87C46">
                  <w:pPr>
                    <w:pStyle w:val="206"/>
                    <w:shd w:val="clear" w:color="auto" w:fill="auto"/>
                    <w:rPr>
                      <w:rFonts w:hint="default" w:eastAsia="宋体"/>
                      <w:color w:val="000000"/>
                      <w:highlight w:val="no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0.31</w:t>
                  </w:r>
                </w:p>
              </w:tc>
              <w:tc>
                <w:tcPr>
                  <w:tcW w:w="1018" w:type="dxa"/>
                  <w:vMerge w:val="restart"/>
                  <w:tcBorders>
                    <w:tl2br w:val="nil"/>
                    <w:tr2bl w:val="nil"/>
                  </w:tcBorders>
                  <w:shd w:val="clear" w:color="auto" w:fill="auto"/>
                  <w:noWrap w:val="0"/>
                  <w:vAlign w:val="center"/>
                </w:tcPr>
                <w:p w14:paraId="1F59F4AD">
                  <w:pPr>
                    <w:pStyle w:val="206"/>
                    <w:shd w:val="clear" w:color="auto" w:fill="auto"/>
                    <w:rPr>
                      <w:rFonts w:hint="default" w:eastAsia="宋体"/>
                      <w:color w:val="000000"/>
                      <w:highlight w:val="none"/>
                      <w:lang w:val="en-US" w:eastAsia="zh-CN"/>
                    </w:rPr>
                  </w:pPr>
                  <w:r>
                    <w:rPr>
                      <w:rFonts w:hint="eastAsia"/>
                      <w:color w:val="000000"/>
                      <w:highlight w:val="none"/>
                      <w:lang w:val="en-US" w:eastAsia="zh-CN"/>
                    </w:rPr>
                    <w:t>密闭厂房</w:t>
                  </w:r>
                </w:p>
              </w:tc>
              <w:tc>
                <w:tcPr>
                  <w:tcW w:w="911" w:type="dxa"/>
                  <w:tcBorders>
                    <w:tl2br w:val="nil"/>
                    <w:tr2bl w:val="nil"/>
                  </w:tcBorders>
                  <w:shd w:val="clear" w:color="auto" w:fill="auto"/>
                  <w:noWrap w:val="0"/>
                  <w:vAlign w:val="center"/>
                </w:tcPr>
                <w:p w14:paraId="74B051BB">
                  <w:pPr>
                    <w:pStyle w:val="206"/>
                    <w:shd w:val="clear" w:color="auto" w:fill="auto"/>
                    <w:ind w:firstLine="0" w:firstLineChars="0"/>
                    <w:rPr>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0"/>
                      <w:sz w:val="21"/>
                      <w:szCs w:val="21"/>
                      <w:highlight w:val="none"/>
                      <w:lang w:val="en-US" w:eastAsia="zh-CN" w:bidi="ar-SA"/>
                    </w:rPr>
                    <w:t>0.28</w:t>
                  </w:r>
                </w:p>
              </w:tc>
              <w:tc>
                <w:tcPr>
                  <w:tcW w:w="1023" w:type="dxa"/>
                  <w:tcBorders>
                    <w:tl2br w:val="nil"/>
                    <w:tr2bl w:val="nil"/>
                  </w:tcBorders>
                  <w:shd w:val="clear" w:color="auto" w:fill="auto"/>
                  <w:noWrap w:val="0"/>
                  <w:vAlign w:val="center"/>
                </w:tcPr>
                <w:p w14:paraId="29EF30DA">
                  <w:pPr>
                    <w:pStyle w:val="206"/>
                    <w:shd w:val="clear" w:color="auto" w:fill="auto"/>
                    <w:ind w:firstLine="0" w:firstLineChars="0"/>
                    <w:rPr>
                      <w:rFonts w:hint="default" w:eastAsia="宋体"/>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0.31</w:t>
                  </w:r>
                </w:p>
              </w:tc>
              <w:tc>
                <w:tcPr>
                  <w:tcW w:w="1120" w:type="dxa"/>
                  <w:tcBorders>
                    <w:tl2br w:val="nil"/>
                    <w:tr2bl w:val="nil"/>
                  </w:tcBorders>
                  <w:shd w:val="clear" w:color="auto" w:fill="auto"/>
                  <w:noWrap w:val="0"/>
                  <w:vAlign w:val="center"/>
                </w:tcPr>
                <w:p w14:paraId="482C42A4">
                  <w:pPr>
                    <w:pStyle w:val="206"/>
                    <w:shd w:val="clear" w:color="auto" w:fill="auto"/>
                    <w:rPr>
                      <w:rFonts w:hint="eastAsia" w:eastAsia="宋体"/>
                      <w:color w:val="000000"/>
                      <w:highlight w:val="none"/>
                      <w:lang w:val="en-US" w:eastAsia="zh-CN"/>
                    </w:rPr>
                  </w:pPr>
                  <w:r>
                    <w:rPr>
                      <w:rFonts w:hint="eastAsia"/>
                      <w:color w:val="000000"/>
                      <w:highlight w:val="none"/>
                      <w:lang w:val="en-US" w:eastAsia="zh-CN"/>
                    </w:rPr>
                    <w:t>/</w:t>
                  </w:r>
                </w:p>
              </w:tc>
            </w:tr>
            <w:tr w14:paraId="72C01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18" w:type="dxa"/>
                  <w:tcBorders>
                    <w:tl2br w:val="nil"/>
                    <w:tr2bl w:val="nil"/>
                  </w:tcBorders>
                  <w:shd w:val="clear" w:color="auto" w:fill="auto"/>
                  <w:noWrap w:val="0"/>
                  <w:vAlign w:val="center"/>
                </w:tcPr>
                <w:p w14:paraId="552A1AB5">
                  <w:pPr>
                    <w:pStyle w:val="206"/>
                    <w:shd w:val="clear" w:color="auto" w:fill="auto"/>
                    <w:rPr>
                      <w:color w:val="000000"/>
                      <w:highlight w:val="none"/>
                    </w:rPr>
                  </w:pPr>
                  <w:r>
                    <w:rPr>
                      <w:rFonts w:hint="eastAsia"/>
                      <w:color w:val="000000"/>
                      <w:highlight w:val="none"/>
                      <w:lang w:val="en-US" w:eastAsia="zh-CN"/>
                    </w:rPr>
                    <w:t>大曲粉碎粉尘</w:t>
                  </w:r>
                </w:p>
              </w:tc>
              <w:tc>
                <w:tcPr>
                  <w:tcW w:w="1018" w:type="dxa"/>
                  <w:tcBorders>
                    <w:tl2br w:val="nil"/>
                    <w:tr2bl w:val="nil"/>
                  </w:tcBorders>
                  <w:shd w:val="clear" w:color="auto" w:fill="auto"/>
                  <w:noWrap w:val="0"/>
                  <w:vAlign w:val="center"/>
                </w:tcPr>
                <w:p w14:paraId="6A01FF9B">
                  <w:pPr>
                    <w:pStyle w:val="206"/>
                    <w:shd w:val="clear" w:color="auto" w:fill="auto"/>
                    <w:rPr>
                      <w:rFonts w:hint="eastAsia" w:eastAsia="宋体"/>
                      <w:color w:val="000000"/>
                      <w:highlight w:val="none"/>
                      <w:lang w:val="en-US" w:eastAsia="zh-CN"/>
                    </w:rPr>
                  </w:pPr>
                  <w:r>
                    <w:rPr>
                      <w:rFonts w:hint="eastAsia"/>
                      <w:color w:val="000000"/>
                      <w:highlight w:val="none"/>
                      <w:lang w:val="en-US" w:eastAsia="zh-CN"/>
                    </w:rPr>
                    <w:t>颗粒物</w:t>
                  </w:r>
                </w:p>
              </w:tc>
              <w:tc>
                <w:tcPr>
                  <w:tcW w:w="1018" w:type="dxa"/>
                  <w:tcBorders>
                    <w:tl2br w:val="nil"/>
                    <w:tr2bl w:val="nil"/>
                  </w:tcBorders>
                  <w:shd w:val="clear" w:color="auto" w:fill="auto"/>
                  <w:noWrap w:val="0"/>
                  <w:vAlign w:val="center"/>
                </w:tcPr>
                <w:p w14:paraId="3F046B07">
                  <w:pPr>
                    <w:pStyle w:val="206"/>
                    <w:shd w:val="clear" w:color="auto" w:fill="auto"/>
                    <w:rPr>
                      <w:color w:val="000000"/>
                      <w:highlight w:val="none"/>
                    </w:rPr>
                  </w:pPr>
                  <w:r>
                    <w:rPr>
                      <w:rFonts w:hint="eastAsia" w:ascii="Times New Roman" w:hAnsi="Times New Roman" w:eastAsia="宋体" w:cs="Times New Roman"/>
                      <w:b w:val="0"/>
                      <w:bCs w:val="0"/>
                      <w:color w:val="000000"/>
                      <w:kern w:val="0"/>
                      <w:sz w:val="21"/>
                      <w:szCs w:val="21"/>
                      <w:highlight w:val="none"/>
                      <w:lang w:val="en-US" w:eastAsia="zh-CN" w:bidi="ar-SA"/>
                    </w:rPr>
                    <w:t>0.073</w:t>
                  </w:r>
                </w:p>
              </w:tc>
              <w:tc>
                <w:tcPr>
                  <w:tcW w:w="1018" w:type="dxa"/>
                  <w:tcBorders>
                    <w:tl2br w:val="nil"/>
                    <w:tr2bl w:val="nil"/>
                  </w:tcBorders>
                  <w:shd w:val="clear" w:color="auto" w:fill="auto"/>
                  <w:noWrap w:val="0"/>
                  <w:vAlign w:val="center"/>
                </w:tcPr>
                <w:p w14:paraId="7DD0457C">
                  <w:pPr>
                    <w:pStyle w:val="206"/>
                    <w:shd w:val="clear" w:color="auto" w:fill="auto"/>
                    <w:rPr>
                      <w:color w:val="000000"/>
                      <w:highlight w:val="none"/>
                    </w:rPr>
                  </w:pPr>
                  <w:r>
                    <w:rPr>
                      <w:rFonts w:hint="eastAsia" w:ascii="Times New Roman" w:hAnsi="Times New Roman" w:eastAsia="宋体" w:cs="Times New Roman"/>
                      <w:b w:val="0"/>
                      <w:bCs w:val="0"/>
                      <w:color w:val="000000"/>
                      <w:kern w:val="2"/>
                      <w:sz w:val="21"/>
                      <w:szCs w:val="21"/>
                      <w:highlight w:val="none"/>
                      <w:lang w:val="en-US" w:eastAsia="zh-CN" w:bidi="ar-SA"/>
                    </w:rPr>
                    <w:t>0.122</w:t>
                  </w:r>
                </w:p>
              </w:tc>
              <w:tc>
                <w:tcPr>
                  <w:tcW w:w="1018" w:type="dxa"/>
                  <w:vMerge w:val="continue"/>
                  <w:tcBorders>
                    <w:tl2br w:val="nil"/>
                    <w:tr2bl w:val="nil"/>
                  </w:tcBorders>
                  <w:shd w:val="clear" w:color="auto" w:fill="auto"/>
                  <w:noWrap w:val="0"/>
                  <w:vAlign w:val="center"/>
                </w:tcPr>
                <w:p w14:paraId="408F323E">
                  <w:pPr>
                    <w:pStyle w:val="206"/>
                    <w:shd w:val="clear" w:color="auto" w:fill="auto"/>
                    <w:rPr>
                      <w:color w:val="000000"/>
                      <w:highlight w:val="none"/>
                    </w:rPr>
                  </w:pPr>
                </w:p>
              </w:tc>
              <w:tc>
                <w:tcPr>
                  <w:tcW w:w="911" w:type="dxa"/>
                  <w:tcBorders>
                    <w:tl2br w:val="nil"/>
                    <w:tr2bl w:val="nil"/>
                  </w:tcBorders>
                  <w:shd w:val="clear" w:color="auto" w:fill="auto"/>
                  <w:noWrap w:val="0"/>
                  <w:vAlign w:val="center"/>
                </w:tcPr>
                <w:p w14:paraId="63CE4C48">
                  <w:pPr>
                    <w:pStyle w:val="206"/>
                    <w:shd w:val="clear" w:color="auto" w:fill="auto"/>
                    <w:ind w:firstLine="0" w:firstLineChars="0"/>
                    <w:rPr>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0"/>
                      <w:sz w:val="21"/>
                      <w:szCs w:val="21"/>
                      <w:highlight w:val="none"/>
                      <w:lang w:val="en-US" w:eastAsia="zh-CN" w:bidi="ar-SA"/>
                    </w:rPr>
                    <w:t>0.073</w:t>
                  </w:r>
                </w:p>
              </w:tc>
              <w:tc>
                <w:tcPr>
                  <w:tcW w:w="1023" w:type="dxa"/>
                  <w:tcBorders>
                    <w:tl2br w:val="nil"/>
                    <w:tr2bl w:val="nil"/>
                  </w:tcBorders>
                  <w:shd w:val="clear" w:color="auto" w:fill="auto"/>
                  <w:noWrap w:val="0"/>
                  <w:vAlign w:val="center"/>
                </w:tcPr>
                <w:p w14:paraId="0A4628DB">
                  <w:pPr>
                    <w:pStyle w:val="206"/>
                    <w:shd w:val="clear" w:color="auto" w:fill="auto"/>
                    <w:ind w:firstLine="0" w:firstLineChars="0"/>
                    <w:rPr>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0.122</w:t>
                  </w:r>
                </w:p>
              </w:tc>
              <w:tc>
                <w:tcPr>
                  <w:tcW w:w="1120" w:type="dxa"/>
                  <w:tcBorders>
                    <w:tl2br w:val="nil"/>
                    <w:tr2bl w:val="nil"/>
                  </w:tcBorders>
                  <w:shd w:val="clear" w:color="auto" w:fill="auto"/>
                  <w:noWrap w:val="0"/>
                  <w:vAlign w:val="center"/>
                </w:tcPr>
                <w:p w14:paraId="325A8341">
                  <w:pPr>
                    <w:pStyle w:val="206"/>
                    <w:shd w:val="clear" w:color="auto" w:fill="auto"/>
                    <w:rPr>
                      <w:color w:val="000000"/>
                      <w:highlight w:val="none"/>
                    </w:rPr>
                  </w:pPr>
                  <w:r>
                    <w:rPr>
                      <w:rFonts w:hint="eastAsia"/>
                      <w:color w:val="000000"/>
                      <w:highlight w:val="none"/>
                      <w:lang w:val="en-US" w:eastAsia="zh-CN"/>
                    </w:rPr>
                    <w:t>/</w:t>
                  </w:r>
                </w:p>
              </w:tc>
            </w:tr>
            <w:tr w14:paraId="62863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1018" w:type="dxa"/>
                  <w:vMerge w:val="restart"/>
                  <w:tcBorders>
                    <w:tl2br w:val="nil"/>
                    <w:tr2bl w:val="nil"/>
                  </w:tcBorders>
                  <w:shd w:val="clear" w:color="auto" w:fill="auto"/>
                  <w:noWrap w:val="0"/>
                  <w:vAlign w:val="center"/>
                </w:tcPr>
                <w:p w14:paraId="5EAD3719">
                  <w:pPr>
                    <w:pStyle w:val="206"/>
                    <w:shd w:val="clear" w:color="auto" w:fill="auto"/>
                    <w:rPr>
                      <w:rFonts w:hint="default"/>
                      <w:color w:val="000000"/>
                      <w:highlight w:val="none"/>
                      <w:lang w:val="en-US" w:eastAsia="zh-CN"/>
                    </w:rPr>
                  </w:pPr>
                  <w:r>
                    <w:rPr>
                      <w:rFonts w:hint="eastAsia"/>
                      <w:color w:val="000000"/>
                      <w:highlight w:val="none"/>
                      <w:lang w:val="en-US" w:eastAsia="zh-CN"/>
                    </w:rPr>
                    <w:t>污水处理站恶臭</w:t>
                  </w:r>
                </w:p>
              </w:tc>
              <w:tc>
                <w:tcPr>
                  <w:tcW w:w="1018" w:type="dxa"/>
                  <w:tcBorders>
                    <w:tl2br w:val="nil"/>
                    <w:tr2bl w:val="nil"/>
                  </w:tcBorders>
                  <w:shd w:val="clear" w:color="auto" w:fill="auto"/>
                  <w:noWrap w:val="0"/>
                  <w:vAlign w:val="center"/>
                </w:tcPr>
                <w:p w14:paraId="439823B2">
                  <w:pPr>
                    <w:pStyle w:val="206"/>
                    <w:shd w:val="clear" w:color="auto" w:fill="auto"/>
                    <w:rPr>
                      <w:rFonts w:hint="eastAsia" w:eastAsia="宋体"/>
                      <w:color w:val="000000"/>
                      <w:highlight w:val="none"/>
                      <w:lang w:val="en-US" w:eastAsia="zh-CN"/>
                    </w:rPr>
                  </w:pPr>
                  <w:r>
                    <w:rPr>
                      <w:rFonts w:hint="eastAsia"/>
                      <w:color w:val="000000"/>
                      <w:highlight w:val="none"/>
                      <w:lang w:val="en-US" w:eastAsia="zh-CN"/>
                    </w:rPr>
                    <w:t>氨</w:t>
                  </w:r>
                </w:p>
              </w:tc>
              <w:tc>
                <w:tcPr>
                  <w:tcW w:w="1018" w:type="dxa"/>
                  <w:tcBorders>
                    <w:tl2br w:val="nil"/>
                    <w:tr2bl w:val="nil"/>
                  </w:tcBorders>
                  <w:shd w:val="clear" w:color="auto" w:fill="auto"/>
                  <w:noWrap w:val="0"/>
                  <w:vAlign w:val="center"/>
                </w:tcPr>
                <w:p w14:paraId="41A078D0">
                  <w:pPr>
                    <w:shd w:val="clear" w:color="auto" w:fill="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0.0183</w:t>
                  </w:r>
                </w:p>
              </w:tc>
              <w:tc>
                <w:tcPr>
                  <w:tcW w:w="1018" w:type="dxa"/>
                  <w:tcBorders>
                    <w:tl2br w:val="nil"/>
                    <w:tr2bl w:val="nil"/>
                  </w:tcBorders>
                  <w:shd w:val="clear" w:color="auto" w:fill="auto"/>
                  <w:noWrap w:val="0"/>
                  <w:vAlign w:val="center"/>
                </w:tcPr>
                <w:p w14:paraId="18991894">
                  <w:pPr>
                    <w:shd w:val="clear" w:color="auto" w:fill="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0.0025</w:t>
                  </w:r>
                </w:p>
              </w:tc>
              <w:tc>
                <w:tcPr>
                  <w:tcW w:w="1018" w:type="dxa"/>
                  <w:vMerge w:val="restart"/>
                  <w:tcBorders>
                    <w:tl2br w:val="nil"/>
                    <w:tr2bl w:val="nil"/>
                  </w:tcBorders>
                  <w:shd w:val="clear" w:color="auto" w:fill="auto"/>
                  <w:noWrap w:val="0"/>
                  <w:vAlign w:val="center"/>
                </w:tcPr>
                <w:p w14:paraId="2C3CD9BD">
                  <w:pPr>
                    <w:pStyle w:val="206"/>
                    <w:shd w:val="clear" w:color="auto" w:fill="auto"/>
                    <w:rPr>
                      <w:rFonts w:hint="default" w:eastAsia="宋体"/>
                      <w:color w:val="000000"/>
                      <w:highlight w:val="none"/>
                      <w:lang w:val="en-US" w:eastAsia="zh-CN"/>
                    </w:rPr>
                  </w:pPr>
                  <w:r>
                    <w:rPr>
                      <w:rFonts w:hint="eastAsia"/>
                      <w:color w:val="000000"/>
                      <w:highlight w:val="none"/>
                      <w:lang w:val="en-US" w:eastAsia="zh-CN"/>
                    </w:rPr>
                    <w:t>加盖密闭</w:t>
                  </w:r>
                </w:p>
              </w:tc>
              <w:tc>
                <w:tcPr>
                  <w:tcW w:w="911" w:type="dxa"/>
                  <w:tcBorders>
                    <w:tl2br w:val="nil"/>
                    <w:tr2bl w:val="nil"/>
                  </w:tcBorders>
                  <w:shd w:val="clear" w:color="auto" w:fill="auto"/>
                  <w:noWrap w:val="0"/>
                  <w:vAlign w:val="center"/>
                </w:tcPr>
                <w:p w14:paraId="1A9F3AAC">
                  <w:pPr>
                    <w:shd w:val="clear" w:color="auto" w:fill="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0.0183</w:t>
                  </w:r>
                </w:p>
              </w:tc>
              <w:tc>
                <w:tcPr>
                  <w:tcW w:w="1023" w:type="dxa"/>
                  <w:tcBorders>
                    <w:tl2br w:val="nil"/>
                    <w:tr2bl w:val="nil"/>
                  </w:tcBorders>
                  <w:shd w:val="clear" w:color="auto" w:fill="auto"/>
                  <w:noWrap w:val="0"/>
                  <w:vAlign w:val="center"/>
                </w:tcPr>
                <w:p w14:paraId="36057BBE">
                  <w:pPr>
                    <w:shd w:val="clear" w:color="auto" w:fill="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0.0025</w:t>
                  </w:r>
                </w:p>
              </w:tc>
              <w:tc>
                <w:tcPr>
                  <w:tcW w:w="1120" w:type="dxa"/>
                  <w:tcBorders>
                    <w:tl2br w:val="nil"/>
                    <w:tr2bl w:val="nil"/>
                  </w:tcBorders>
                  <w:shd w:val="clear" w:color="auto" w:fill="auto"/>
                  <w:noWrap w:val="0"/>
                  <w:vAlign w:val="center"/>
                </w:tcPr>
                <w:p w14:paraId="58B3B799">
                  <w:pPr>
                    <w:pStyle w:val="206"/>
                    <w:shd w:val="clear" w:color="auto" w:fill="auto"/>
                    <w:ind w:firstLine="0" w:firstLineChars="0"/>
                    <w:rPr>
                      <w:rFonts w:hint="eastAsia" w:eastAsia="宋体"/>
                      <w:color w:val="000000"/>
                      <w:kern w:val="2"/>
                      <w:sz w:val="21"/>
                      <w:szCs w:val="21"/>
                      <w:highlight w:val="none"/>
                      <w:lang w:val="en-US" w:eastAsia="zh-CN" w:bidi="ar-SA"/>
                    </w:rPr>
                  </w:pPr>
                  <w:r>
                    <w:rPr>
                      <w:rFonts w:hint="eastAsia"/>
                      <w:color w:val="000000"/>
                      <w:highlight w:val="none"/>
                      <w:lang w:val="en-US" w:eastAsia="zh-CN"/>
                    </w:rPr>
                    <w:t>/</w:t>
                  </w:r>
                </w:p>
              </w:tc>
            </w:tr>
            <w:tr w14:paraId="57BA2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1018" w:type="dxa"/>
                  <w:vMerge w:val="continue"/>
                  <w:tcBorders>
                    <w:tl2br w:val="nil"/>
                    <w:tr2bl w:val="nil"/>
                  </w:tcBorders>
                  <w:shd w:val="clear" w:color="auto" w:fill="auto"/>
                  <w:noWrap w:val="0"/>
                  <w:vAlign w:val="center"/>
                </w:tcPr>
                <w:p w14:paraId="0E3423DA">
                  <w:pPr>
                    <w:pStyle w:val="206"/>
                    <w:shd w:val="clear" w:color="auto" w:fill="auto"/>
                    <w:rPr>
                      <w:rFonts w:hint="eastAsia"/>
                      <w:color w:val="000000"/>
                      <w:highlight w:val="none"/>
                      <w:lang w:val="en-US" w:eastAsia="zh-CN"/>
                    </w:rPr>
                  </w:pPr>
                </w:p>
              </w:tc>
              <w:tc>
                <w:tcPr>
                  <w:tcW w:w="1018" w:type="dxa"/>
                  <w:tcBorders>
                    <w:tl2br w:val="nil"/>
                    <w:tr2bl w:val="nil"/>
                  </w:tcBorders>
                  <w:shd w:val="clear" w:color="auto" w:fill="auto"/>
                  <w:noWrap w:val="0"/>
                  <w:vAlign w:val="center"/>
                </w:tcPr>
                <w:p w14:paraId="244FFDE1">
                  <w:pPr>
                    <w:pStyle w:val="206"/>
                    <w:shd w:val="clear" w:color="auto" w:fill="auto"/>
                    <w:rPr>
                      <w:rFonts w:hint="eastAsia" w:eastAsia="宋体"/>
                      <w:color w:val="000000"/>
                      <w:highlight w:val="none"/>
                      <w:lang w:val="en-US" w:eastAsia="zh-CN"/>
                    </w:rPr>
                  </w:pPr>
                  <w:r>
                    <w:rPr>
                      <w:rFonts w:hint="eastAsia"/>
                      <w:color w:val="000000"/>
                      <w:highlight w:val="none"/>
                      <w:lang w:val="en-US" w:eastAsia="zh-CN"/>
                    </w:rPr>
                    <w:t>硫化氢</w:t>
                  </w:r>
                </w:p>
              </w:tc>
              <w:tc>
                <w:tcPr>
                  <w:tcW w:w="1018" w:type="dxa"/>
                  <w:tcBorders>
                    <w:tl2br w:val="nil"/>
                    <w:tr2bl w:val="nil"/>
                  </w:tcBorders>
                  <w:shd w:val="clear" w:color="auto" w:fill="auto"/>
                  <w:noWrap w:val="0"/>
                  <w:vAlign w:val="center"/>
                </w:tcPr>
                <w:p w14:paraId="05AB1484">
                  <w:pPr>
                    <w:shd w:val="clear" w:color="auto" w:fill="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0.0007</w:t>
                  </w:r>
                </w:p>
              </w:tc>
              <w:tc>
                <w:tcPr>
                  <w:tcW w:w="1018" w:type="dxa"/>
                  <w:tcBorders>
                    <w:tl2br w:val="nil"/>
                    <w:tr2bl w:val="nil"/>
                  </w:tcBorders>
                  <w:shd w:val="clear" w:color="auto" w:fill="auto"/>
                  <w:noWrap w:val="0"/>
                  <w:vAlign w:val="center"/>
                </w:tcPr>
                <w:p w14:paraId="0D56D741">
                  <w:pPr>
                    <w:shd w:val="clear" w:color="auto" w:fill="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0.0001</w:t>
                  </w:r>
                </w:p>
              </w:tc>
              <w:tc>
                <w:tcPr>
                  <w:tcW w:w="1018" w:type="dxa"/>
                  <w:vMerge w:val="continue"/>
                  <w:tcBorders>
                    <w:tl2br w:val="nil"/>
                    <w:tr2bl w:val="nil"/>
                  </w:tcBorders>
                  <w:shd w:val="clear" w:color="auto" w:fill="auto"/>
                  <w:noWrap w:val="0"/>
                  <w:vAlign w:val="center"/>
                </w:tcPr>
                <w:p w14:paraId="406E7068">
                  <w:pPr>
                    <w:pStyle w:val="206"/>
                    <w:shd w:val="clear" w:color="auto" w:fill="auto"/>
                    <w:rPr>
                      <w:color w:val="000000"/>
                      <w:highlight w:val="none"/>
                    </w:rPr>
                  </w:pPr>
                </w:p>
              </w:tc>
              <w:tc>
                <w:tcPr>
                  <w:tcW w:w="911" w:type="dxa"/>
                  <w:tcBorders>
                    <w:tl2br w:val="nil"/>
                    <w:tr2bl w:val="nil"/>
                  </w:tcBorders>
                  <w:shd w:val="clear" w:color="auto" w:fill="auto"/>
                  <w:noWrap w:val="0"/>
                  <w:vAlign w:val="center"/>
                </w:tcPr>
                <w:p w14:paraId="3EC4B935">
                  <w:pPr>
                    <w:shd w:val="clear" w:color="auto" w:fill="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0.0007</w:t>
                  </w:r>
                </w:p>
              </w:tc>
              <w:tc>
                <w:tcPr>
                  <w:tcW w:w="1023" w:type="dxa"/>
                  <w:tcBorders>
                    <w:tl2br w:val="nil"/>
                    <w:tr2bl w:val="nil"/>
                  </w:tcBorders>
                  <w:shd w:val="clear" w:color="auto" w:fill="auto"/>
                  <w:noWrap w:val="0"/>
                  <w:vAlign w:val="center"/>
                </w:tcPr>
                <w:p w14:paraId="2DD998AB">
                  <w:pPr>
                    <w:shd w:val="clear" w:color="auto" w:fill="auto"/>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0.0001</w:t>
                  </w:r>
                </w:p>
              </w:tc>
              <w:tc>
                <w:tcPr>
                  <w:tcW w:w="1120" w:type="dxa"/>
                  <w:tcBorders>
                    <w:tl2br w:val="nil"/>
                    <w:tr2bl w:val="nil"/>
                  </w:tcBorders>
                  <w:shd w:val="clear" w:color="auto" w:fill="auto"/>
                  <w:noWrap w:val="0"/>
                  <w:vAlign w:val="center"/>
                </w:tcPr>
                <w:p w14:paraId="74CE2CE4">
                  <w:pPr>
                    <w:pStyle w:val="206"/>
                    <w:shd w:val="clear" w:color="auto" w:fill="auto"/>
                    <w:ind w:firstLine="0" w:firstLineChars="0"/>
                    <w:rPr>
                      <w:color w:val="000000"/>
                      <w:kern w:val="2"/>
                      <w:sz w:val="21"/>
                      <w:szCs w:val="21"/>
                      <w:highlight w:val="none"/>
                      <w:lang w:val="en-US" w:eastAsia="zh-CN" w:bidi="ar-SA"/>
                    </w:rPr>
                  </w:pPr>
                  <w:r>
                    <w:rPr>
                      <w:rFonts w:hint="eastAsia"/>
                      <w:color w:val="000000"/>
                      <w:highlight w:val="none"/>
                      <w:lang w:val="en-US" w:eastAsia="zh-CN"/>
                    </w:rPr>
                    <w:t>/</w:t>
                  </w:r>
                </w:p>
              </w:tc>
            </w:tr>
            <w:tr w14:paraId="5C844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1018" w:type="dxa"/>
                  <w:tcBorders>
                    <w:tl2br w:val="nil"/>
                    <w:tr2bl w:val="nil"/>
                  </w:tcBorders>
                  <w:shd w:val="clear" w:color="auto" w:fill="auto"/>
                  <w:noWrap w:val="0"/>
                  <w:vAlign w:val="center"/>
                </w:tcPr>
                <w:p w14:paraId="3B6AF2D1">
                  <w:pPr>
                    <w:pStyle w:val="206"/>
                    <w:shd w:val="clear" w:color="auto" w:fill="auto"/>
                    <w:rPr>
                      <w:rFonts w:hint="default"/>
                      <w:color w:val="000000"/>
                      <w:highlight w:val="none"/>
                      <w:lang w:val="en-US" w:eastAsia="zh-CN"/>
                    </w:rPr>
                  </w:pPr>
                  <w:r>
                    <w:rPr>
                      <w:rFonts w:hint="eastAsia"/>
                      <w:color w:val="000000"/>
                      <w:highlight w:val="none"/>
                      <w:lang w:val="en-US" w:eastAsia="zh-CN"/>
                    </w:rPr>
                    <w:t>食堂油烟</w:t>
                  </w:r>
                </w:p>
              </w:tc>
              <w:tc>
                <w:tcPr>
                  <w:tcW w:w="1018" w:type="dxa"/>
                  <w:tcBorders>
                    <w:tl2br w:val="nil"/>
                    <w:tr2bl w:val="nil"/>
                  </w:tcBorders>
                  <w:shd w:val="clear" w:color="auto" w:fill="auto"/>
                  <w:noWrap w:val="0"/>
                  <w:vAlign w:val="center"/>
                </w:tcPr>
                <w:p w14:paraId="39478018">
                  <w:pPr>
                    <w:pStyle w:val="206"/>
                    <w:shd w:val="clear" w:color="auto" w:fill="auto"/>
                    <w:rPr>
                      <w:rFonts w:hint="eastAsia" w:eastAsia="宋体"/>
                      <w:color w:val="000000"/>
                      <w:highlight w:val="none"/>
                      <w:lang w:val="en-US" w:eastAsia="zh-CN"/>
                    </w:rPr>
                  </w:pPr>
                  <w:r>
                    <w:rPr>
                      <w:rFonts w:hint="eastAsia"/>
                      <w:color w:val="000000"/>
                      <w:highlight w:val="none"/>
                      <w:lang w:val="en-US" w:eastAsia="zh-CN"/>
                    </w:rPr>
                    <w:t>油烟</w:t>
                  </w:r>
                </w:p>
              </w:tc>
              <w:tc>
                <w:tcPr>
                  <w:tcW w:w="1018" w:type="dxa"/>
                  <w:tcBorders>
                    <w:tl2br w:val="nil"/>
                    <w:tr2bl w:val="nil"/>
                  </w:tcBorders>
                  <w:shd w:val="clear" w:color="auto" w:fill="auto"/>
                  <w:noWrap w:val="0"/>
                  <w:vAlign w:val="center"/>
                </w:tcPr>
                <w:p w14:paraId="0DDE1F63">
                  <w:pPr>
                    <w:pStyle w:val="206"/>
                    <w:shd w:val="clear" w:color="auto" w:fill="auto"/>
                    <w:rPr>
                      <w:rFonts w:hint="default" w:eastAsia="宋体"/>
                      <w:color w:val="000000"/>
                      <w:highlight w:val="none"/>
                      <w:lang w:val="en-US" w:eastAsia="zh-CN"/>
                    </w:rPr>
                  </w:pPr>
                  <w:r>
                    <w:rPr>
                      <w:rFonts w:hint="eastAsia" w:ascii="Times New Roman" w:hAnsi="Times New Roman" w:eastAsia="宋体" w:cs="Times New Roman"/>
                      <w:color w:val="000000"/>
                      <w:kern w:val="2"/>
                      <w:sz w:val="21"/>
                      <w:szCs w:val="21"/>
                      <w:highlight w:val="none"/>
                      <w:lang w:val="en-US" w:eastAsia="zh-CN" w:bidi="ar-SA"/>
                    </w:rPr>
                    <w:t>0.0135</w:t>
                  </w:r>
                </w:p>
              </w:tc>
              <w:tc>
                <w:tcPr>
                  <w:tcW w:w="1018" w:type="dxa"/>
                  <w:tcBorders>
                    <w:tl2br w:val="nil"/>
                    <w:tr2bl w:val="nil"/>
                  </w:tcBorders>
                  <w:shd w:val="clear" w:color="auto" w:fill="auto"/>
                  <w:noWrap w:val="0"/>
                  <w:vAlign w:val="center"/>
                </w:tcPr>
                <w:p w14:paraId="75528F52">
                  <w:pPr>
                    <w:pStyle w:val="206"/>
                    <w:shd w:val="clear" w:color="auto" w:fill="auto"/>
                    <w:rPr>
                      <w:rFonts w:hint="default" w:eastAsia="宋体"/>
                      <w:color w:val="000000"/>
                      <w:highlight w:val="none"/>
                      <w:lang w:val="en-US" w:eastAsia="zh-CN"/>
                    </w:rPr>
                  </w:pPr>
                  <w:r>
                    <w:rPr>
                      <w:rFonts w:hint="eastAsia"/>
                      <w:color w:val="000000"/>
                      <w:highlight w:val="none"/>
                      <w:lang w:val="en-US" w:eastAsia="zh-CN"/>
                    </w:rPr>
                    <w:t>0.0075</w:t>
                  </w:r>
                </w:p>
              </w:tc>
              <w:tc>
                <w:tcPr>
                  <w:tcW w:w="1018" w:type="dxa"/>
                  <w:tcBorders>
                    <w:tl2br w:val="nil"/>
                    <w:tr2bl w:val="nil"/>
                  </w:tcBorders>
                  <w:shd w:val="clear" w:color="auto" w:fill="auto"/>
                  <w:noWrap w:val="0"/>
                  <w:vAlign w:val="center"/>
                </w:tcPr>
                <w:p w14:paraId="62F6004F">
                  <w:pPr>
                    <w:pStyle w:val="206"/>
                    <w:shd w:val="clear" w:color="auto" w:fill="auto"/>
                    <w:rPr>
                      <w:rFonts w:hint="default" w:eastAsia="宋体"/>
                      <w:color w:val="000000"/>
                      <w:highlight w:val="none"/>
                      <w:lang w:val="en-US" w:eastAsia="zh-CN"/>
                    </w:rPr>
                  </w:pPr>
                  <w:r>
                    <w:rPr>
                      <w:rFonts w:hint="eastAsia"/>
                      <w:color w:val="000000"/>
                      <w:highlight w:val="none"/>
                      <w:lang w:val="en-US" w:eastAsia="zh-CN"/>
                    </w:rPr>
                    <w:t>油烟净化器（处理效率为60%）</w:t>
                  </w:r>
                </w:p>
              </w:tc>
              <w:tc>
                <w:tcPr>
                  <w:tcW w:w="911" w:type="dxa"/>
                  <w:tcBorders>
                    <w:tl2br w:val="nil"/>
                    <w:tr2bl w:val="nil"/>
                  </w:tcBorders>
                  <w:shd w:val="clear" w:color="auto" w:fill="auto"/>
                  <w:noWrap w:val="0"/>
                  <w:vAlign w:val="center"/>
                </w:tcPr>
                <w:p w14:paraId="176506C7">
                  <w:pPr>
                    <w:pStyle w:val="206"/>
                    <w:shd w:val="clear" w:color="auto" w:fill="auto"/>
                    <w:rPr>
                      <w:rFonts w:hint="default" w:eastAsia="宋体"/>
                      <w:color w:val="000000"/>
                      <w:highlight w:val="none"/>
                      <w:lang w:val="en-US" w:eastAsia="zh-CN"/>
                    </w:rPr>
                  </w:pPr>
                  <w:r>
                    <w:rPr>
                      <w:rFonts w:hint="eastAsia" w:eastAsia="宋体"/>
                      <w:color w:val="000000"/>
                      <w:highlight w:val="none"/>
                      <w:lang w:val="en-US" w:eastAsia="zh-CN"/>
                    </w:rPr>
                    <w:t>0.0054</w:t>
                  </w:r>
                </w:p>
              </w:tc>
              <w:tc>
                <w:tcPr>
                  <w:tcW w:w="1023" w:type="dxa"/>
                  <w:tcBorders>
                    <w:tl2br w:val="nil"/>
                    <w:tr2bl w:val="nil"/>
                  </w:tcBorders>
                  <w:shd w:val="clear" w:color="auto" w:fill="auto"/>
                  <w:noWrap w:val="0"/>
                  <w:vAlign w:val="center"/>
                </w:tcPr>
                <w:p w14:paraId="5E9342A8">
                  <w:pPr>
                    <w:pStyle w:val="206"/>
                    <w:shd w:val="clear" w:color="auto" w:fill="auto"/>
                    <w:rPr>
                      <w:rFonts w:hint="default" w:eastAsia="宋体"/>
                      <w:color w:val="000000"/>
                      <w:highlight w:val="none"/>
                      <w:lang w:val="en-US" w:eastAsia="zh-CN"/>
                    </w:rPr>
                  </w:pPr>
                  <w:r>
                    <w:rPr>
                      <w:rFonts w:hint="eastAsia" w:eastAsia="宋体"/>
                      <w:color w:val="000000"/>
                      <w:highlight w:val="none"/>
                      <w:lang w:val="en-US" w:eastAsia="zh-CN"/>
                    </w:rPr>
                    <w:t>0.003</w:t>
                  </w:r>
                </w:p>
              </w:tc>
              <w:tc>
                <w:tcPr>
                  <w:tcW w:w="1120" w:type="dxa"/>
                  <w:tcBorders>
                    <w:tl2br w:val="nil"/>
                    <w:tr2bl w:val="nil"/>
                  </w:tcBorders>
                  <w:shd w:val="clear" w:color="auto" w:fill="auto"/>
                  <w:noWrap w:val="0"/>
                  <w:vAlign w:val="center"/>
                </w:tcPr>
                <w:p w14:paraId="36F964EA">
                  <w:pPr>
                    <w:pStyle w:val="206"/>
                    <w:shd w:val="clear" w:color="auto" w:fill="auto"/>
                    <w:rPr>
                      <w:color w:val="000000"/>
                      <w:highlight w:val="none"/>
                    </w:rPr>
                  </w:pPr>
                  <w:r>
                    <w:rPr>
                      <w:rFonts w:hint="eastAsia" w:ascii="Times New Roman" w:hAnsi="Times New Roman" w:eastAsia="宋体" w:cs="Times New Roman"/>
                      <w:color w:val="000000"/>
                      <w:kern w:val="2"/>
                      <w:sz w:val="21"/>
                      <w:szCs w:val="21"/>
                      <w:highlight w:val="none"/>
                      <w:lang w:val="en-US" w:eastAsia="zh-CN" w:bidi="ar-SA"/>
                    </w:rPr>
                    <w:t>0.75</w:t>
                  </w:r>
                </w:p>
              </w:tc>
            </w:tr>
          </w:tbl>
          <w:p w14:paraId="760E630A">
            <w:pPr>
              <w:shd w:val="clear" w:color="auto" w:fill="auto"/>
              <w:spacing w:line="360" w:lineRule="auto"/>
              <w:ind w:firstLine="422" w:firstLineChars="200"/>
              <w:jc w:val="left"/>
              <w:rPr>
                <w:b/>
                <w:bCs/>
                <w:color w:val="000000"/>
                <w:kern w:val="0"/>
                <w:sz w:val="21"/>
                <w:szCs w:val="21"/>
                <w:highlight w:val="none"/>
              </w:rPr>
            </w:pPr>
            <w:r>
              <w:rPr>
                <w:rFonts w:hint="eastAsia"/>
                <w:b/>
                <w:bCs/>
                <w:color w:val="000000"/>
                <w:kern w:val="0"/>
                <w:sz w:val="21"/>
                <w:szCs w:val="21"/>
                <w:highlight w:val="none"/>
                <w:lang w:val="en-US" w:eastAsia="zh-CN"/>
              </w:rPr>
              <w:t>2.</w:t>
            </w:r>
            <w:r>
              <w:rPr>
                <w:rFonts w:hint="eastAsia"/>
                <w:b/>
                <w:bCs/>
                <w:color w:val="000000"/>
                <w:kern w:val="0"/>
                <w:sz w:val="21"/>
                <w:szCs w:val="21"/>
                <w:highlight w:val="none"/>
              </w:rPr>
              <w:t>污染源源强核算过程</w:t>
            </w:r>
          </w:p>
          <w:p w14:paraId="188563D9">
            <w:pPr>
              <w:keepNext/>
              <w:keepLines/>
              <w:widowControl/>
              <w:shd w:val="clear" w:color="auto" w:fill="auto"/>
              <w:adjustRightInd w:val="0"/>
              <w:snapToGrid w:val="0"/>
              <w:spacing w:line="360" w:lineRule="auto"/>
              <w:ind w:firstLine="420" w:firstLineChars="200"/>
              <w:jc w:val="left"/>
              <w:outlineLvl w:val="1"/>
              <w:rPr>
                <w:rFonts w:hint="default" w:ascii="Times New Roman" w:hAnsi="Times New Roman" w:eastAsia="宋体" w:cs="Times New Roman"/>
                <w:b w:val="0"/>
                <w:bCs w:val="0"/>
                <w:color w:val="000000"/>
                <w:kern w:val="0"/>
                <w:sz w:val="21"/>
                <w:szCs w:val="21"/>
                <w:highlight w:val="none"/>
                <w:lang w:val="en-US" w:eastAsia="zh-CN" w:bidi="ar-SA"/>
              </w:rPr>
            </w:pPr>
            <w:r>
              <w:rPr>
                <w:rFonts w:hint="eastAsia" w:ascii="Times New Roman" w:hAnsi="Times New Roman" w:eastAsia="宋体" w:cs="Times New Roman"/>
                <w:b w:val="0"/>
                <w:bCs w:val="0"/>
                <w:color w:val="000000"/>
                <w:kern w:val="0"/>
                <w:sz w:val="21"/>
                <w:szCs w:val="21"/>
                <w:highlight w:val="none"/>
                <w:lang w:val="en-US" w:eastAsia="zh-CN" w:bidi="ar-SA"/>
              </w:rPr>
              <w:t>（1）</w:t>
            </w:r>
            <w:r>
              <w:rPr>
                <w:rFonts w:hint="eastAsia" w:cs="Times New Roman"/>
                <w:b w:val="0"/>
                <w:bCs w:val="0"/>
                <w:color w:val="000000"/>
                <w:kern w:val="0"/>
                <w:sz w:val="21"/>
                <w:szCs w:val="21"/>
                <w:highlight w:val="none"/>
                <w:lang w:val="en-US" w:eastAsia="zh-CN" w:bidi="ar-SA"/>
              </w:rPr>
              <w:t>粮食</w:t>
            </w:r>
            <w:r>
              <w:rPr>
                <w:rFonts w:hint="eastAsia" w:ascii="Times New Roman" w:hAnsi="Times New Roman" w:eastAsia="宋体" w:cs="Times New Roman"/>
                <w:b w:val="0"/>
                <w:bCs w:val="0"/>
                <w:color w:val="000000"/>
                <w:kern w:val="0"/>
                <w:sz w:val="21"/>
                <w:szCs w:val="21"/>
                <w:highlight w:val="none"/>
                <w:lang w:val="en-US" w:eastAsia="zh-CN" w:bidi="ar-SA"/>
              </w:rPr>
              <w:t>粉碎粉尘</w:t>
            </w:r>
          </w:p>
          <w:p w14:paraId="06A8B758">
            <w:pPr>
              <w:keepNext w:val="0"/>
              <w:keepLines w:val="0"/>
              <w:pageBreakBefore w:val="0"/>
              <w:widowControl/>
              <w:shd w:val="clear" w:color="auto" w:fill="auto"/>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000000"/>
                <w:kern w:val="2"/>
                <w:szCs w:val="21"/>
                <w:highlight w:val="none"/>
                <w:lang w:val="en-US" w:eastAsia="zh-CN" w:bidi="ar-SA"/>
              </w:rPr>
            </w:pPr>
            <w:r>
              <w:rPr>
                <w:rFonts w:hint="eastAsia" w:ascii="Times New Roman" w:hAnsi="Times New Roman" w:cs="Times New Roman"/>
                <w:color w:val="000000"/>
                <w:kern w:val="2"/>
                <w:szCs w:val="21"/>
                <w:highlight w:val="none"/>
                <w:lang w:val="en-US" w:eastAsia="zh-CN" w:bidi="ar-SA"/>
              </w:rPr>
              <w:t>本项目酿酒需要用到的粮食为高粱，根据建设单位提供资料，高粱用量为1500t/a。高粱在使用前需要使用粉碎机进行粉碎，粉碎过程中会产生粉尘。</w:t>
            </w:r>
          </w:p>
          <w:p w14:paraId="069BF0D2">
            <w:pPr>
              <w:keepNext w:val="0"/>
              <w:keepLines w:val="0"/>
              <w:pageBreakBefore w:val="0"/>
              <w:widowControl/>
              <w:shd w:val="clear" w:color="auto" w:fill="auto"/>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kern w:val="2"/>
                <w:szCs w:val="21"/>
                <w:highlight w:val="none"/>
                <w:lang w:val="en-US" w:eastAsia="zh-CN" w:bidi="ar-SA"/>
              </w:rPr>
              <w:t>参考</w:t>
            </w:r>
            <w:r>
              <w:rPr>
                <w:rFonts w:hint="default" w:ascii="Times New Roman" w:hAnsi="Times New Roman" w:cs="Times New Roman"/>
                <w:color w:val="000000"/>
                <w:kern w:val="2"/>
                <w:sz w:val="21"/>
                <w:szCs w:val="21"/>
                <w:highlight w:val="none"/>
                <w:lang w:val="en-US" w:eastAsia="zh-CN"/>
              </w:rPr>
              <w:t>生态环境部2021年第24号文件</w:t>
            </w:r>
            <w:r>
              <w:rPr>
                <w:rFonts w:hint="eastAsia" w:ascii="Times New Roman" w:hAnsi="Times New Roman" w:cs="Times New Roman"/>
                <w:color w:val="000000"/>
                <w:kern w:val="2"/>
                <w:szCs w:val="21"/>
                <w:highlight w:val="none"/>
                <w:lang w:val="en-US" w:eastAsia="zh-CN" w:bidi="ar-SA"/>
              </w:rPr>
              <w:t>《</w:t>
            </w:r>
            <w:r>
              <w:fldChar w:fldCharType="begin"/>
            </w:r>
            <w:r>
              <w:instrText xml:space="preserve"> HYPERLINK "https://www.mee.gov.cn/xxgk2018/xxgk/xxgk01/202106/W020210624327149500026.pdf" </w:instrText>
            </w:r>
            <w:r>
              <w:fldChar w:fldCharType="separate"/>
            </w:r>
            <w:r>
              <w:rPr>
                <w:rFonts w:hint="eastAsia" w:ascii="Times New Roman" w:hAnsi="Times New Roman" w:cs="Times New Roman"/>
                <w:color w:val="000000"/>
                <w:kern w:val="2"/>
                <w:szCs w:val="21"/>
                <w:highlight w:val="none"/>
                <w:lang w:val="en-US" w:eastAsia="zh-CN" w:bidi="ar-SA"/>
              </w:rPr>
              <w:t>排放源统计调查产排污核算方法和系数手册</w:t>
            </w:r>
            <w:r>
              <w:rPr>
                <w:rFonts w:hint="eastAsia" w:ascii="Times New Roman" w:hAnsi="Times New Roman" w:cs="Times New Roman"/>
                <w:color w:val="000000"/>
                <w:kern w:val="2"/>
                <w:szCs w:val="21"/>
                <w:highlight w:val="none"/>
                <w:lang w:val="en-US" w:eastAsia="zh-CN" w:bidi="ar-SA"/>
              </w:rPr>
              <w:fldChar w:fldCharType="end"/>
            </w:r>
            <w:r>
              <w:rPr>
                <w:rFonts w:hint="eastAsia" w:ascii="Times New Roman" w:hAnsi="Times New Roman" w:cs="Times New Roman"/>
                <w:color w:val="000000"/>
                <w:kern w:val="2"/>
                <w:szCs w:val="21"/>
                <w:highlight w:val="none"/>
                <w:lang w:val="en-US" w:eastAsia="zh-CN" w:bidi="ar-SA"/>
              </w:rPr>
              <w:t>——谷物磨制行业系数</w:t>
            </w:r>
            <w:r>
              <w:rPr>
                <w:rFonts w:hint="default" w:ascii="Times New Roman" w:hAnsi="Times New Roman" w:cs="Times New Roman"/>
                <w:color w:val="000000"/>
                <w:kern w:val="2"/>
                <w:szCs w:val="21"/>
                <w:highlight w:val="none"/>
                <w:lang w:val="en-US" w:eastAsia="zh-CN" w:bidi="ar-SA"/>
              </w:rPr>
              <w:t>手册》</w:t>
            </w:r>
            <w:r>
              <w:rPr>
                <w:rFonts w:hint="eastAsia" w:ascii="Times New Roman" w:hAnsi="Times New Roman" w:cs="Times New Roman"/>
                <w:color w:val="000000"/>
                <w:kern w:val="2"/>
                <w:szCs w:val="21"/>
                <w:highlight w:val="none"/>
                <w:lang w:val="en-US" w:eastAsia="zh-CN" w:bidi="ar-SA"/>
              </w:rPr>
              <w:t>粮食粉碎粉尘取</w:t>
            </w:r>
            <w:r>
              <w:rPr>
                <w:rFonts w:hint="default" w:ascii="Times New Roman" w:hAnsi="Times New Roman" w:cs="Times New Roman"/>
                <w:color w:val="000000"/>
                <w:kern w:val="2"/>
                <w:szCs w:val="21"/>
                <w:highlight w:val="none"/>
                <w:lang w:val="en-US" w:eastAsia="zh-CN" w:bidi="ar-SA"/>
              </w:rPr>
              <w:t>产污系数</w:t>
            </w:r>
            <w:r>
              <w:rPr>
                <w:rFonts w:hint="eastAsia" w:ascii="Times New Roman" w:hAnsi="Times New Roman" w:cs="Times New Roman"/>
                <w:color w:val="000000"/>
                <w:kern w:val="2"/>
                <w:szCs w:val="21"/>
                <w:highlight w:val="none"/>
                <w:lang w:val="en-US" w:eastAsia="zh-CN" w:bidi="ar-SA"/>
              </w:rPr>
              <w:t>0.085</w:t>
            </w:r>
            <w:r>
              <w:rPr>
                <w:rFonts w:hint="default" w:ascii="Times New Roman" w:hAnsi="Times New Roman" w:cs="Times New Roman"/>
                <w:color w:val="000000"/>
                <w:kern w:val="2"/>
                <w:szCs w:val="21"/>
                <w:highlight w:val="none"/>
                <w:lang w:val="en-US" w:eastAsia="zh-CN" w:bidi="ar-SA"/>
              </w:rPr>
              <w:t>千克/吨-原料</w:t>
            </w:r>
            <w:r>
              <w:rPr>
                <w:rFonts w:hint="eastAsia" w:ascii="Times New Roman" w:hAnsi="Times New Roman" w:cs="Times New Roman"/>
                <w:color w:val="000000"/>
                <w:kern w:val="2"/>
                <w:szCs w:val="21"/>
                <w:highlight w:val="none"/>
                <w:lang w:val="en-US" w:eastAsia="zh-CN" w:bidi="ar-SA"/>
              </w:rPr>
              <w:t>，且该系数为核算扣减污染治理设施去除的颗粒物，即</w:t>
            </w:r>
            <w:r>
              <w:rPr>
                <w:rFonts w:hint="default" w:ascii="Times New Roman" w:hAnsi="Times New Roman" w:cs="Times New Roman"/>
                <w:color w:val="000000"/>
                <w:szCs w:val="21"/>
                <w:highlight w:val="none"/>
                <w:lang w:val="en-US" w:eastAsia="zh-CN"/>
              </w:rPr>
              <w:t>根据企业提供数据，</w:t>
            </w:r>
            <w:r>
              <w:rPr>
                <w:rFonts w:hint="eastAsia" w:ascii="Times New Roman" w:hAnsi="Times New Roman" w:cs="Times New Roman"/>
                <w:color w:val="000000"/>
                <w:szCs w:val="21"/>
                <w:highlight w:val="none"/>
                <w:lang w:val="en-US" w:eastAsia="zh-CN"/>
              </w:rPr>
              <w:t>粮食粉碎工序</w:t>
            </w:r>
            <w:r>
              <w:rPr>
                <w:rFonts w:hint="default" w:ascii="Times New Roman" w:hAnsi="Times New Roman" w:cs="Times New Roman"/>
                <w:color w:val="000000"/>
                <w:szCs w:val="21"/>
                <w:highlight w:val="none"/>
                <w:lang w:val="en-US" w:eastAsia="zh-CN"/>
              </w:rPr>
              <w:t>年工作时间</w:t>
            </w:r>
            <w:r>
              <w:rPr>
                <w:rFonts w:hint="eastAsia" w:ascii="Times New Roman" w:hAnsi="Times New Roman" w:cs="Times New Roman"/>
                <w:color w:val="000000"/>
                <w:szCs w:val="21"/>
                <w:highlight w:val="none"/>
                <w:lang w:val="en-US" w:eastAsia="zh-CN"/>
              </w:rPr>
              <w:t>900</w:t>
            </w:r>
            <w:r>
              <w:rPr>
                <w:rFonts w:hint="default" w:ascii="Times New Roman" w:hAnsi="Times New Roman" w:cs="Times New Roman"/>
                <w:color w:val="000000"/>
                <w:szCs w:val="21"/>
                <w:highlight w:val="none"/>
                <w:lang w:val="en-US" w:eastAsia="zh-CN"/>
              </w:rPr>
              <w:t>h，原材料</w:t>
            </w:r>
            <w:r>
              <w:rPr>
                <w:rFonts w:hint="eastAsia" w:ascii="Times New Roman" w:hAnsi="Times New Roman" w:cs="Times New Roman"/>
                <w:color w:val="000000"/>
                <w:szCs w:val="21"/>
                <w:highlight w:val="none"/>
                <w:lang w:val="en-US" w:eastAsia="zh-CN"/>
              </w:rPr>
              <w:t>最大</w:t>
            </w:r>
            <w:r>
              <w:rPr>
                <w:rFonts w:hint="default" w:ascii="Times New Roman" w:hAnsi="Times New Roman" w:cs="Times New Roman"/>
                <w:color w:val="000000"/>
                <w:szCs w:val="21"/>
                <w:highlight w:val="none"/>
                <w:lang w:val="en-US" w:eastAsia="zh-CN"/>
              </w:rPr>
              <w:t>用量</w:t>
            </w:r>
            <w:r>
              <w:rPr>
                <w:rFonts w:hint="default" w:ascii="Times New Roman" w:hAnsi="Times New Roman" w:cs="Times New Roman"/>
                <w:color w:val="000000"/>
                <w:kern w:val="2"/>
                <w:szCs w:val="21"/>
                <w:highlight w:val="none"/>
                <w:lang w:val="en-US" w:eastAsia="zh-CN" w:bidi="ar-SA"/>
              </w:rPr>
              <w:t>为</w:t>
            </w:r>
            <w:r>
              <w:rPr>
                <w:rFonts w:hint="eastAsia" w:ascii="Times New Roman" w:hAnsi="Times New Roman" w:cs="Times New Roman"/>
                <w:color w:val="000000"/>
                <w:kern w:val="2"/>
                <w:szCs w:val="21"/>
                <w:highlight w:val="none"/>
                <w:lang w:val="en-US" w:eastAsia="zh-CN" w:bidi="ar-SA"/>
              </w:rPr>
              <w:t>1500</w:t>
            </w:r>
            <w:r>
              <w:rPr>
                <w:rFonts w:hint="default" w:ascii="Times New Roman" w:hAnsi="Times New Roman" w:cs="Times New Roman"/>
                <w:color w:val="000000"/>
                <w:kern w:val="2"/>
                <w:szCs w:val="21"/>
                <w:highlight w:val="none"/>
                <w:lang w:val="en-US" w:eastAsia="zh-CN" w:bidi="ar-SA"/>
              </w:rPr>
              <w:t>t/a，则粉尘</w:t>
            </w:r>
            <w:r>
              <w:rPr>
                <w:rFonts w:hint="eastAsia" w:ascii="Times New Roman" w:hAnsi="Times New Roman" w:cs="Times New Roman"/>
                <w:color w:val="000000"/>
                <w:kern w:val="2"/>
                <w:szCs w:val="21"/>
                <w:highlight w:val="none"/>
                <w:lang w:val="en-US" w:eastAsia="zh-CN" w:bidi="ar-SA"/>
              </w:rPr>
              <w:t>排放</w:t>
            </w:r>
            <w:r>
              <w:rPr>
                <w:rFonts w:hint="default" w:ascii="Times New Roman" w:hAnsi="Times New Roman" w:cs="Times New Roman"/>
                <w:color w:val="000000"/>
                <w:kern w:val="2"/>
                <w:szCs w:val="21"/>
                <w:highlight w:val="none"/>
                <w:lang w:val="en-US" w:eastAsia="zh-CN" w:bidi="ar-SA"/>
              </w:rPr>
              <w:t>量为</w:t>
            </w:r>
            <w:r>
              <w:rPr>
                <w:rFonts w:hint="eastAsia" w:ascii="Times New Roman" w:hAnsi="Times New Roman" w:cs="Times New Roman"/>
                <w:color w:val="000000"/>
                <w:kern w:val="2"/>
                <w:szCs w:val="21"/>
                <w:highlight w:val="none"/>
                <w:lang w:val="en-US" w:eastAsia="zh-CN" w:bidi="ar-SA"/>
              </w:rPr>
              <w:t>0.1275</w:t>
            </w:r>
            <w:r>
              <w:rPr>
                <w:rFonts w:hint="default" w:ascii="Times New Roman" w:hAnsi="Times New Roman" w:cs="Times New Roman"/>
                <w:color w:val="000000"/>
                <w:kern w:val="2"/>
                <w:szCs w:val="21"/>
                <w:highlight w:val="none"/>
                <w:lang w:val="en-US" w:eastAsia="zh-CN" w:bidi="ar-SA"/>
              </w:rPr>
              <w:t>t/a，</w:t>
            </w:r>
            <w:r>
              <w:rPr>
                <w:rFonts w:hint="eastAsia" w:ascii="Times New Roman" w:hAnsi="Times New Roman" w:cs="Times New Roman"/>
                <w:color w:val="000000"/>
                <w:kern w:val="2"/>
                <w:szCs w:val="21"/>
                <w:highlight w:val="none"/>
                <w:lang w:val="en-US" w:eastAsia="zh-CN" w:bidi="ar-SA"/>
              </w:rPr>
              <w:t>排放</w:t>
            </w:r>
            <w:r>
              <w:rPr>
                <w:rFonts w:hint="default" w:ascii="Times New Roman" w:hAnsi="Times New Roman" w:cs="Times New Roman"/>
                <w:color w:val="000000"/>
                <w:kern w:val="2"/>
                <w:szCs w:val="21"/>
                <w:highlight w:val="none"/>
                <w:lang w:val="en-US" w:eastAsia="zh-CN" w:bidi="ar-SA"/>
              </w:rPr>
              <w:t>速率为</w:t>
            </w:r>
            <w:r>
              <w:rPr>
                <w:rFonts w:hint="eastAsia" w:ascii="Times New Roman" w:hAnsi="Times New Roman" w:cs="Times New Roman"/>
                <w:color w:val="000000"/>
                <w:kern w:val="2"/>
                <w:szCs w:val="21"/>
                <w:highlight w:val="none"/>
                <w:lang w:val="en-US" w:eastAsia="zh-CN" w:bidi="ar-SA"/>
              </w:rPr>
              <w:t>0.1417</w:t>
            </w:r>
            <w:r>
              <w:rPr>
                <w:rFonts w:hint="default" w:ascii="Times New Roman" w:hAnsi="Times New Roman" w:cs="Times New Roman"/>
                <w:color w:val="000000"/>
                <w:kern w:val="2"/>
                <w:szCs w:val="21"/>
                <w:highlight w:val="none"/>
                <w:lang w:val="en-US" w:eastAsia="zh-CN" w:bidi="ar-SA"/>
              </w:rPr>
              <w:t>kg/h，</w:t>
            </w:r>
            <w:r>
              <w:rPr>
                <w:rFonts w:hint="eastAsia" w:ascii="Times New Roman" w:hAnsi="Times New Roman" w:cs="Times New Roman"/>
                <w:color w:val="000000"/>
                <w:kern w:val="2"/>
                <w:szCs w:val="21"/>
                <w:highlight w:val="none"/>
                <w:lang w:val="en-US" w:eastAsia="zh-CN" w:bidi="ar-SA"/>
              </w:rPr>
              <w:t>排放</w:t>
            </w:r>
            <w:r>
              <w:rPr>
                <w:rFonts w:hint="default" w:ascii="Times New Roman" w:hAnsi="Times New Roman" w:cs="Times New Roman"/>
                <w:color w:val="000000"/>
                <w:kern w:val="2"/>
                <w:szCs w:val="21"/>
                <w:highlight w:val="none"/>
                <w:lang w:val="en-US" w:eastAsia="zh-CN" w:bidi="ar-SA"/>
              </w:rPr>
              <w:t>浓度为</w:t>
            </w:r>
            <w:r>
              <w:rPr>
                <w:rFonts w:hint="eastAsia" w:ascii="Times New Roman" w:hAnsi="Times New Roman" w:cs="Times New Roman"/>
                <w:color w:val="000000"/>
                <w:kern w:val="2"/>
                <w:szCs w:val="21"/>
                <w:highlight w:val="none"/>
                <w:lang w:val="en-US" w:eastAsia="zh-CN" w:bidi="ar-SA"/>
              </w:rPr>
              <w:t>28.34</w:t>
            </w:r>
            <w:r>
              <w:rPr>
                <w:rFonts w:hint="default" w:ascii="Times New Roman" w:hAnsi="Times New Roman" w:eastAsia="宋体" w:cs="Times New Roman"/>
                <w:b w:val="0"/>
                <w:bCs w:val="0"/>
                <w:color w:val="000000"/>
                <w:kern w:val="2"/>
                <w:sz w:val="21"/>
                <w:szCs w:val="21"/>
                <w:highlight w:val="none"/>
                <w:lang w:val="en-US" w:eastAsia="zh-CN" w:bidi="ar-SA"/>
              </w:rPr>
              <w:t>mg/</w:t>
            </w:r>
            <w:r>
              <w:rPr>
                <w:rFonts w:hint="eastAsia" w:ascii="Times New Roman" w:hAnsi="Times New Roman" w:eastAsia="宋体" w:cs="Times New Roman"/>
                <w:b w:val="0"/>
                <w:bCs w:val="0"/>
                <w:color w:val="000000"/>
                <w:kern w:val="2"/>
                <w:sz w:val="21"/>
                <w:szCs w:val="21"/>
                <w:highlight w:val="none"/>
                <w:lang w:val="en-US" w:eastAsia="zh-CN" w:bidi="ar-SA"/>
              </w:rPr>
              <w:t>m³</w:t>
            </w:r>
            <w:r>
              <w:rPr>
                <w:rFonts w:hint="default" w:ascii="Times New Roman" w:hAnsi="Times New Roman" w:cs="Times New Roman"/>
                <w:color w:val="000000"/>
                <w:kern w:val="2"/>
                <w:szCs w:val="21"/>
                <w:highlight w:val="none"/>
                <w:lang w:val="en-US" w:eastAsia="zh-CN" w:bidi="ar-SA"/>
              </w:rPr>
              <w:t>，</w:t>
            </w:r>
            <w:r>
              <w:rPr>
                <w:rFonts w:hint="eastAsia" w:ascii="Times New Roman" w:hAnsi="Times New Roman" w:eastAsia="宋体" w:cs="Times New Roman"/>
                <w:color w:val="000000"/>
                <w:kern w:val="0"/>
                <w:sz w:val="21"/>
                <w:szCs w:val="21"/>
                <w:highlight w:val="none"/>
                <w:lang w:val="en-US" w:eastAsia="zh-CN" w:bidi="ar-SA"/>
              </w:rPr>
              <w:t>排放浓度以及排放速率均可满足</w:t>
            </w:r>
            <w:r>
              <w:rPr>
                <w:rFonts w:hint="default" w:ascii="Times New Roman" w:hAnsi="Times New Roman" w:eastAsia="宋体" w:cs="Times New Roman"/>
                <w:color w:val="000000"/>
                <w:sz w:val="21"/>
                <w:szCs w:val="21"/>
                <w:highlight w:val="none"/>
              </w:rPr>
              <w:t>《大气污染物综合排放标准》（GB16297-1996）中表2</w:t>
            </w:r>
            <w:r>
              <w:rPr>
                <w:rFonts w:hint="default" w:ascii="Times New Roman" w:hAnsi="Times New Roman" w:eastAsia="宋体" w:cs="Times New Roman"/>
                <w:color w:val="000000"/>
                <w:sz w:val="21"/>
                <w:szCs w:val="21"/>
                <w:highlight w:val="none"/>
                <w:lang w:val="en-US" w:eastAsia="zh-CN"/>
              </w:rPr>
              <w:t>二级标准</w:t>
            </w:r>
            <w:r>
              <w:rPr>
                <w:rFonts w:hint="eastAsia" w:ascii="Times New Roman" w:hAnsi="Times New Roman" w:eastAsia="宋体" w:cs="Times New Roman"/>
                <w:color w:val="000000"/>
                <w:sz w:val="21"/>
                <w:szCs w:val="21"/>
                <w:highlight w:val="none"/>
                <w:lang w:val="en-US" w:eastAsia="zh-CN"/>
              </w:rPr>
              <w:t>。</w:t>
            </w:r>
          </w:p>
          <w:p w14:paraId="6258DEF3">
            <w:pPr>
              <w:pStyle w:val="61"/>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ind w:left="0" w:leftChars="0" w:firstLine="420" w:firstLineChars="200"/>
              <w:jc w:val="both"/>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除尘系统的除尘效率为95%，风机风量为5000m³</w:t>
            </w:r>
            <w:r>
              <w:rPr>
                <w:rFonts w:hint="default" w:ascii="Times New Roman" w:hAnsi="Times New Roman" w:eastAsia="宋体" w:cs="Times New Roman"/>
                <w:b w:val="0"/>
                <w:bCs w:val="0"/>
                <w:color w:val="000000"/>
                <w:kern w:val="2"/>
                <w:sz w:val="21"/>
                <w:szCs w:val="21"/>
                <w:highlight w:val="none"/>
                <w:lang w:val="en-US" w:eastAsia="zh-CN" w:bidi="ar-SA"/>
              </w:rPr>
              <w:t>/</w:t>
            </w:r>
            <w:r>
              <w:rPr>
                <w:rFonts w:hint="eastAsia" w:ascii="Times New Roman" w:hAnsi="Times New Roman" w:eastAsia="宋体" w:cs="Times New Roman"/>
                <w:b w:val="0"/>
                <w:bCs w:val="0"/>
                <w:color w:val="000000"/>
                <w:kern w:val="2"/>
                <w:sz w:val="21"/>
                <w:szCs w:val="21"/>
                <w:highlight w:val="none"/>
                <w:lang w:val="en-US" w:eastAsia="zh-CN" w:bidi="ar-SA"/>
              </w:rPr>
              <w:t>h经计算，</w:t>
            </w:r>
            <w:r>
              <w:rPr>
                <w:rFonts w:hint="default" w:ascii="Times New Roman" w:hAnsi="Times New Roman" w:eastAsia="宋体" w:cs="Times New Roman"/>
                <w:b w:val="0"/>
                <w:bCs w:val="0"/>
                <w:color w:val="000000"/>
                <w:kern w:val="2"/>
                <w:sz w:val="21"/>
                <w:szCs w:val="21"/>
                <w:highlight w:val="none"/>
                <w:lang w:val="en-US" w:eastAsia="zh-CN" w:bidi="ar-SA"/>
              </w:rPr>
              <w:t>则</w:t>
            </w:r>
            <w:r>
              <w:rPr>
                <w:rFonts w:hint="eastAsia" w:ascii="Times New Roman" w:hAnsi="Times New Roman" w:eastAsia="宋体" w:cs="Times New Roman"/>
                <w:b w:val="0"/>
                <w:bCs w:val="0"/>
                <w:color w:val="000000"/>
                <w:kern w:val="2"/>
                <w:sz w:val="21"/>
                <w:szCs w:val="21"/>
                <w:highlight w:val="none"/>
                <w:lang w:val="en-US" w:eastAsia="zh-CN" w:bidi="ar-SA"/>
              </w:rPr>
              <w:t>有组织</w:t>
            </w:r>
            <w:r>
              <w:rPr>
                <w:rFonts w:hint="default" w:ascii="Times New Roman" w:hAnsi="Times New Roman" w:eastAsia="宋体" w:cs="Times New Roman"/>
                <w:b w:val="0"/>
                <w:bCs w:val="0"/>
                <w:color w:val="000000"/>
                <w:kern w:val="2"/>
                <w:sz w:val="21"/>
                <w:szCs w:val="21"/>
                <w:highlight w:val="none"/>
                <w:lang w:val="en-US" w:eastAsia="zh-CN" w:bidi="ar-SA"/>
              </w:rPr>
              <w:t>粉尘产生量为</w:t>
            </w:r>
            <w:r>
              <w:rPr>
                <w:rFonts w:hint="eastAsia" w:ascii="Times New Roman" w:hAnsi="Times New Roman" w:eastAsia="宋体" w:cs="Times New Roman"/>
                <w:b w:val="0"/>
                <w:bCs w:val="0"/>
                <w:color w:val="000000"/>
                <w:kern w:val="2"/>
                <w:sz w:val="21"/>
                <w:szCs w:val="21"/>
                <w:highlight w:val="none"/>
                <w:lang w:val="en-US" w:eastAsia="zh-CN" w:bidi="ar-SA"/>
              </w:rPr>
              <w:t>2.55</w:t>
            </w:r>
            <w:r>
              <w:rPr>
                <w:rFonts w:hint="default" w:ascii="Times New Roman" w:hAnsi="Times New Roman" w:eastAsia="宋体" w:cs="Times New Roman"/>
                <w:b w:val="0"/>
                <w:bCs w:val="0"/>
                <w:color w:val="000000"/>
                <w:kern w:val="2"/>
                <w:sz w:val="21"/>
                <w:szCs w:val="21"/>
                <w:highlight w:val="none"/>
                <w:lang w:val="en-US" w:eastAsia="zh-CN" w:bidi="ar-SA"/>
              </w:rPr>
              <w:t>t/a，产生速率为</w:t>
            </w:r>
            <w:r>
              <w:rPr>
                <w:rFonts w:hint="eastAsia" w:ascii="Times New Roman" w:hAnsi="Times New Roman" w:eastAsia="宋体" w:cs="Times New Roman"/>
                <w:b w:val="0"/>
                <w:bCs w:val="0"/>
                <w:color w:val="000000"/>
                <w:kern w:val="2"/>
                <w:sz w:val="21"/>
                <w:szCs w:val="21"/>
                <w:highlight w:val="none"/>
                <w:lang w:val="en-US" w:eastAsia="zh-CN" w:bidi="ar-SA"/>
              </w:rPr>
              <w:t>2.83</w:t>
            </w:r>
            <w:r>
              <w:rPr>
                <w:rFonts w:hint="default" w:ascii="Times New Roman" w:hAnsi="Times New Roman" w:eastAsia="宋体" w:cs="Times New Roman"/>
                <w:b w:val="0"/>
                <w:bCs w:val="0"/>
                <w:color w:val="000000"/>
                <w:kern w:val="2"/>
                <w:sz w:val="21"/>
                <w:szCs w:val="21"/>
                <w:highlight w:val="none"/>
                <w:lang w:val="en-US" w:eastAsia="zh-CN" w:bidi="ar-SA"/>
              </w:rPr>
              <w:t>kg/h，产生浓度为</w:t>
            </w:r>
            <w:r>
              <w:rPr>
                <w:rFonts w:hint="eastAsia" w:ascii="Times New Roman" w:hAnsi="Times New Roman" w:eastAsia="宋体" w:cs="Times New Roman"/>
                <w:b w:val="0"/>
                <w:bCs w:val="0"/>
                <w:color w:val="000000"/>
                <w:kern w:val="2"/>
                <w:sz w:val="21"/>
                <w:szCs w:val="21"/>
                <w:highlight w:val="none"/>
                <w:lang w:val="en-US" w:eastAsia="zh-CN" w:bidi="ar-SA"/>
              </w:rPr>
              <w:t>566</w:t>
            </w:r>
            <w:r>
              <w:rPr>
                <w:rFonts w:hint="default" w:ascii="Times New Roman" w:hAnsi="Times New Roman" w:eastAsia="宋体" w:cs="Times New Roman"/>
                <w:b w:val="0"/>
                <w:bCs w:val="0"/>
                <w:color w:val="000000"/>
                <w:kern w:val="2"/>
                <w:sz w:val="21"/>
                <w:szCs w:val="21"/>
                <w:highlight w:val="none"/>
                <w:lang w:val="en-US" w:eastAsia="zh-CN" w:bidi="ar-SA"/>
              </w:rPr>
              <w:t>mg/</w:t>
            </w:r>
            <w:r>
              <w:rPr>
                <w:rFonts w:hint="eastAsia" w:ascii="Times New Roman" w:hAnsi="Times New Roman" w:eastAsia="宋体" w:cs="Times New Roman"/>
                <w:b w:val="0"/>
                <w:bCs w:val="0"/>
                <w:color w:val="000000"/>
                <w:kern w:val="2"/>
                <w:sz w:val="21"/>
                <w:szCs w:val="21"/>
                <w:highlight w:val="none"/>
                <w:lang w:val="en-US" w:eastAsia="zh-CN" w:bidi="ar-SA"/>
              </w:rPr>
              <w:t>m³。</w:t>
            </w:r>
          </w:p>
          <w:p w14:paraId="6857F565">
            <w:pPr>
              <w:keepNext/>
              <w:keepLines/>
              <w:widowControl/>
              <w:shd w:val="clear" w:color="auto" w:fill="auto"/>
              <w:adjustRightInd w:val="0"/>
              <w:snapToGrid w:val="0"/>
              <w:spacing w:line="360" w:lineRule="auto"/>
              <w:ind w:firstLine="420" w:firstLineChars="200"/>
              <w:jc w:val="left"/>
              <w:outlineLvl w:val="1"/>
              <w:rPr>
                <w:rFonts w:hint="default" w:ascii="Times New Roman" w:hAnsi="Times New Roman" w:eastAsia="宋体" w:cs="Times New Roman"/>
                <w:b w:val="0"/>
                <w:bCs w:val="0"/>
                <w:color w:val="000000"/>
                <w:kern w:val="0"/>
                <w:sz w:val="21"/>
                <w:szCs w:val="21"/>
                <w:highlight w:val="none"/>
                <w:lang w:val="en-US" w:eastAsia="zh-CN" w:bidi="ar-SA"/>
              </w:rPr>
            </w:pPr>
            <w:r>
              <w:rPr>
                <w:rFonts w:hint="eastAsia" w:ascii="Times New Roman" w:hAnsi="Times New Roman" w:eastAsia="宋体" w:cs="Times New Roman"/>
                <w:b w:val="0"/>
                <w:bCs w:val="0"/>
                <w:color w:val="000000"/>
                <w:kern w:val="0"/>
                <w:sz w:val="21"/>
                <w:szCs w:val="21"/>
                <w:highlight w:val="none"/>
                <w:lang w:val="en-US" w:eastAsia="zh-CN" w:bidi="ar-SA"/>
              </w:rPr>
              <w:t>管道以及进出口料口会有少量的粉尘以无组织形式排放，粉尘收集效率为90%，则无组织粉尘产生量为0.28</w:t>
            </w:r>
            <w:r>
              <w:rPr>
                <w:rFonts w:hint="default" w:ascii="Times New Roman" w:hAnsi="Times New Roman" w:eastAsia="宋体" w:cs="Times New Roman"/>
                <w:b w:val="0"/>
                <w:bCs w:val="0"/>
                <w:color w:val="000000"/>
                <w:kern w:val="2"/>
                <w:sz w:val="21"/>
                <w:szCs w:val="21"/>
                <w:highlight w:val="none"/>
                <w:lang w:val="en-US" w:eastAsia="zh-CN" w:bidi="ar-SA"/>
              </w:rPr>
              <w:t>t/a，</w:t>
            </w:r>
            <w:r>
              <w:rPr>
                <w:rFonts w:hint="eastAsia" w:ascii="Times New Roman" w:hAnsi="Times New Roman" w:eastAsia="宋体" w:cs="Times New Roman"/>
                <w:b w:val="0"/>
                <w:bCs w:val="0"/>
                <w:color w:val="000000"/>
                <w:kern w:val="2"/>
                <w:sz w:val="21"/>
                <w:szCs w:val="21"/>
                <w:highlight w:val="none"/>
                <w:lang w:val="en-US" w:eastAsia="zh-CN" w:bidi="ar-SA"/>
              </w:rPr>
              <w:t>排放</w:t>
            </w:r>
            <w:r>
              <w:rPr>
                <w:rFonts w:hint="default" w:ascii="Times New Roman" w:hAnsi="Times New Roman" w:eastAsia="宋体" w:cs="Times New Roman"/>
                <w:b w:val="0"/>
                <w:bCs w:val="0"/>
                <w:color w:val="000000"/>
                <w:kern w:val="2"/>
                <w:sz w:val="21"/>
                <w:szCs w:val="21"/>
                <w:highlight w:val="none"/>
                <w:lang w:val="en-US" w:eastAsia="zh-CN" w:bidi="ar-SA"/>
              </w:rPr>
              <w:t>速率为</w:t>
            </w:r>
            <w:r>
              <w:rPr>
                <w:rFonts w:hint="eastAsia" w:ascii="Times New Roman" w:hAnsi="Times New Roman" w:eastAsia="宋体" w:cs="Times New Roman"/>
                <w:b w:val="0"/>
                <w:bCs w:val="0"/>
                <w:color w:val="000000"/>
                <w:kern w:val="2"/>
                <w:sz w:val="21"/>
                <w:szCs w:val="21"/>
                <w:highlight w:val="none"/>
                <w:lang w:val="en-US" w:eastAsia="zh-CN" w:bidi="ar-SA"/>
              </w:rPr>
              <w:t>0.31</w:t>
            </w:r>
            <w:r>
              <w:rPr>
                <w:rFonts w:hint="default" w:ascii="Times New Roman" w:hAnsi="Times New Roman" w:eastAsia="宋体" w:cs="Times New Roman"/>
                <w:b w:val="0"/>
                <w:bCs w:val="0"/>
                <w:color w:val="000000"/>
                <w:kern w:val="2"/>
                <w:sz w:val="21"/>
                <w:szCs w:val="21"/>
                <w:highlight w:val="none"/>
                <w:lang w:val="en-US" w:eastAsia="zh-CN" w:bidi="ar-SA"/>
              </w:rPr>
              <w:t>kg/h</w:t>
            </w:r>
            <w:r>
              <w:rPr>
                <w:rFonts w:hint="eastAsia" w:ascii="Times New Roman" w:hAnsi="Times New Roman" w:eastAsia="宋体" w:cs="Times New Roman"/>
                <w:b w:val="0"/>
                <w:bCs w:val="0"/>
                <w:color w:val="000000"/>
                <w:kern w:val="2"/>
                <w:sz w:val="21"/>
                <w:szCs w:val="21"/>
                <w:highlight w:val="none"/>
                <w:lang w:val="en-US" w:eastAsia="zh-CN" w:bidi="ar-SA"/>
              </w:rPr>
              <w:t>。</w:t>
            </w:r>
          </w:p>
          <w:p w14:paraId="57D4ACFC">
            <w:pPr>
              <w:keepNext/>
              <w:keepLines/>
              <w:widowControl/>
              <w:shd w:val="clear" w:color="auto" w:fill="auto"/>
              <w:adjustRightInd w:val="0"/>
              <w:snapToGrid w:val="0"/>
              <w:spacing w:line="360" w:lineRule="auto"/>
              <w:ind w:firstLine="420" w:firstLineChars="200"/>
              <w:jc w:val="left"/>
              <w:outlineLvl w:val="1"/>
              <w:rPr>
                <w:rFonts w:hint="eastAsia" w:ascii="Times New Roman" w:hAnsi="Times New Roman" w:eastAsia="宋体" w:cs="Times New Roman"/>
                <w:b/>
                <w:bCs/>
                <w:color w:val="000000"/>
                <w:kern w:val="0"/>
                <w:sz w:val="21"/>
                <w:szCs w:val="21"/>
                <w:highlight w:val="none"/>
                <w:lang w:val="en-US" w:eastAsia="zh-CN" w:bidi="ar-SA"/>
              </w:rPr>
            </w:pPr>
            <w:r>
              <w:rPr>
                <w:rFonts w:hint="eastAsia" w:ascii="Times New Roman" w:hAnsi="Times New Roman" w:eastAsia="宋体" w:cs="Times New Roman"/>
                <w:b w:val="0"/>
                <w:bCs w:val="0"/>
                <w:color w:val="000000"/>
                <w:kern w:val="0"/>
                <w:sz w:val="21"/>
                <w:szCs w:val="21"/>
                <w:highlight w:val="none"/>
                <w:lang w:val="en-US" w:eastAsia="zh-CN" w:bidi="ar-SA"/>
              </w:rPr>
              <w:t>（2）大曲粉碎粉尘</w:t>
            </w:r>
          </w:p>
          <w:p w14:paraId="062E16AE">
            <w:pPr>
              <w:keepNext/>
              <w:keepLines/>
              <w:widowControl/>
              <w:shd w:val="clear" w:color="auto" w:fill="auto"/>
              <w:adjustRightInd w:val="0"/>
              <w:snapToGrid w:val="0"/>
              <w:spacing w:line="360" w:lineRule="auto"/>
              <w:ind w:firstLine="420" w:firstLineChars="200"/>
              <w:jc w:val="left"/>
              <w:outlineLvl w:val="1"/>
              <w:rPr>
                <w:rFonts w:hint="default" w:ascii="Times New Roman" w:hAnsi="Times New Roman" w:eastAsia="宋体" w:cs="Times New Roman"/>
                <w:b w:val="0"/>
                <w:bCs w:val="0"/>
                <w:color w:val="000000"/>
                <w:kern w:val="0"/>
                <w:sz w:val="21"/>
                <w:szCs w:val="21"/>
                <w:highlight w:val="none"/>
                <w:lang w:val="en-US" w:eastAsia="zh-CN" w:bidi="ar-SA"/>
              </w:rPr>
            </w:pPr>
            <w:r>
              <w:rPr>
                <w:rFonts w:hint="eastAsia" w:ascii="Times New Roman" w:hAnsi="Times New Roman" w:eastAsia="宋体" w:cs="Times New Roman"/>
                <w:b w:val="0"/>
                <w:bCs w:val="0"/>
                <w:color w:val="000000"/>
                <w:kern w:val="0"/>
                <w:sz w:val="21"/>
                <w:szCs w:val="21"/>
                <w:highlight w:val="none"/>
                <w:lang w:val="en-US" w:eastAsia="zh-CN" w:bidi="ar-SA"/>
              </w:rPr>
              <w:t>大曲成品为块状，使用前需要使用粉碎机将其粉碎，大曲粉碎的过程中会产生粉尘，根据建设单位提供资料，大曲使用量为</w:t>
            </w:r>
            <w:r>
              <w:rPr>
                <w:rFonts w:hint="eastAsia" w:ascii="Times New Roman" w:hAnsi="Times New Roman" w:cs="Times New Roman"/>
                <w:color w:val="000000"/>
                <w:kern w:val="2"/>
                <w:szCs w:val="21"/>
                <w:highlight w:val="none"/>
                <w:lang w:val="en-US" w:eastAsia="zh-CN" w:bidi="ar-SA"/>
              </w:rPr>
              <w:t>390t/a。</w:t>
            </w:r>
          </w:p>
          <w:p w14:paraId="009AC162">
            <w:pPr>
              <w:keepNext w:val="0"/>
              <w:keepLines w:val="0"/>
              <w:pageBreakBefore w:val="0"/>
              <w:widowControl/>
              <w:shd w:val="clear" w:color="auto" w:fill="auto"/>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kern w:val="2"/>
                <w:szCs w:val="21"/>
                <w:highlight w:val="none"/>
                <w:lang w:val="en-US" w:eastAsia="zh-CN" w:bidi="ar-SA"/>
              </w:rPr>
              <w:t>参考</w:t>
            </w:r>
            <w:r>
              <w:rPr>
                <w:rFonts w:hint="default" w:ascii="Times New Roman" w:hAnsi="Times New Roman" w:cs="Times New Roman"/>
                <w:color w:val="000000"/>
                <w:kern w:val="2"/>
                <w:sz w:val="21"/>
                <w:szCs w:val="21"/>
                <w:highlight w:val="none"/>
                <w:lang w:val="en-US" w:eastAsia="zh-CN"/>
              </w:rPr>
              <w:t>生态环境部2021年第24号文件</w:t>
            </w:r>
            <w:r>
              <w:rPr>
                <w:rFonts w:hint="eastAsia" w:ascii="Times New Roman" w:hAnsi="Times New Roman" w:cs="Times New Roman"/>
                <w:color w:val="000000"/>
                <w:kern w:val="2"/>
                <w:szCs w:val="21"/>
                <w:highlight w:val="none"/>
                <w:lang w:val="en-US" w:eastAsia="zh-CN" w:bidi="ar-SA"/>
              </w:rPr>
              <w:t>《</w:t>
            </w:r>
            <w:r>
              <w:fldChar w:fldCharType="begin"/>
            </w:r>
            <w:r>
              <w:instrText xml:space="preserve"> HYPERLINK "https://www.mee.gov.cn/xxgk2018/xxgk/xxgk01/202106/W020210624327149500026.pdf" </w:instrText>
            </w:r>
            <w:r>
              <w:fldChar w:fldCharType="separate"/>
            </w:r>
            <w:r>
              <w:rPr>
                <w:rFonts w:hint="eastAsia" w:ascii="Times New Roman" w:hAnsi="Times New Roman" w:cs="Times New Roman"/>
                <w:color w:val="000000"/>
                <w:kern w:val="2"/>
                <w:szCs w:val="21"/>
                <w:highlight w:val="none"/>
                <w:lang w:val="en-US" w:eastAsia="zh-CN" w:bidi="ar-SA"/>
              </w:rPr>
              <w:t>排放源统计调查产排污核算方法和系数手册</w:t>
            </w:r>
            <w:r>
              <w:rPr>
                <w:rFonts w:hint="eastAsia" w:ascii="Times New Roman" w:hAnsi="Times New Roman" w:cs="Times New Roman"/>
                <w:color w:val="000000"/>
                <w:kern w:val="2"/>
                <w:szCs w:val="21"/>
                <w:highlight w:val="none"/>
                <w:lang w:val="en-US" w:eastAsia="zh-CN" w:bidi="ar-SA"/>
              </w:rPr>
              <w:fldChar w:fldCharType="end"/>
            </w:r>
            <w:r>
              <w:rPr>
                <w:rFonts w:hint="eastAsia" w:ascii="Times New Roman" w:hAnsi="Times New Roman" w:cs="Times New Roman"/>
                <w:color w:val="000000"/>
                <w:kern w:val="2"/>
                <w:szCs w:val="21"/>
                <w:highlight w:val="none"/>
                <w:lang w:val="en-US" w:eastAsia="zh-CN" w:bidi="ar-SA"/>
              </w:rPr>
              <w:t>——谷物磨制行业系数</w:t>
            </w:r>
            <w:r>
              <w:rPr>
                <w:rFonts w:hint="default" w:ascii="Times New Roman" w:hAnsi="Times New Roman" w:cs="Times New Roman"/>
                <w:color w:val="000000"/>
                <w:kern w:val="2"/>
                <w:szCs w:val="21"/>
                <w:highlight w:val="none"/>
                <w:lang w:val="en-US" w:eastAsia="zh-CN" w:bidi="ar-SA"/>
              </w:rPr>
              <w:t>手册》</w:t>
            </w:r>
            <w:r>
              <w:rPr>
                <w:rFonts w:hint="eastAsia" w:ascii="Times New Roman" w:hAnsi="Times New Roman" w:cs="Times New Roman"/>
                <w:color w:val="000000"/>
                <w:kern w:val="2"/>
                <w:szCs w:val="21"/>
                <w:highlight w:val="none"/>
                <w:lang w:val="en-US" w:eastAsia="zh-CN" w:bidi="ar-SA"/>
              </w:rPr>
              <w:t>大曲粉碎粉尘取</w:t>
            </w:r>
            <w:r>
              <w:rPr>
                <w:rFonts w:hint="default" w:ascii="Times New Roman" w:hAnsi="Times New Roman" w:cs="Times New Roman"/>
                <w:color w:val="000000"/>
                <w:kern w:val="2"/>
                <w:szCs w:val="21"/>
                <w:highlight w:val="none"/>
                <w:lang w:val="en-US" w:eastAsia="zh-CN" w:bidi="ar-SA"/>
              </w:rPr>
              <w:t>产污系数</w:t>
            </w:r>
            <w:r>
              <w:rPr>
                <w:rFonts w:hint="eastAsia" w:ascii="Times New Roman" w:hAnsi="Times New Roman" w:cs="Times New Roman"/>
                <w:color w:val="000000"/>
                <w:kern w:val="2"/>
                <w:szCs w:val="21"/>
                <w:highlight w:val="none"/>
                <w:lang w:val="en-US" w:eastAsia="zh-CN" w:bidi="ar-SA"/>
              </w:rPr>
              <w:t>0.085</w:t>
            </w:r>
            <w:r>
              <w:rPr>
                <w:rFonts w:hint="default" w:ascii="Times New Roman" w:hAnsi="Times New Roman" w:cs="Times New Roman"/>
                <w:color w:val="000000"/>
                <w:kern w:val="2"/>
                <w:szCs w:val="21"/>
                <w:highlight w:val="none"/>
                <w:lang w:val="en-US" w:eastAsia="zh-CN" w:bidi="ar-SA"/>
              </w:rPr>
              <w:t>千克/吨-原料</w:t>
            </w:r>
            <w:r>
              <w:rPr>
                <w:rFonts w:hint="eastAsia" w:ascii="Times New Roman" w:hAnsi="Times New Roman" w:cs="Times New Roman"/>
                <w:color w:val="000000"/>
                <w:kern w:val="2"/>
                <w:szCs w:val="21"/>
                <w:highlight w:val="none"/>
                <w:lang w:val="en-US" w:eastAsia="zh-CN" w:bidi="ar-SA"/>
              </w:rPr>
              <w:t>，且该系数为核算扣减污染治理设施去除的颗粒物，</w:t>
            </w:r>
            <w:r>
              <w:rPr>
                <w:rFonts w:hint="default" w:ascii="Times New Roman" w:hAnsi="Times New Roman" w:cs="Times New Roman"/>
                <w:color w:val="000000"/>
                <w:szCs w:val="21"/>
                <w:highlight w:val="none"/>
                <w:lang w:val="en-US" w:eastAsia="zh-CN"/>
              </w:rPr>
              <w:t>根据企业提供数据，</w:t>
            </w:r>
            <w:r>
              <w:rPr>
                <w:rFonts w:hint="eastAsia" w:ascii="Times New Roman" w:hAnsi="Times New Roman" w:cs="Times New Roman"/>
                <w:color w:val="000000"/>
                <w:szCs w:val="21"/>
                <w:highlight w:val="none"/>
                <w:lang w:val="en-US" w:eastAsia="zh-CN"/>
              </w:rPr>
              <w:t>大曲最大</w:t>
            </w:r>
            <w:r>
              <w:rPr>
                <w:rFonts w:hint="default" w:ascii="Times New Roman" w:hAnsi="Times New Roman" w:cs="Times New Roman"/>
                <w:color w:val="000000"/>
                <w:szCs w:val="21"/>
                <w:highlight w:val="none"/>
                <w:lang w:val="en-US" w:eastAsia="zh-CN"/>
              </w:rPr>
              <w:t>用量</w:t>
            </w:r>
            <w:r>
              <w:rPr>
                <w:rFonts w:hint="default" w:ascii="Times New Roman" w:hAnsi="Times New Roman" w:cs="Times New Roman"/>
                <w:color w:val="000000"/>
                <w:kern w:val="2"/>
                <w:szCs w:val="21"/>
                <w:highlight w:val="none"/>
                <w:lang w:val="en-US" w:eastAsia="zh-CN" w:bidi="ar-SA"/>
              </w:rPr>
              <w:t>为</w:t>
            </w:r>
            <w:r>
              <w:rPr>
                <w:rFonts w:hint="eastAsia" w:ascii="Times New Roman" w:hAnsi="Times New Roman" w:cs="Times New Roman"/>
                <w:color w:val="000000"/>
                <w:kern w:val="2"/>
                <w:szCs w:val="21"/>
                <w:highlight w:val="none"/>
                <w:lang w:val="en-US" w:eastAsia="zh-CN" w:bidi="ar-SA"/>
              </w:rPr>
              <w:t>390</w:t>
            </w:r>
            <w:r>
              <w:rPr>
                <w:rFonts w:hint="default" w:ascii="Times New Roman" w:hAnsi="Times New Roman" w:cs="Times New Roman"/>
                <w:color w:val="000000"/>
                <w:kern w:val="2"/>
                <w:szCs w:val="21"/>
                <w:highlight w:val="none"/>
                <w:lang w:val="en-US" w:eastAsia="zh-CN" w:bidi="ar-SA"/>
              </w:rPr>
              <w:t>t/a，</w:t>
            </w:r>
            <w:r>
              <w:rPr>
                <w:rFonts w:hint="eastAsia" w:ascii="Times New Roman" w:hAnsi="Times New Roman" w:cs="Times New Roman"/>
                <w:color w:val="000000"/>
                <w:kern w:val="2"/>
                <w:szCs w:val="21"/>
                <w:highlight w:val="none"/>
                <w:lang w:val="en-US" w:eastAsia="zh-CN" w:bidi="ar-SA"/>
              </w:rPr>
              <w:t>酒曲粉碎时间为600h，</w:t>
            </w:r>
            <w:r>
              <w:rPr>
                <w:rFonts w:hint="default" w:ascii="Times New Roman" w:hAnsi="Times New Roman" w:cs="Times New Roman"/>
                <w:color w:val="000000"/>
                <w:kern w:val="2"/>
                <w:szCs w:val="21"/>
                <w:highlight w:val="none"/>
                <w:lang w:val="en-US" w:eastAsia="zh-CN" w:bidi="ar-SA"/>
              </w:rPr>
              <w:t>则粉尘</w:t>
            </w:r>
            <w:r>
              <w:rPr>
                <w:rFonts w:hint="eastAsia" w:ascii="Times New Roman" w:hAnsi="Times New Roman" w:cs="Times New Roman"/>
                <w:color w:val="000000"/>
                <w:kern w:val="2"/>
                <w:szCs w:val="21"/>
                <w:highlight w:val="none"/>
                <w:lang w:val="en-US" w:eastAsia="zh-CN" w:bidi="ar-SA"/>
              </w:rPr>
              <w:t>排放</w:t>
            </w:r>
            <w:r>
              <w:rPr>
                <w:rFonts w:hint="default" w:ascii="Times New Roman" w:hAnsi="Times New Roman" w:cs="Times New Roman"/>
                <w:color w:val="000000"/>
                <w:kern w:val="2"/>
                <w:szCs w:val="21"/>
                <w:highlight w:val="none"/>
                <w:lang w:val="en-US" w:eastAsia="zh-CN" w:bidi="ar-SA"/>
              </w:rPr>
              <w:t>量为</w:t>
            </w:r>
            <w:r>
              <w:rPr>
                <w:rFonts w:hint="eastAsia" w:ascii="Times New Roman" w:hAnsi="Times New Roman" w:cs="Times New Roman"/>
                <w:color w:val="000000"/>
                <w:kern w:val="2"/>
                <w:szCs w:val="21"/>
                <w:highlight w:val="none"/>
                <w:lang w:val="en-US" w:eastAsia="zh-CN" w:bidi="ar-SA"/>
              </w:rPr>
              <w:t>0.033</w:t>
            </w:r>
            <w:r>
              <w:rPr>
                <w:rFonts w:hint="default" w:ascii="Times New Roman" w:hAnsi="Times New Roman" w:cs="Times New Roman"/>
                <w:color w:val="000000"/>
                <w:kern w:val="2"/>
                <w:szCs w:val="21"/>
                <w:highlight w:val="none"/>
                <w:lang w:val="en-US" w:eastAsia="zh-CN" w:bidi="ar-SA"/>
              </w:rPr>
              <w:t>t/a，</w:t>
            </w:r>
            <w:r>
              <w:rPr>
                <w:rFonts w:hint="eastAsia" w:ascii="Times New Roman" w:hAnsi="Times New Roman" w:cs="Times New Roman"/>
                <w:color w:val="000000"/>
                <w:kern w:val="2"/>
                <w:szCs w:val="21"/>
                <w:highlight w:val="none"/>
                <w:lang w:val="en-US" w:eastAsia="zh-CN" w:bidi="ar-SA"/>
              </w:rPr>
              <w:t>排放</w:t>
            </w:r>
            <w:r>
              <w:rPr>
                <w:rFonts w:hint="default" w:ascii="Times New Roman" w:hAnsi="Times New Roman" w:cs="Times New Roman"/>
                <w:color w:val="000000"/>
                <w:kern w:val="2"/>
                <w:szCs w:val="21"/>
                <w:highlight w:val="none"/>
                <w:lang w:val="en-US" w:eastAsia="zh-CN" w:bidi="ar-SA"/>
              </w:rPr>
              <w:t>速率为</w:t>
            </w:r>
            <w:r>
              <w:rPr>
                <w:rFonts w:hint="eastAsia" w:ascii="Times New Roman" w:hAnsi="Times New Roman" w:cs="Times New Roman"/>
                <w:color w:val="000000"/>
                <w:kern w:val="2"/>
                <w:szCs w:val="21"/>
                <w:highlight w:val="none"/>
                <w:lang w:val="en-US" w:eastAsia="zh-CN" w:bidi="ar-SA"/>
              </w:rPr>
              <w:t>0.055</w:t>
            </w:r>
            <w:r>
              <w:rPr>
                <w:rFonts w:hint="default" w:ascii="Times New Roman" w:hAnsi="Times New Roman" w:cs="Times New Roman"/>
                <w:color w:val="000000"/>
                <w:kern w:val="2"/>
                <w:szCs w:val="21"/>
                <w:highlight w:val="none"/>
                <w:lang w:val="en-US" w:eastAsia="zh-CN" w:bidi="ar-SA"/>
              </w:rPr>
              <w:t>kg/h，</w:t>
            </w:r>
            <w:r>
              <w:rPr>
                <w:rFonts w:hint="eastAsia" w:ascii="Times New Roman" w:hAnsi="Times New Roman" w:cs="Times New Roman"/>
                <w:color w:val="000000"/>
                <w:kern w:val="2"/>
                <w:szCs w:val="21"/>
                <w:highlight w:val="none"/>
                <w:lang w:val="en-US" w:eastAsia="zh-CN" w:bidi="ar-SA"/>
              </w:rPr>
              <w:t>排放</w:t>
            </w:r>
            <w:r>
              <w:rPr>
                <w:rFonts w:hint="default" w:ascii="Times New Roman" w:hAnsi="Times New Roman" w:cs="Times New Roman"/>
                <w:color w:val="000000"/>
                <w:kern w:val="2"/>
                <w:szCs w:val="21"/>
                <w:highlight w:val="none"/>
                <w:lang w:val="en-US" w:eastAsia="zh-CN" w:bidi="ar-SA"/>
              </w:rPr>
              <w:t>浓度为</w:t>
            </w:r>
            <w:r>
              <w:rPr>
                <w:rFonts w:hint="eastAsia" w:ascii="Times New Roman" w:hAnsi="Times New Roman" w:cs="Times New Roman"/>
                <w:color w:val="000000"/>
                <w:kern w:val="2"/>
                <w:szCs w:val="21"/>
                <w:highlight w:val="none"/>
                <w:lang w:val="en-US" w:eastAsia="zh-CN" w:bidi="ar-SA"/>
              </w:rPr>
              <w:t>11</w:t>
            </w:r>
            <w:r>
              <w:rPr>
                <w:rFonts w:hint="default" w:ascii="Times New Roman" w:hAnsi="Times New Roman" w:eastAsia="宋体" w:cs="Times New Roman"/>
                <w:b w:val="0"/>
                <w:bCs w:val="0"/>
                <w:color w:val="000000"/>
                <w:kern w:val="2"/>
                <w:sz w:val="21"/>
                <w:szCs w:val="21"/>
                <w:highlight w:val="none"/>
                <w:lang w:val="en-US" w:eastAsia="zh-CN" w:bidi="ar-SA"/>
              </w:rPr>
              <w:t>mg/</w:t>
            </w:r>
            <w:r>
              <w:rPr>
                <w:rFonts w:hint="eastAsia" w:ascii="Times New Roman" w:hAnsi="Times New Roman" w:eastAsia="宋体" w:cs="Times New Roman"/>
                <w:b w:val="0"/>
                <w:bCs w:val="0"/>
                <w:color w:val="000000"/>
                <w:kern w:val="2"/>
                <w:sz w:val="21"/>
                <w:szCs w:val="21"/>
                <w:highlight w:val="none"/>
                <w:lang w:val="en-US" w:eastAsia="zh-CN" w:bidi="ar-SA"/>
              </w:rPr>
              <w:t>m³</w:t>
            </w:r>
            <w:r>
              <w:rPr>
                <w:rFonts w:hint="default" w:ascii="Times New Roman" w:hAnsi="Times New Roman" w:cs="Times New Roman"/>
                <w:color w:val="000000"/>
                <w:kern w:val="2"/>
                <w:szCs w:val="21"/>
                <w:highlight w:val="none"/>
                <w:lang w:val="en-US" w:eastAsia="zh-CN" w:bidi="ar-SA"/>
              </w:rPr>
              <w:t>，</w:t>
            </w:r>
            <w:r>
              <w:rPr>
                <w:rFonts w:hint="eastAsia" w:ascii="Times New Roman" w:hAnsi="Times New Roman" w:eastAsia="宋体" w:cs="Times New Roman"/>
                <w:color w:val="000000"/>
                <w:kern w:val="0"/>
                <w:sz w:val="21"/>
                <w:szCs w:val="21"/>
                <w:highlight w:val="none"/>
                <w:lang w:val="en-US" w:eastAsia="zh-CN" w:bidi="ar-SA"/>
              </w:rPr>
              <w:t>排放浓度以及排放速率均可满足</w:t>
            </w:r>
            <w:r>
              <w:rPr>
                <w:rFonts w:hint="default" w:ascii="Times New Roman" w:hAnsi="Times New Roman" w:eastAsia="宋体" w:cs="Times New Roman"/>
                <w:color w:val="000000"/>
                <w:sz w:val="21"/>
                <w:szCs w:val="21"/>
                <w:highlight w:val="none"/>
              </w:rPr>
              <w:t>《大气污染物综合排放标准》（GB16297-1996）中表2</w:t>
            </w:r>
            <w:r>
              <w:rPr>
                <w:rFonts w:hint="default" w:ascii="Times New Roman" w:hAnsi="Times New Roman" w:eastAsia="宋体" w:cs="Times New Roman"/>
                <w:color w:val="000000"/>
                <w:sz w:val="21"/>
                <w:szCs w:val="21"/>
                <w:highlight w:val="none"/>
                <w:lang w:val="en-US" w:eastAsia="zh-CN"/>
              </w:rPr>
              <w:t>二级标准</w:t>
            </w:r>
            <w:r>
              <w:rPr>
                <w:rFonts w:hint="eastAsia" w:ascii="Times New Roman" w:hAnsi="Times New Roman" w:eastAsia="宋体" w:cs="Times New Roman"/>
                <w:color w:val="000000"/>
                <w:sz w:val="21"/>
                <w:szCs w:val="21"/>
                <w:highlight w:val="none"/>
                <w:lang w:val="en-US" w:eastAsia="zh-CN"/>
              </w:rPr>
              <w:t>。</w:t>
            </w:r>
          </w:p>
          <w:p w14:paraId="5046C922">
            <w:pPr>
              <w:pStyle w:val="61"/>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ind w:left="0" w:leftChars="0" w:firstLine="420" w:firstLineChars="200"/>
              <w:jc w:val="both"/>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除尘系统的除尘效率为95%，风机风量为5000m³</w:t>
            </w:r>
            <w:r>
              <w:rPr>
                <w:rFonts w:hint="default" w:ascii="Times New Roman" w:hAnsi="Times New Roman" w:eastAsia="宋体" w:cs="Times New Roman"/>
                <w:b w:val="0"/>
                <w:bCs w:val="0"/>
                <w:color w:val="000000"/>
                <w:kern w:val="2"/>
                <w:sz w:val="21"/>
                <w:szCs w:val="21"/>
                <w:highlight w:val="none"/>
                <w:lang w:val="en-US" w:eastAsia="zh-CN" w:bidi="ar-SA"/>
              </w:rPr>
              <w:t>/</w:t>
            </w:r>
            <w:r>
              <w:rPr>
                <w:rFonts w:hint="eastAsia" w:ascii="Times New Roman" w:hAnsi="Times New Roman" w:eastAsia="宋体" w:cs="Times New Roman"/>
                <w:b w:val="0"/>
                <w:bCs w:val="0"/>
                <w:color w:val="000000"/>
                <w:kern w:val="2"/>
                <w:sz w:val="21"/>
                <w:szCs w:val="21"/>
                <w:highlight w:val="none"/>
                <w:lang w:val="en-US" w:eastAsia="zh-CN" w:bidi="ar-SA"/>
              </w:rPr>
              <w:t>h经计算，</w:t>
            </w:r>
            <w:r>
              <w:rPr>
                <w:rFonts w:hint="default" w:ascii="Times New Roman" w:hAnsi="Times New Roman" w:eastAsia="宋体" w:cs="Times New Roman"/>
                <w:b w:val="0"/>
                <w:bCs w:val="0"/>
                <w:color w:val="000000"/>
                <w:kern w:val="2"/>
                <w:sz w:val="21"/>
                <w:szCs w:val="21"/>
                <w:highlight w:val="none"/>
                <w:lang w:val="en-US" w:eastAsia="zh-CN" w:bidi="ar-SA"/>
              </w:rPr>
              <w:t>则粉尘产生量为</w:t>
            </w:r>
            <w:r>
              <w:rPr>
                <w:rFonts w:hint="eastAsia" w:ascii="Times New Roman" w:hAnsi="Times New Roman" w:eastAsia="宋体" w:cs="Times New Roman"/>
                <w:b w:val="0"/>
                <w:bCs w:val="0"/>
                <w:color w:val="000000"/>
                <w:kern w:val="2"/>
                <w:sz w:val="21"/>
                <w:szCs w:val="21"/>
                <w:highlight w:val="none"/>
                <w:lang w:val="en-US" w:eastAsia="zh-CN" w:bidi="ar-SA"/>
              </w:rPr>
              <w:t>0.66</w:t>
            </w:r>
            <w:r>
              <w:rPr>
                <w:rFonts w:hint="default" w:ascii="Times New Roman" w:hAnsi="Times New Roman" w:eastAsia="宋体" w:cs="Times New Roman"/>
                <w:b w:val="0"/>
                <w:bCs w:val="0"/>
                <w:color w:val="000000"/>
                <w:kern w:val="2"/>
                <w:sz w:val="21"/>
                <w:szCs w:val="21"/>
                <w:highlight w:val="none"/>
                <w:lang w:val="en-US" w:eastAsia="zh-CN" w:bidi="ar-SA"/>
              </w:rPr>
              <w:t>t/a，产生速率为</w:t>
            </w:r>
            <w:r>
              <w:rPr>
                <w:rFonts w:hint="eastAsia" w:ascii="Times New Roman" w:hAnsi="Times New Roman" w:eastAsia="宋体" w:cs="Times New Roman"/>
                <w:b w:val="0"/>
                <w:bCs w:val="0"/>
                <w:color w:val="000000"/>
                <w:kern w:val="2"/>
                <w:sz w:val="21"/>
                <w:szCs w:val="21"/>
                <w:highlight w:val="none"/>
                <w:lang w:val="en-US" w:eastAsia="zh-CN" w:bidi="ar-SA"/>
              </w:rPr>
              <w:t>1.1</w:t>
            </w:r>
            <w:r>
              <w:rPr>
                <w:rFonts w:hint="default" w:ascii="Times New Roman" w:hAnsi="Times New Roman" w:eastAsia="宋体" w:cs="Times New Roman"/>
                <w:b w:val="0"/>
                <w:bCs w:val="0"/>
                <w:color w:val="000000"/>
                <w:kern w:val="2"/>
                <w:sz w:val="21"/>
                <w:szCs w:val="21"/>
                <w:highlight w:val="none"/>
                <w:lang w:val="en-US" w:eastAsia="zh-CN" w:bidi="ar-SA"/>
              </w:rPr>
              <w:t>kg/h，产生浓度为</w:t>
            </w:r>
            <w:r>
              <w:rPr>
                <w:rFonts w:hint="eastAsia" w:ascii="Times New Roman" w:hAnsi="Times New Roman" w:eastAsia="宋体" w:cs="Times New Roman"/>
                <w:b w:val="0"/>
                <w:bCs w:val="0"/>
                <w:color w:val="000000"/>
                <w:kern w:val="2"/>
                <w:sz w:val="21"/>
                <w:szCs w:val="21"/>
                <w:highlight w:val="none"/>
                <w:lang w:val="en-US" w:eastAsia="zh-CN" w:bidi="ar-SA"/>
              </w:rPr>
              <w:t>220</w:t>
            </w:r>
            <w:r>
              <w:rPr>
                <w:rFonts w:hint="default" w:ascii="Times New Roman" w:hAnsi="Times New Roman" w:eastAsia="宋体" w:cs="Times New Roman"/>
                <w:b w:val="0"/>
                <w:bCs w:val="0"/>
                <w:color w:val="000000"/>
                <w:kern w:val="2"/>
                <w:sz w:val="21"/>
                <w:szCs w:val="21"/>
                <w:highlight w:val="none"/>
                <w:lang w:val="en-US" w:eastAsia="zh-CN" w:bidi="ar-SA"/>
              </w:rPr>
              <w:t>mg/</w:t>
            </w:r>
            <w:r>
              <w:rPr>
                <w:rFonts w:hint="eastAsia" w:ascii="Times New Roman" w:hAnsi="Times New Roman" w:eastAsia="宋体" w:cs="Times New Roman"/>
                <w:b w:val="0"/>
                <w:bCs w:val="0"/>
                <w:color w:val="000000"/>
                <w:kern w:val="2"/>
                <w:sz w:val="21"/>
                <w:szCs w:val="21"/>
                <w:highlight w:val="none"/>
                <w:lang w:val="en-US" w:eastAsia="zh-CN" w:bidi="ar-SA"/>
              </w:rPr>
              <w:t>m³</w:t>
            </w:r>
            <w:r>
              <w:rPr>
                <w:rFonts w:hint="eastAsia" w:cs="Times New Roman"/>
                <w:b w:val="0"/>
                <w:bCs w:val="0"/>
                <w:color w:val="000000"/>
                <w:kern w:val="2"/>
                <w:sz w:val="21"/>
                <w:szCs w:val="21"/>
                <w:highlight w:val="none"/>
                <w:lang w:val="en-US" w:eastAsia="zh-CN" w:bidi="ar-SA"/>
              </w:rPr>
              <w:t>。</w:t>
            </w:r>
          </w:p>
          <w:p w14:paraId="7CDE9563">
            <w:pPr>
              <w:keepNext/>
              <w:keepLines/>
              <w:widowControl/>
              <w:shd w:val="clear" w:color="auto" w:fill="auto"/>
              <w:adjustRightInd w:val="0"/>
              <w:snapToGrid w:val="0"/>
              <w:spacing w:line="360" w:lineRule="auto"/>
              <w:ind w:firstLine="420" w:firstLineChars="200"/>
              <w:jc w:val="left"/>
              <w:outlineLvl w:val="1"/>
              <w:rPr>
                <w:rFonts w:hint="default" w:ascii="Times New Roman" w:hAnsi="Times New Roman" w:eastAsia="宋体" w:cs="Times New Roman"/>
                <w:b w:val="0"/>
                <w:bCs w:val="0"/>
                <w:color w:val="000000"/>
                <w:kern w:val="0"/>
                <w:sz w:val="21"/>
                <w:szCs w:val="21"/>
                <w:highlight w:val="none"/>
                <w:lang w:val="en-US" w:eastAsia="zh-CN" w:bidi="ar-SA"/>
              </w:rPr>
            </w:pPr>
            <w:r>
              <w:rPr>
                <w:rFonts w:hint="eastAsia" w:ascii="Times New Roman" w:hAnsi="Times New Roman" w:eastAsia="宋体" w:cs="Times New Roman"/>
                <w:b w:val="0"/>
                <w:bCs w:val="0"/>
                <w:color w:val="000000"/>
                <w:kern w:val="0"/>
                <w:sz w:val="21"/>
                <w:szCs w:val="21"/>
                <w:highlight w:val="none"/>
                <w:lang w:val="en-US" w:eastAsia="zh-CN" w:bidi="ar-SA"/>
              </w:rPr>
              <w:t>管道以及进出口料口会有少量的粉尘以无组织形式排放，粉尘收集效率为90%，无组织粉尘排放量约为0.073</w:t>
            </w:r>
            <w:r>
              <w:rPr>
                <w:rFonts w:hint="default" w:ascii="Times New Roman" w:hAnsi="Times New Roman" w:eastAsia="宋体" w:cs="Times New Roman"/>
                <w:b w:val="0"/>
                <w:bCs w:val="0"/>
                <w:color w:val="000000"/>
                <w:kern w:val="2"/>
                <w:sz w:val="21"/>
                <w:szCs w:val="21"/>
                <w:highlight w:val="none"/>
                <w:lang w:val="en-US" w:eastAsia="zh-CN" w:bidi="ar-SA"/>
              </w:rPr>
              <w:t>t/a，</w:t>
            </w:r>
            <w:r>
              <w:rPr>
                <w:rFonts w:hint="eastAsia" w:ascii="Times New Roman" w:hAnsi="Times New Roman" w:eastAsia="宋体" w:cs="Times New Roman"/>
                <w:b w:val="0"/>
                <w:bCs w:val="0"/>
                <w:color w:val="000000"/>
                <w:kern w:val="2"/>
                <w:sz w:val="21"/>
                <w:szCs w:val="21"/>
                <w:highlight w:val="none"/>
                <w:lang w:val="en-US" w:eastAsia="zh-CN" w:bidi="ar-SA"/>
              </w:rPr>
              <w:t>排放</w:t>
            </w:r>
            <w:r>
              <w:rPr>
                <w:rFonts w:hint="default" w:ascii="Times New Roman" w:hAnsi="Times New Roman" w:eastAsia="宋体" w:cs="Times New Roman"/>
                <w:b w:val="0"/>
                <w:bCs w:val="0"/>
                <w:color w:val="000000"/>
                <w:kern w:val="2"/>
                <w:sz w:val="21"/>
                <w:szCs w:val="21"/>
                <w:highlight w:val="none"/>
                <w:lang w:val="en-US" w:eastAsia="zh-CN" w:bidi="ar-SA"/>
              </w:rPr>
              <w:t>速率为</w:t>
            </w:r>
            <w:r>
              <w:rPr>
                <w:rFonts w:hint="eastAsia" w:ascii="Times New Roman" w:hAnsi="Times New Roman" w:eastAsia="宋体" w:cs="Times New Roman"/>
                <w:b w:val="0"/>
                <w:bCs w:val="0"/>
                <w:color w:val="000000"/>
                <w:kern w:val="2"/>
                <w:sz w:val="21"/>
                <w:szCs w:val="21"/>
                <w:highlight w:val="none"/>
                <w:lang w:val="en-US" w:eastAsia="zh-CN" w:bidi="ar-SA"/>
              </w:rPr>
              <w:t>0.122</w:t>
            </w:r>
            <w:r>
              <w:rPr>
                <w:rFonts w:hint="default" w:ascii="Times New Roman" w:hAnsi="Times New Roman" w:eastAsia="宋体" w:cs="Times New Roman"/>
                <w:b w:val="0"/>
                <w:bCs w:val="0"/>
                <w:color w:val="000000"/>
                <w:kern w:val="2"/>
                <w:sz w:val="21"/>
                <w:szCs w:val="21"/>
                <w:highlight w:val="none"/>
                <w:lang w:val="en-US" w:eastAsia="zh-CN" w:bidi="ar-SA"/>
              </w:rPr>
              <w:t>kg/h</w:t>
            </w:r>
            <w:r>
              <w:rPr>
                <w:rFonts w:hint="eastAsia" w:ascii="Times New Roman" w:hAnsi="Times New Roman" w:eastAsia="宋体" w:cs="Times New Roman"/>
                <w:b w:val="0"/>
                <w:bCs w:val="0"/>
                <w:color w:val="000000"/>
                <w:kern w:val="2"/>
                <w:sz w:val="21"/>
                <w:szCs w:val="21"/>
                <w:highlight w:val="none"/>
                <w:lang w:val="en-US" w:eastAsia="zh-CN" w:bidi="ar-SA"/>
              </w:rPr>
              <w:t>。</w:t>
            </w:r>
          </w:p>
          <w:p w14:paraId="6F08836F">
            <w:pPr>
              <w:shd w:val="clear" w:color="auto" w:fill="auto"/>
              <w:bidi w:val="0"/>
              <w:spacing w:line="360" w:lineRule="auto"/>
              <w:ind w:firstLine="420" w:firstLineChars="200"/>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建设单位拟将粮食粉碎粉尘和大曲粉碎粉尘经集气罩收集通过集气管道进入1套布袋除尘器处理后由1根20m高排气筒DA001排放。</w:t>
            </w:r>
          </w:p>
          <w:p w14:paraId="7DF59D83">
            <w:pPr>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val="0"/>
              <w:snapToGrid w:val="0"/>
              <w:spacing w:before="0" w:beforeAutospacing="0" w:after="0" w:afterAutospacing="0" w:line="360" w:lineRule="auto"/>
              <w:ind w:left="0" w:right="0" w:rightChars="0" w:firstLine="420" w:firstLineChars="200"/>
              <w:jc w:val="left"/>
              <w:textAlignment w:val="auto"/>
              <w:rPr>
                <w:rFonts w:hint="eastAsia"/>
                <w:color w:val="000000"/>
                <w:kern w:val="0"/>
                <w:sz w:val="21"/>
                <w:szCs w:val="21"/>
                <w:highlight w:val="none"/>
                <w:lang w:val="en-US" w:eastAsia="zh-CN"/>
              </w:rPr>
            </w:pPr>
            <w:r>
              <w:rPr>
                <w:rFonts w:hint="eastAsia" w:ascii="Times New Roman" w:hAnsi="Times New Roman" w:eastAsia="宋体" w:cs="Times New Roman"/>
                <w:b w:val="0"/>
                <w:bCs w:val="0"/>
                <w:color w:val="000000"/>
                <w:kern w:val="2"/>
                <w:sz w:val="21"/>
                <w:szCs w:val="21"/>
                <w:highlight w:val="none"/>
                <w:lang w:val="en-US" w:eastAsia="zh-CN" w:bidi="ar-SA"/>
              </w:rPr>
              <w:t>风机风量合计为10000m³</w:t>
            </w:r>
            <w:r>
              <w:rPr>
                <w:rFonts w:hint="default" w:ascii="Times New Roman" w:hAnsi="Times New Roman" w:eastAsia="宋体" w:cs="Times New Roman"/>
                <w:b w:val="0"/>
                <w:bCs w:val="0"/>
                <w:color w:val="000000"/>
                <w:kern w:val="2"/>
                <w:sz w:val="21"/>
                <w:szCs w:val="21"/>
                <w:highlight w:val="none"/>
                <w:lang w:val="en-US" w:eastAsia="zh-CN" w:bidi="ar-SA"/>
              </w:rPr>
              <w:t>/</w:t>
            </w:r>
            <w:r>
              <w:rPr>
                <w:rFonts w:hint="eastAsia" w:ascii="Times New Roman" w:hAnsi="Times New Roman" w:eastAsia="宋体" w:cs="Times New Roman"/>
                <w:b w:val="0"/>
                <w:bCs w:val="0"/>
                <w:color w:val="000000"/>
                <w:kern w:val="2"/>
                <w:sz w:val="21"/>
                <w:szCs w:val="21"/>
                <w:highlight w:val="none"/>
                <w:lang w:val="en-US" w:eastAsia="zh-CN" w:bidi="ar-SA"/>
              </w:rPr>
              <w:t>h，粉尘排放时间按600h计，则粉尘排放量为0.1605t/a，排放速率为0.067</w:t>
            </w:r>
            <w:r>
              <w:rPr>
                <w:rFonts w:hint="default" w:ascii="Times New Roman" w:hAnsi="Times New Roman" w:eastAsia="宋体" w:cs="Times New Roman"/>
                <w:b w:val="0"/>
                <w:bCs w:val="0"/>
                <w:color w:val="000000"/>
                <w:kern w:val="2"/>
                <w:sz w:val="21"/>
                <w:szCs w:val="21"/>
                <w:highlight w:val="none"/>
                <w:lang w:val="en-US" w:eastAsia="zh-CN" w:bidi="ar-SA"/>
              </w:rPr>
              <w:t>kg/h</w:t>
            </w:r>
            <w:r>
              <w:rPr>
                <w:rFonts w:hint="eastAsia" w:ascii="Times New Roman" w:hAnsi="Times New Roman" w:eastAsia="宋体" w:cs="Times New Roman"/>
                <w:b w:val="0"/>
                <w:bCs w:val="0"/>
                <w:color w:val="000000"/>
                <w:kern w:val="2"/>
                <w:sz w:val="21"/>
                <w:szCs w:val="21"/>
                <w:highlight w:val="none"/>
                <w:lang w:val="en-US" w:eastAsia="zh-CN" w:bidi="ar-SA"/>
              </w:rPr>
              <w:t>，排放浓度为6.7</w:t>
            </w:r>
            <w:r>
              <w:rPr>
                <w:rFonts w:hint="default" w:ascii="Times New Roman" w:hAnsi="Times New Roman" w:eastAsia="宋体" w:cs="Times New Roman"/>
                <w:b w:val="0"/>
                <w:bCs w:val="0"/>
                <w:color w:val="000000"/>
                <w:kern w:val="2"/>
                <w:sz w:val="21"/>
                <w:szCs w:val="21"/>
                <w:highlight w:val="none"/>
                <w:lang w:val="en-US" w:eastAsia="zh-CN" w:bidi="ar-SA"/>
              </w:rPr>
              <w:t>mg/</w:t>
            </w:r>
            <w:r>
              <w:rPr>
                <w:rFonts w:hint="eastAsia" w:ascii="Times New Roman" w:hAnsi="Times New Roman" w:eastAsia="宋体" w:cs="Times New Roman"/>
                <w:b w:val="0"/>
                <w:bCs w:val="0"/>
                <w:color w:val="000000"/>
                <w:kern w:val="2"/>
                <w:sz w:val="21"/>
                <w:szCs w:val="21"/>
                <w:highlight w:val="none"/>
                <w:lang w:val="en-US" w:eastAsia="zh-CN" w:bidi="ar-SA"/>
              </w:rPr>
              <w:t>m³</w:t>
            </w:r>
            <w:r>
              <w:rPr>
                <w:rFonts w:hint="eastAsia" w:cs="Times New Roman"/>
                <w:b w:val="0"/>
                <w:bCs w:val="0"/>
                <w:color w:val="000000"/>
                <w:kern w:val="2"/>
                <w:sz w:val="21"/>
                <w:szCs w:val="21"/>
                <w:highlight w:val="none"/>
                <w:lang w:val="en-US" w:eastAsia="zh-CN" w:bidi="ar-SA"/>
              </w:rPr>
              <w:t>。</w:t>
            </w:r>
            <w:r>
              <w:rPr>
                <w:rFonts w:hint="eastAsia" w:ascii="Times New Roman" w:hAnsi="Times New Roman" w:eastAsia="宋体" w:cs="Times New Roman"/>
                <w:color w:val="000000"/>
                <w:kern w:val="0"/>
                <w:sz w:val="21"/>
                <w:szCs w:val="21"/>
                <w:highlight w:val="none"/>
                <w:lang w:val="en-US" w:eastAsia="zh-CN" w:bidi="ar-SA"/>
              </w:rPr>
              <w:t>排放浓度以及排放速率均可满足</w:t>
            </w:r>
            <w:r>
              <w:rPr>
                <w:rFonts w:hint="default" w:ascii="Times New Roman" w:hAnsi="Times New Roman" w:eastAsia="宋体" w:cs="Times New Roman"/>
                <w:color w:val="000000"/>
                <w:sz w:val="21"/>
                <w:szCs w:val="21"/>
                <w:highlight w:val="none"/>
              </w:rPr>
              <w:t>《大气污染物综合排放标准》（GB16297-1996）中表2</w:t>
            </w:r>
            <w:r>
              <w:rPr>
                <w:rFonts w:hint="default" w:ascii="Times New Roman" w:hAnsi="Times New Roman" w:eastAsia="宋体" w:cs="Times New Roman"/>
                <w:color w:val="000000"/>
                <w:sz w:val="21"/>
                <w:szCs w:val="21"/>
                <w:highlight w:val="none"/>
                <w:lang w:val="en-US" w:eastAsia="zh-CN"/>
              </w:rPr>
              <w:t>二级标准</w:t>
            </w:r>
            <w:r>
              <w:rPr>
                <w:rFonts w:hint="eastAsia" w:ascii="Times New Roman" w:hAnsi="Times New Roman" w:eastAsia="宋体" w:cs="Times New Roman"/>
                <w:color w:val="000000"/>
                <w:sz w:val="21"/>
                <w:szCs w:val="21"/>
                <w:highlight w:val="none"/>
                <w:lang w:val="en-US" w:eastAsia="zh-CN"/>
              </w:rPr>
              <w:t>。</w:t>
            </w:r>
          </w:p>
          <w:p w14:paraId="5218B083">
            <w:pPr>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val="0"/>
              <w:snapToGrid w:val="0"/>
              <w:spacing w:before="0" w:beforeAutospacing="0" w:after="0" w:afterAutospacing="0" w:line="360" w:lineRule="auto"/>
              <w:ind w:left="0" w:right="0" w:rightChars="0" w:firstLine="420" w:firstLineChars="200"/>
              <w:jc w:val="left"/>
              <w:textAlignment w:val="auto"/>
              <w:rPr>
                <w:rFonts w:hint="default" w:eastAsia="宋体"/>
                <w:color w:val="000000"/>
                <w:kern w:val="0"/>
                <w:sz w:val="21"/>
                <w:szCs w:val="21"/>
                <w:highlight w:val="none"/>
                <w:lang w:val="en-US" w:eastAsia="zh-CN"/>
              </w:rPr>
            </w:pPr>
            <w:r>
              <w:rPr>
                <w:rFonts w:hint="eastAsia"/>
                <w:color w:val="000000"/>
                <w:kern w:val="0"/>
                <w:sz w:val="21"/>
                <w:szCs w:val="21"/>
                <w:highlight w:val="none"/>
                <w:lang w:val="en-US" w:eastAsia="zh-CN"/>
              </w:rPr>
              <w:t>（3）锅炉烟气</w:t>
            </w:r>
          </w:p>
          <w:p w14:paraId="389706F5">
            <w:pPr>
              <w:keepNext w:val="0"/>
              <w:keepLines w:val="0"/>
              <w:pageBreakBefore w:val="0"/>
              <w:widowControl/>
              <w:shd w:val="clear" w:color="auto" w:fill="auto"/>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000000"/>
                <w:kern w:val="2"/>
                <w:szCs w:val="21"/>
                <w:highlight w:val="none"/>
                <w:lang w:val="en-US" w:eastAsia="zh-CN" w:bidi="ar-SA"/>
              </w:rPr>
            </w:pPr>
            <w:r>
              <w:rPr>
                <w:rFonts w:hint="eastAsia" w:ascii="Times New Roman" w:hAnsi="Times New Roman" w:cs="Times New Roman"/>
                <w:color w:val="000000"/>
                <w:kern w:val="2"/>
                <w:szCs w:val="21"/>
                <w:highlight w:val="none"/>
                <w:lang w:val="en-US" w:eastAsia="zh-CN" w:bidi="ar-SA"/>
              </w:rPr>
              <w:t>本项目购置2台2t/h</w:t>
            </w:r>
            <w:r>
              <w:rPr>
                <w:rFonts w:hint="eastAsia" w:cs="Times New Roman"/>
                <w:color w:val="000000"/>
                <w:kern w:val="2"/>
                <w:szCs w:val="21"/>
                <w:highlight w:val="none"/>
                <w:lang w:val="en-US" w:eastAsia="zh-CN" w:bidi="ar-SA"/>
              </w:rPr>
              <w:t>天然气锅炉</w:t>
            </w:r>
            <w:r>
              <w:rPr>
                <w:rFonts w:hint="eastAsia" w:ascii="Times New Roman" w:hAnsi="Times New Roman" w:cs="Times New Roman"/>
                <w:color w:val="000000"/>
                <w:kern w:val="2"/>
                <w:szCs w:val="21"/>
                <w:highlight w:val="none"/>
                <w:lang w:val="en-US" w:eastAsia="zh-CN" w:bidi="ar-SA"/>
              </w:rPr>
              <w:t>（1备1用），锅炉采用低氮燃烧技术，单台锅炉小时耗气量为160Nm³，年运行时间为2100h，锅炉年耗气量为33.6万Nm³/a，天然气中硫含量</w:t>
            </w:r>
            <w:r>
              <w:rPr>
                <w:rFonts w:hint="eastAsia" w:cs="Times New Roman"/>
                <w:color w:val="000000"/>
                <w:kern w:val="2"/>
                <w:szCs w:val="21"/>
                <w:highlight w:val="none"/>
                <w:lang w:val="en-US" w:eastAsia="zh-CN" w:bidi="ar-SA"/>
              </w:rPr>
              <w:t>为</w:t>
            </w:r>
            <w:r>
              <w:rPr>
                <w:rFonts w:hint="eastAsia" w:ascii="Times New Roman" w:hAnsi="Times New Roman" w:cs="Times New Roman"/>
                <w:color w:val="000000"/>
                <w:kern w:val="2"/>
                <w:szCs w:val="21"/>
                <w:highlight w:val="none"/>
                <w:lang w:val="en-US" w:eastAsia="zh-CN" w:bidi="ar-SA"/>
              </w:rPr>
              <w:t>20mg/m³</w:t>
            </w:r>
            <w:r>
              <w:rPr>
                <w:rFonts w:hint="eastAsia" w:cs="Times New Roman"/>
                <w:color w:val="000000"/>
                <w:sz w:val="21"/>
                <w:szCs w:val="21"/>
                <w:highlight w:val="none"/>
                <w:lang w:val="en-US" w:eastAsia="zh-CN"/>
              </w:rPr>
              <w:t>。</w:t>
            </w:r>
          </w:p>
          <w:p w14:paraId="7BDAB197">
            <w:pPr>
              <w:shd w:val="clear" w:color="auto" w:fill="auto"/>
              <w:adjustRightInd w:val="0"/>
              <w:snapToGrid w:val="0"/>
              <w:spacing w:line="360" w:lineRule="auto"/>
              <w:ind w:firstLine="480"/>
              <w:rPr>
                <w:rFonts w:hint="default" w:ascii="Times New Roman" w:hAnsi="Times New Roman" w:cs="Times New Roman"/>
                <w:color w:val="000000"/>
                <w:highlight w:val="none"/>
                <w:lang w:val="en-US" w:eastAsia="zh-CN"/>
              </w:rPr>
            </w:pPr>
            <w:r>
              <w:rPr>
                <w:rFonts w:ascii="Times New Roman" w:hAnsi="Times New Roman" w:cs="Times New Roman"/>
                <w:b w:val="0"/>
                <w:snapToGrid/>
                <w:color w:val="000000"/>
                <w:kern w:val="2"/>
                <w:sz w:val="21"/>
                <w:szCs w:val="21"/>
                <w:highlight w:val="none"/>
                <w:lang w:val="en-US"/>
              </w:rPr>
              <w:t>锅炉</w:t>
            </w:r>
            <w:r>
              <w:rPr>
                <w:rFonts w:hint="eastAsia" w:ascii="Times New Roman" w:hAnsi="Times New Roman" w:cs="Times New Roman"/>
                <w:b w:val="0"/>
                <w:snapToGrid/>
                <w:color w:val="000000"/>
                <w:kern w:val="2"/>
                <w:sz w:val="21"/>
                <w:szCs w:val="21"/>
                <w:highlight w:val="none"/>
                <w:lang w:val="en-US" w:eastAsia="zh-CN"/>
              </w:rPr>
              <w:t>烟气污染物</w:t>
            </w:r>
            <w:r>
              <w:rPr>
                <w:rFonts w:hint="eastAsia" w:ascii="Times New Roman" w:hAnsi="Times New Roman" w:eastAsia="宋体" w:cs="Times New Roman"/>
                <w:color w:val="000000"/>
                <w:highlight w:val="none"/>
                <w:lang w:val="en-US" w:eastAsia="zh-CN"/>
              </w:rPr>
              <w:t>SO</w:t>
            </w:r>
            <w:r>
              <w:rPr>
                <w:rFonts w:hint="eastAsia" w:ascii="Times New Roman" w:hAnsi="Times New Roman" w:eastAsia="宋体" w:cs="Times New Roman"/>
                <w:color w:val="000000"/>
                <w:sz w:val="21"/>
                <w:highlight w:val="none"/>
                <w:vertAlign w:val="subscript"/>
                <w:lang w:val="en-US" w:eastAsia="zh-CN"/>
              </w:rPr>
              <w:t>2</w:t>
            </w:r>
            <w:r>
              <w:rPr>
                <w:rFonts w:hint="eastAsia" w:ascii="Times New Roman" w:hAnsi="Times New Roman" w:eastAsia="宋体" w:cs="Times New Roman"/>
                <w:color w:val="000000"/>
                <w:highlight w:val="none"/>
                <w:lang w:val="en-US" w:eastAsia="zh-CN"/>
              </w:rPr>
              <w:t>、NOx产生量</w:t>
            </w:r>
            <w:r>
              <w:rPr>
                <w:rFonts w:hint="eastAsia" w:ascii="Times New Roman" w:hAnsi="Times New Roman" w:cs="Times New Roman"/>
                <w:color w:val="000000"/>
                <w:highlight w:val="none"/>
                <w:lang w:val="en-US" w:eastAsia="zh-CN"/>
              </w:rPr>
              <w:t>参照</w:t>
            </w:r>
            <w:r>
              <w:rPr>
                <w:rFonts w:hint="eastAsia" w:ascii="Times New Roman" w:hAnsi="Times New Roman" w:eastAsia="宋体" w:cs="Times New Roman"/>
                <w:color w:val="000000"/>
                <w:highlight w:val="none"/>
                <w:lang w:val="en-US" w:eastAsia="zh-CN"/>
              </w:rPr>
              <w:t>《</w:t>
            </w:r>
            <w:r>
              <w:fldChar w:fldCharType="begin"/>
            </w:r>
            <w:r>
              <w:instrText xml:space="preserve"> HYPERLINK "https://www.mee.gov.cn/xxgk2018/xxgk/xxgk01/202106/W020210624327149500026.pdf" </w:instrText>
            </w:r>
            <w:r>
              <w:fldChar w:fldCharType="separate"/>
            </w:r>
            <w:r>
              <w:rPr>
                <w:rFonts w:hint="default" w:ascii="Times New Roman" w:hAnsi="Times New Roman" w:eastAsia="宋体" w:cs="Times New Roman"/>
                <w:color w:val="000000"/>
                <w:highlight w:val="none"/>
                <w:lang w:val="en-US" w:eastAsia="zh-CN"/>
              </w:rPr>
              <w:t>排放源统计调查产排污核算方法和系数手册</w:t>
            </w:r>
            <w:r>
              <w:rPr>
                <w:rFonts w:hint="default" w:ascii="Times New Roman" w:hAnsi="Times New Roman" w:eastAsia="宋体" w:cs="Times New Roman"/>
                <w:color w:val="000000"/>
                <w:highlight w:val="none"/>
                <w:lang w:val="en-US" w:eastAsia="zh-CN"/>
              </w:rPr>
              <w:fldChar w:fldCharType="end"/>
            </w:r>
            <w:r>
              <w:rPr>
                <w:rFonts w:hint="eastAsia" w:ascii="Times New Roman" w:hAnsi="Times New Roman" w:eastAsia="宋体" w:cs="Times New Roman"/>
                <w:color w:val="000000"/>
                <w:highlight w:val="none"/>
                <w:lang w:val="en-US" w:eastAsia="zh-CN"/>
              </w:rPr>
              <w:t>--4430工业锅炉（热力供应）行业系数手册》中</w:t>
            </w:r>
            <w:r>
              <w:rPr>
                <w:rFonts w:hint="eastAsia" w:cs="Times New Roman"/>
                <w:color w:val="000000"/>
                <w:highlight w:val="none"/>
                <w:lang w:val="en-US" w:eastAsia="zh-CN"/>
              </w:rPr>
              <w:t>天然气锅炉</w:t>
            </w:r>
            <w:r>
              <w:rPr>
                <w:rFonts w:hint="eastAsia" w:ascii="Times New Roman" w:hAnsi="Times New Roman" w:eastAsia="宋体" w:cs="Times New Roman"/>
                <w:color w:val="000000"/>
                <w:highlight w:val="none"/>
                <w:lang w:val="en-US" w:eastAsia="zh-CN"/>
              </w:rPr>
              <w:t>产污系数</w:t>
            </w:r>
            <w:r>
              <w:rPr>
                <w:rFonts w:hint="eastAsia" w:cs="Times New Roman"/>
                <w:color w:val="000000"/>
                <w:highlight w:val="none"/>
                <w:lang w:val="en-US" w:eastAsia="zh-CN"/>
              </w:rPr>
              <w:t>，</w:t>
            </w:r>
            <w:r>
              <w:rPr>
                <w:rFonts w:hint="eastAsia" w:ascii="Times New Roman" w:hAnsi="Times New Roman" w:eastAsia="宋体" w:cs="Times New Roman"/>
                <w:color w:val="000000"/>
                <w:highlight w:val="none"/>
                <w:lang w:val="en-US" w:eastAsia="zh-CN"/>
              </w:rPr>
              <w:t>颗粒物</w:t>
            </w:r>
            <w:r>
              <w:rPr>
                <w:rFonts w:hint="eastAsia" w:cs="Times New Roman"/>
                <w:color w:val="000000"/>
                <w:highlight w:val="none"/>
                <w:lang w:val="en-US" w:eastAsia="zh-CN"/>
              </w:rPr>
              <w:t>参照</w:t>
            </w:r>
            <w:r>
              <w:rPr>
                <w:rFonts w:hint="eastAsia" w:ascii="Times New Roman" w:hAnsi="Times New Roman" w:eastAsia="宋体" w:cs="Times New Roman"/>
                <w:color w:val="000000"/>
                <w:highlight w:val="none"/>
                <w:lang w:val="en-US" w:eastAsia="zh-CN"/>
              </w:rPr>
              <w:t>《污染源源强核算技术指南 锅炉》（HJ991-2018），燃气锅炉颗粒物源强可采用产污系数法核算</w:t>
            </w:r>
            <w:r>
              <w:rPr>
                <w:rFonts w:hint="default" w:ascii="Times New Roman" w:hAnsi="Times New Roman" w:cs="Times New Roman"/>
                <w:color w:val="000000"/>
                <w:highlight w:val="none"/>
              </w:rPr>
              <w:t>。</w:t>
            </w:r>
          </w:p>
          <w:p w14:paraId="5247B193">
            <w:pPr>
              <w:shd w:val="clear" w:color="auto" w:fill="auto"/>
              <w:adjustRightInd w:val="0"/>
              <w:snapToGrid w:val="0"/>
              <w:spacing w:line="360" w:lineRule="auto"/>
              <w:ind w:firstLine="480"/>
              <w:rPr>
                <w:rFonts w:hint="default" w:ascii="Times New Roman" w:hAnsi="Times New Roman" w:eastAsia="宋体" w:cs="Times New Roman"/>
                <w:b w:val="0"/>
                <w:snapToGrid/>
                <w:color w:val="000000"/>
                <w:kern w:val="2"/>
                <w:sz w:val="21"/>
                <w:szCs w:val="21"/>
                <w:highlight w:val="none"/>
                <w:lang w:val="en-US" w:eastAsia="zh-CN"/>
              </w:rPr>
            </w:pPr>
            <w:r>
              <w:rPr>
                <w:rFonts w:hint="eastAsia" w:ascii="Times New Roman" w:hAnsi="Times New Roman" w:eastAsia="宋体" w:cs="Times New Roman"/>
                <w:color w:val="000000"/>
                <w:highlight w:val="none"/>
                <w:lang w:val="en-US" w:eastAsia="zh-CN"/>
              </w:rPr>
              <w:t>具体见下表</w:t>
            </w:r>
            <w:r>
              <w:rPr>
                <w:rFonts w:ascii="Times New Roman" w:hAnsi="Times New Roman" w:cs="Times New Roman"/>
                <w:color w:val="000000"/>
                <w:highlight w:val="none"/>
              </w:rPr>
              <w:t>。</w:t>
            </w:r>
          </w:p>
          <w:p w14:paraId="591C410A">
            <w:pPr>
              <w:shd w:val="clear" w:color="auto" w:fill="auto"/>
              <w:bidi w:val="0"/>
              <w:jc w:val="center"/>
              <w:rPr>
                <w:b/>
                <w:bCs/>
                <w:color w:val="000000"/>
                <w:highlight w:val="none"/>
                <w:lang w:val="en-US"/>
              </w:rPr>
            </w:pPr>
            <w:r>
              <w:rPr>
                <w:b/>
                <w:bCs/>
                <w:color w:val="000000"/>
                <w:highlight w:val="none"/>
                <w:lang w:val="en-US"/>
              </w:rPr>
              <w:t>表4-</w:t>
            </w:r>
            <w:r>
              <w:rPr>
                <w:rFonts w:hint="eastAsia"/>
                <w:b/>
                <w:bCs/>
                <w:color w:val="000000"/>
                <w:highlight w:val="none"/>
                <w:lang w:val="en-US" w:eastAsia="zh-CN"/>
              </w:rPr>
              <w:t>3为天然气</w:t>
            </w:r>
            <w:r>
              <w:rPr>
                <w:b/>
                <w:bCs/>
                <w:color w:val="000000"/>
                <w:highlight w:val="none"/>
                <w:lang w:val="en-US"/>
              </w:rPr>
              <w:t>工业锅炉的废气产排污系数</w:t>
            </w:r>
          </w:p>
          <w:tbl>
            <w:tblPr>
              <w:tblStyle w:val="2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97"/>
              <w:gridCol w:w="1157"/>
              <w:gridCol w:w="1170"/>
              <w:gridCol w:w="1335"/>
              <w:gridCol w:w="2181"/>
              <w:gridCol w:w="1191"/>
            </w:tblGrid>
            <w:tr w14:paraId="2547F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74" w:type="pct"/>
                  <w:tcBorders>
                    <w:tl2br w:val="nil"/>
                    <w:tr2bl w:val="nil"/>
                  </w:tcBorders>
                  <w:shd w:val="clear" w:color="auto" w:fill="auto"/>
                  <w:noWrap w:val="0"/>
                  <w:vAlign w:val="center"/>
                </w:tcPr>
                <w:p w14:paraId="7D428BE2">
                  <w:pPr>
                    <w:pStyle w:val="88"/>
                    <w:shd w:val="clear" w:color="auto" w:fill="auto"/>
                    <w:spacing w:before="31"/>
                    <w:rPr>
                      <w:rFonts w:hint="default" w:ascii="Times New Roman"/>
                      <w:b/>
                      <w:bCs w:val="0"/>
                      <w:color w:val="000000"/>
                      <w:kern w:val="2"/>
                      <w:sz w:val="21"/>
                      <w:szCs w:val="21"/>
                      <w:highlight w:val="none"/>
                    </w:rPr>
                  </w:pPr>
                  <w:r>
                    <w:rPr>
                      <w:rFonts w:hint="default" w:ascii="Times New Roman"/>
                      <w:b/>
                      <w:bCs w:val="0"/>
                      <w:color w:val="000000"/>
                      <w:kern w:val="2"/>
                      <w:sz w:val="21"/>
                      <w:szCs w:val="21"/>
                      <w:highlight w:val="none"/>
                    </w:rPr>
                    <w:t>产品名称</w:t>
                  </w:r>
                </w:p>
              </w:tc>
              <w:tc>
                <w:tcPr>
                  <w:tcW w:w="711" w:type="pct"/>
                  <w:tcBorders>
                    <w:tl2br w:val="nil"/>
                    <w:tr2bl w:val="nil"/>
                  </w:tcBorders>
                  <w:shd w:val="clear" w:color="auto" w:fill="auto"/>
                  <w:noWrap w:val="0"/>
                  <w:vAlign w:val="center"/>
                </w:tcPr>
                <w:p w14:paraId="5D45B9C3">
                  <w:pPr>
                    <w:pStyle w:val="88"/>
                    <w:shd w:val="clear" w:color="auto" w:fill="auto"/>
                    <w:spacing w:before="31"/>
                    <w:rPr>
                      <w:rFonts w:hint="default" w:ascii="Times New Roman"/>
                      <w:b/>
                      <w:bCs w:val="0"/>
                      <w:color w:val="000000"/>
                      <w:kern w:val="2"/>
                      <w:sz w:val="21"/>
                      <w:szCs w:val="21"/>
                      <w:highlight w:val="none"/>
                    </w:rPr>
                  </w:pPr>
                  <w:r>
                    <w:rPr>
                      <w:rFonts w:hint="default" w:ascii="Times New Roman"/>
                      <w:b/>
                      <w:bCs w:val="0"/>
                      <w:color w:val="000000"/>
                      <w:kern w:val="2"/>
                      <w:sz w:val="21"/>
                      <w:szCs w:val="21"/>
                      <w:highlight w:val="none"/>
                    </w:rPr>
                    <w:t>原料名称</w:t>
                  </w:r>
                </w:p>
              </w:tc>
              <w:tc>
                <w:tcPr>
                  <w:tcW w:w="719" w:type="pct"/>
                  <w:tcBorders>
                    <w:tl2br w:val="nil"/>
                    <w:tr2bl w:val="nil"/>
                  </w:tcBorders>
                  <w:shd w:val="clear" w:color="auto" w:fill="auto"/>
                  <w:noWrap w:val="0"/>
                  <w:vAlign w:val="center"/>
                </w:tcPr>
                <w:p w14:paraId="434BE4BB">
                  <w:pPr>
                    <w:pStyle w:val="88"/>
                    <w:shd w:val="clear" w:color="auto" w:fill="auto"/>
                    <w:spacing w:before="31"/>
                    <w:rPr>
                      <w:rFonts w:hint="default" w:ascii="Times New Roman"/>
                      <w:b/>
                      <w:bCs w:val="0"/>
                      <w:color w:val="000000"/>
                      <w:kern w:val="2"/>
                      <w:sz w:val="21"/>
                      <w:szCs w:val="21"/>
                      <w:highlight w:val="none"/>
                    </w:rPr>
                  </w:pPr>
                  <w:r>
                    <w:rPr>
                      <w:rFonts w:hint="default" w:ascii="Times New Roman"/>
                      <w:b/>
                      <w:bCs w:val="0"/>
                      <w:color w:val="000000"/>
                      <w:kern w:val="2"/>
                      <w:sz w:val="21"/>
                      <w:szCs w:val="21"/>
                      <w:highlight w:val="none"/>
                    </w:rPr>
                    <w:t>规模等级</w:t>
                  </w:r>
                </w:p>
              </w:tc>
              <w:tc>
                <w:tcPr>
                  <w:tcW w:w="821" w:type="pct"/>
                  <w:tcBorders>
                    <w:tl2br w:val="nil"/>
                    <w:tr2bl w:val="nil"/>
                  </w:tcBorders>
                  <w:shd w:val="clear" w:color="auto" w:fill="auto"/>
                  <w:noWrap w:val="0"/>
                  <w:vAlign w:val="center"/>
                </w:tcPr>
                <w:p w14:paraId="0B069363">
                  <w:pPr>
                    <w:pStyle w:val="88"/>
                    <w:shd w:val="clear" w:color="auto" w:fill="auto"/>
                    <w:spacing w:before="31"/>
                    <w:rPr>
                      <w:rFonts w:hint="default" w:ascii="Times New Roman"/>
                      <w:b/>
                      <w:bCs w:val="0"/>
                      <w:color w:val="000000"/>
                      <w:kern w:val="2"/>
                      <w:sz w:val="21"/>
                      <w:szCs w:val="21"/>
                      <w:highlight w:val="none"/>
                    </w:rPr>
                  </w:pPr>
                  <w:r>
                    <w:rPr>
                      <w:rFonts w:hint="default" w:ascii="Times New Roman"/>
                      <w:b/>
                      <w:bCs w:val="0"/>
                      <w:color w:val="000000"/>
                      <w:kern w:val="2"/>
                      <w:sz w:val="21"/>
                      <w:szCs w:val="21"/>
                      <w:highlight w:val="none"/>
                    </w:rPr>
                    <w:t>污染物指标</w:t>
                  </w:r>
                </w:p>
              </w:tc>
              <w:tc>
                <w:tcPr>
                  <w:tcW w:w="1341" w:type="pct"/>
                  <w:tcBorders>
                    <w:tl2br w:val="nil"/>
                    <w:tr2bl w:val="nil"/>
                  </w:tcBorders>
                  <w:shd w:val="clear" w:color="auto" w:fill="auto"/>
                  <w:noWrap w:val="0"/>
                  <w:vAlign w:val="center"/>
                </w:tcPr>
                <w:p w14:paraId="21903374">
                  <w:pPr>
                    <w:pStyle w:val="88"/>
                    <w:shd w:val="clear" w:color="auto" w:fill="auto"/>
                    <w:spacing w:before="31"/>
                    <w:rPr>
                      <w:rFonts w:hint="default" w:ascii="Times New Roman"/>
                      <w:b/>
                      <w:bCs w:val="0"/>
                      <w:color w:val="000000"/>
                      <w:kern w:val="2"/>
                      <w:sz w:val="21"/>
                      <w:szCs w:val="21"/>
                      <w:highlight w:val="none"/>
                    </w:rPr>
                  </w:pPr>
                  <w:r>
                    <w:rPr>
                      <w:rFonts w:hint="default" w:ascii="Times New Roman"/>
                      <w:b/>
                      <w:bCs w:val="0"/>
                      <w:color w:val="000000"/>
                      <w:kern w:val="2"/>
                      <w:sz w:val="21"/>
                      <w:szCs w:val="21"/>
                      <w:highlight w:val="none"/>
                    </w:rPr>
                    <w:t>单位</w:t>
                  </w:r>
                </w:p>
              </w:tc>
              <w:tc>
                <w:tcPr>
                  <w:tcW w:w="732" w:type="pct"/>
                  <w:tcBorders>
                    <w:tl2br w:val="nil"/>
                    <w:tr2bl w:val="nil"/>
                  </w:tcBorders>
                  <w:shd w:val="clear" w:color="auto" w:fill="auto"/>
                  <w:noWrap w:val="0"/>
                  <w:vAlign w:val="center"/>
                </w:tcPr>
                <w:p w14:paraId="781DBAE3">
                  <w:pPr>
                    <w:pStyle w:val="88"/>
                    <w:shd w:val="clear" w:color="auto" w:fill="auto"/>
                    <w:spacing w:before="31"/>
                    <w:rPr>
                      <w:rFonts w:hint="default" w:ascii="Times New Roman"/>
                      <w:b/>
                      <w:bCs w:val="0"/>
                      <w:color w:val="000000"/>
                      <w:kern w:val="2"/>
                      <w:sz w:val="21"/>
                      <w:szCs w:val="21"/>
                      <w:highlight w:val="none"/>
                    </w:rPr>
                  </w:pPr>
                  <w:r>
                    <w:rPr>
                      <w:rFonts w:hint="default" w:ascii="Times New Roman"/>
                      <w:b/>
                      <w:bCs w:val="0"/>
                      <w:color w:val="000000"/>
                      <w:kern w:val="2"/>
                      <w:sz w:val="21"/>
                      <w:szCs w:val="21"/>
                      <w:highlight w:val="none"/>
                    </w:rPr>
                    <w:t>产污系数</w:t>
                  </w:r>
                </w:p>
              </w:tc>
            </w:tr>
            <w:tr w14:paraId="190A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74" w:type="pct"/>
                  <w:vMerge w:val="restart"/>
                  <w:tcBorders>
                    <w:tl2br w:val="nil"/>
                    <w:tr2bl w:val="nil"/>
                  </w:tcBorders>
                  <w:shd w:val="clear" w:color="auto" w:fill="auto"/>
                  <w:noWrap w:val="0"/>
                  <w:vAlign w:val="center"/>
                </w:tcPr>
                <w:p w14:paraId="51D0637F">
                  <w:pPr>
                    <w:pStyle w:val="88"/>
                    <w:shd w:val="clear" w:color="auto" w:fill="auto"/>
                    <w:spacing w:before="31"/>
                    <w:rPr>
                      <w:rFonts w:hint="eastAsia" w:ascii="Times New Roman" w:eastAsia="宋体"/>
                      <w:b w:val="0"/>
                      <w:bCs/>
                      <w:color w:val="000000"/>
                      <w:kern w:val="2"/>
                      <w:sz w:val="21"/>
                      <w:szCs w:val="21"/>
                      <w:highlight w:val="none"/>
                      <w:lang w:val="en-US" w:eastAsia="zh-CN"/>
                    </w:rPr>
                  </w:pPr>
                  <w:r>
                    <w:rPr>
                      <w:rFonts w:hint="default" w:ascii="Times New Roman"/>
                      <w:b w:val="0"/>
                      <w:bCs/>
                      <w:color w:val="000000"/>
                      <w:kern w:val="2"/>
                      <w:sz w:val="21"/>
                      <w:szCs w:val="21"/>
                      <w:highlight w:val="none"/>
                    </w:rPr>
                    <w:t>蒸汽/热水/</w:t>
                  </w:r>
                  <w:r>
                    <w:rPr>
                      <w:rFonts w:hint="eastAsia" w:ascii="Times New Roman"/>
                      <w:b w:val="0"/>
                      <w:bCs/>
                      <w:color w:val="000000"/>
                      <w:kern w:val="2"/>
                      <w:sz w:val="21"/>
                      <w:szCs w:val="21"/>
                      <w:highlight w:val="none"/>
                      <w:lang w:val="en-US" w:eastAsia="zh-CN"/>
                    </w:rPr>
                    <w:t>其他</w:t>
                  </w:r>
                </w:p>
              </w:tc>
              <w:tc>
                <w:tcPr>
                  <w:tcW w:w="711" w:type="pct"/>
                  <w:vMerge w:val="restart"/>
                  <w:tcBorders>
                    <w:tl2br w:val="nil"/>
                    <w:tr2bl w:val="nil"/>
                  </w:tcBorders>
                  <w:shd w:val="clear" w:color="auto" w:fill="auto"/>
                  <w:noWrap w:val="0"/>
                  <w:vAlign w:val="center"/>
                </w:tcPr>
                <w:p w14:paraId="4E1A687D">
                  <w:pPr>
                    <w:pStyle w:val="88"/>
                    <w:shd w:val="clear" w:color="auto" w:fill="auto"/>
                    <w:spacing w:before="31"/>
                    <w:rPr>
                      <w:rFonts w:hint="default" w:ascii="Times New Roman" w:eastAsia="宋体"/>
                      <w:b w:val="0"/>
                      <w:bCs/>
                      <w:color w:val="000000"/>
                      <w:kern w:val="2"/>
                      <w:sz w:val="21"/>
                      <w:szCs w:val="21"/>
                      <w:highlight w:val="none"/>
                      <w:lang w:val="en-US" w:eastAsia="zh-CN"/>
                    </w:rPr>
                  </w:pPr>
                  <w:r>
                    <w:rPr>
                      <w:rFonts w:hint="eastAsia" w:ascii="Times New Roman"/>
                      <w:b w:val="0"/>
                      <w:bCs/>
                      <w:color w:val="000000"/>
                      <w:kern w:val="2"/>
                      <w:sz w:val="21"/>
                      <w:szCs w:val="21"/>
                      <w:highlight w:val="none"/>
                      <w:lang w:val="en-US" w:eastAsia="zh-CN"/>
                    </w:rPr>
                    <w:t>天然气燃料</w:t>
                  </w:r>
                </w:p>
              </w:tc>
              <w:tc>
                <w:tcPr>
                  <w:tcW w:w="719" w:type="pct"/>
                  <w:vMerge w:val="restart"/>
                  <w:tcBorders>
                    <w:tl2br w:val="nil"/>
                    <w:tr2bl w:val="nil"/>
                  </w:tcBorders>
                  <w:shd w:val="clear" w:color="auto" w:fill="auto"/>
                  <w:noWrap w:val="0"/>
                  <w:vAlign w:val="center"/>
                </w:tcPr>
                <w:p w14:paraId="4E92120D">
                  <w:pPr>
                    <w:pStyle w:val="88"/>
                    <w:shd w:val="clear" w:color="auto" w:fill="auto"/>
                    <w:spacing w:before="31"/>
                    <w:rPr>
                      <w:rFonts w:hint="default" w:ascii="Times New Roman"/>
                      <w:b w:val="0"/>
                      <w:bCs/>
                      <w:color w:val="000000"/>
                      <w:kern w:val="2"/>
                      <w:sz w:val="21"/>
                      <w:szCs w:val="21"/>
                      <w:highlight w:val="none"/>
                    </w:rPr>
                  </w:pPr>
                  <w:r>
                    <w:rPr>
                      <w:rFonts w:hint="default" w:ascii="Times New Roman"/>
                      <w:b w:val="0"/>
                      <w:bCs/>
                      <w:color w:val="000000"/>
                      <w:kern w:val="2"/>
                      <w:sz w:val="21"/>
                      <w:szCs w:val="21"/>
                      <w:highlight w:val="none"/>
                    </w:rPr>
                    <w:t>所有规模</w:t>
                  </w:r>
                </w:p>
              </w:tc>
              <w:tc>
                <w:tcPr>
                  <w:tcW w:w="821" w:type="pct"/>
                  <w:tcBorders>
                    <w:tl2br w:val="nil"/>
                    <w:tr2bl w:val="nil"/>
                  </w:tcBorders>
                  <w:shd w:val="clear" w:color="auto" w:fill="auto"/>
                  <w:noWrap w:val="0"/>
                  <w:vAlign w:val="center"/>
                </w:tcPr>
                <w:p w14:paraId="7FA86273">
                  <w:pPr>
                    <w:pStyle w:val="88"/>
                    <w:shd w:val="clear" w:color="auto" w:fill="auto"/>
                    <w:spacing w:before="31"/>
                    <w:rPr>
                      <w:rFonts w:hint="default" w:ascii="Times New Roman" w:hAnsi="Times New Roman" w:eastAsia="宋体" w:cs="Times New Roman"/>
                      <w:b w:val="0"/>
                      <w:bCs/>
                      <w:color w:val="000000"/>
                      <w:kern w:val="2"/>
                      <w:sz w:val="21"/>
                      <w:szCs w:val="21"/>
                      <w:highlight w:val="none"/>
                      <w:lang w:val="en-US" w:eastAsia="zh-CN"/>
                    </w:rPr>
                  </w:pPr>
                  <w:r>
                    <w:rPr>
                      <w:rFonts w:hint="eastAsia" w:ascii="Times New Roman" w:hAnsi="Times New Roman" w:eastAsia="宋体" w:cs="Times New Roman"/>
                      <w:b w:val="0"/>
                      <w:bCs/>
                      <w:color w:val="000000"/>
                      <w:kern w:val="2"/>
                      <w:sz w:val="21"/>
                      <w:szCs w:val="21"/>
                      <w:highlight w:val="none"/>
                      <w:lang w:val="en-US" w:eastAsia="zh-CN"/>
                    </w:rPr>
                    <w:t>工业废气量</w:t>
                  </w:r>
                </w:p>
              </w:tc>
              <w:tc>
                <w:tcPr>
                  <w:tcW w:w="1341" w:type="pct"/>
                  <w:tcBorders>
                    <w:tl2br w:val="nil"/>
                    <w:tr2bl w:val="nil"/>
                  </w:tcBorders>
                  <w:shd w:val="clear" w:color="auto" w:fill="auto"/>
                  <w:noWrap w:val="0"/>
                  <w:vAlign w:val="center"/>
                </w:tcPr>
                <w:p w14:paraId="7B6F2302">
                  <w:pPr>
                    <w:pStyle w:val="88"/>
                    <w:shd w:val="clear" w:color="auto" w:fill="auto"/>
                    <w:spacing w:before="31"/>
                    <w:rPr>
                      <w:rFonts w:hint="default" w:ascii="Times New Roman" w:hAnsi="Times New Roman" w:eastAsia="宋体" w:cs="Times New Roman"/>
                      <w:b w:val="0"/>
                      <w:bCs/>
                      <w:color w:val="000000"/>
                      <w:kern w:val="2"/>
                      <w:sz w:val="21"/>
                      <w:szCs w:val="21"/>
                      <w:highlight w:val="none"/>
                      <w:lang w:val="en-US" w:eastAsia="zh-CN"/>
                    </w:rPr>
                  </w:pPr>
                  <w:r>
                    <w:rPr>
                      <w:rFonts w:hint="default" w:ascii="Times New Roman"/>
                      <w:b w:val="0"/>
                      <w:bCs/>
                      <w:color w:val="000000"/>
                      <w:kern w:val="2"/>
                      <w:sz w:val="21"/>
                      <w:szCs w:val="21"/>
                      <w:highlight w:val="none"/>
                    </w:rPr>
                    <w:t>标立方米/万</w:t>
                  </w:r>
                  <w:r>
                    <w:rPr>
                      <w:rFonts w:hint="eastAsia" w:ascii="Times New Roman"/>
                      <w:b w:val="0"/>
                      <w:bCs/>
                      <w:color w:val="000000"/>
                      <w:kern w:val="2"/>
                      <w:sz w:val="21"/>
                      <w:szCs w:val="21"/>
                      <w:highlight w:val="none"/>
                      <w:lang w:eastAsia="zh-CN"/>
                    </w:rPr>
                    <w:t>m³</w:t>
                  </w:r>
                  <w:r>
                    <w:rPr>
                      <w:rFonts w:hint="default" w:ascii="Times New Roman"/>
                      <w:b w:val="0"/>
                      <w:bCs/>
                      <w:color w:val="000000"/>
                      <w:kern w:val="2"/>
                      <w:sz w:val="21"/>
                      <w:szCs w:val="21"/>
                      <w:highlight w:val="none"/>
                    </w:rPr>
                    <w:t>/原料</w:t>
                  </w:r>
                </w:p>
              </w:tc>
              <w:tc>
                <w:tcPr>
                  <w:tcW w:w="732" w:type="pct"/>
                  <w:tcBorders>
                    <w:tl2br w:val="nil"/>
                    <w:tr2bl w:val="nil"/>
                  </w:tcBorders>
                  <w:shd w:val="clear" w:color="auto" w:fill="auto"/>
                  <w:noWrap w:val="0"/>
                  <w:vAlign w:val="center"/>
                </w:tcPr>
                <w:p w14:paraId="21F58000">
                  <w:pPr>
                    <w:pStyle w:val="88"/>
                    <w:shd w:val="clear" w:color="auto" w:fill="auto"/>
                    <w:spacing w:before="31"/>
                    <w:rPr>
                      <w:rFonts w:hint="default" w:ascii="Times New Roman" w:eastAsia="宋体"/>
                      <w:b/>
                      <w:bCs w:val="0"/>
                      <w:color w:val="000000"/>
                      <w:kern w:val="2"/>
                      <w:sz w:val="21"/>
                      <w:szCs w:val="21"/>
                      <w:highlight w:val="none"/>
                      <w:lang w:val="en-US" w:eastAsia="zh-CN"/>
                    </w:rPr>
                  </w:pPr>
                  <w:r>
                    <w:rPr>
                      <w:rFonts w:hint="default" w:ascii="Times New Roman"/>
                      <w:b w:val="0"/>
                      <w:bCs/>
                      <w:color w:val="000000"/>
                      <w:kern w:val="2"/>
                      <w:sz w:val="21"/>
                      <w:szCs w:val="21"/>
                      <w:highlight w:val="none"/>
                    </w:rPr>
                    <w:t>107753</w:t>
                  </w:r>
                </w:p>
              </w:tc>
            </w:tr>
            <w:tr w14:paraId="2CC6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674" w:type="pct"/>
                  <w:vMerge w:val="continue"/>
                  <w:tcBorders>
                    <w:tl2br w:val="nil"/>
                    <w:tr2bl w:val="nil"/>
                  </w:tcBorders>
                  <w:shd w:val="clear" w:color="auto" w:fill="auto"/>
                  <w:noWrap w:val="0"/>
                  <w:vAlign w:val="center"/>
                </w:tcPr>
                <w:p w14:paraId="194112B5">
                  <w:pPr>
                    <w:pStyle w:val="88"/>
                    <w:shd w:val="clear" w:color="auto" w:fill="auto"/>
                    <w:spacing w:before="31"/>
                    <w:rPr>
                      <w:rFonts w:hint="eastAsia" w:ascii="Times New Roman" w:eastAsia="宋体"/>
                      <w:b w:val="0"/>
                      <w:bCs/>
                      <w:color w:val="000000"/>
                      <w:kern w:val="2"/>
                      <w:sz w:val="21"/>
                      <w:szCs w:val="21"/>
                      <w:highlight w:val="none"/>
                      <w:lang w:val="en-US" w:eastAsia="zh-CN"/>
                    </w:rPr>
                  </w:pPr>
                </w:p>
              </w:tc>
              <w:tc>
                <w:tcPr>
                  <w:tcW w:w="711" w:type="pct"/>
                  <w:vMerge w:val="continue"/>
                  <w:tcBorders>
                    <w:tl2br w:val="nil"/>
                    <w:tr2bl w:val="nil"/>
                  </w:tcBorders>
                  <w:shd w:val="clear" w:color="auto" w:fill="auto"/>
                  <w:noWrap w:val="0"/>
                  <w:vAlign w:val="center"/>
                </w:tcPr>
                <w:p w14:paraId="7286FD03">
                  <w:pPr>
                    <w:pStyle w:val="88"/>
                    <w:shd w:val="clear" w:color="auto" w:fill="auto"/>
                    <w:spacing w:before="31"/>
                    <w:rPr>
                      <w:rFonts w:hint="default" w:ascii="Times New Roman" w:eastAsia="宋体"/>
                      <w:b w:val="0"/>
                      <w:bCs/>
                      <w:color w:val="000000"/>
                      <w:kern w:val="2"/>
                      <w:sz w:val="21"/>
                      <w:szCs w:val="21"/>
                      <w:highlight w:val="none"/>
                      <w:lang w:val="en-US" w:eastAsia="zh-CN"/>
                    </w:rPr>
                  </w:pPr>
                </w:p>
              </w:tc>
              <w:tc>
                <w:tcPr>
                  <w:tcW w:w="719" w:type="pct"/>
                  <w:vMerge w:val="continue"/>
                  <w:tcBorders>
                    <w:tl2br w:val="nil"/>
                    <w:tr2bl w:val="nil"/>
                  </w:tcBorders>
                  <w:shd w:val="clear" w:color="auto" w:fill="auto"/>
                  <w:noWrap w:val="0"/>
                  <w:vAlign w:val="center"/>
                </w:tcPr>
                <w:p w14:paraId="7C007DE8">
                  <w:pPr>
                    <w:pStyle w:val="88"/>
                    <w:shd w:val="clear" w:color="auto" w:fill="auto"/>
                    <w:spacing w:before="31"/>
                    <w:rPr>
                      <w:rFonts w:hint="default" w:ascii="Times New Roman"/>
                      <w:b w:val="0"/>
                      <w:bCs/>
                      <w:color w:val="000000"/>
                      <w:kern w:val="2"/>
                      <w:sz w:val="21"/>
                      <w:szCs w:val="21"/>
                      <w:highlight w:val="none"/>
                    </w:rPr>
                  </w:pPr>
                </w:p>
              </w:tc>
              <w:tc>
                <w:tcPr>
                  <w:tcW w:w="821" w:type="pct"/>
                  <w:tcBorders>
                    <w:tl2br w:val="nil"/>
                    <w:tr2bl w:val="nil"/>
                  </w:tcBorders>
                  <w:shd w:val="clear" w:color="auto" w:fill="auto"/>
                  <w:noWrap w:val="0"/>
                  <w:vAlign w:val="center"/>
                </w:tcPr>
                <w:p w14:paraId="552281C7">
                  <w:pPr>
                    <w:pStyle w:val="88"/>
                    <w:shd w:val="clear" w:color="auto" w:fill="auto"/>
                    <w:spacing w:before="31"/>
                    <w:rPr>
                      <w:rFonts w:hint="eastAsia" w:ascii="Times New Roman" w:hAnsi="Times New Roman" w:eastAsia="宋体" w:cs="Times New Roman"/>
                      <w:b w:val="0"/>
                      <w:bCs/>
                      <w:color w:val="000000"/>
                      <w:kern w:val="2"/>
                      <w:sz w:val="21"/>
                      <w:szCs w:val="21"/>
                      <w:highlight w:val="none"/>
                      <w:lang w:val="en-US" w:eastAsia="zh-CN"/>
                    </w:rPr>
                  </w:pPr>
                  <w:r>
                    <w:rPr>
                      <w:rFonts w:hint="eastAsia" w:ascii="Times New Roman" w:cs="Times New Roman"/>
                      <w:b w:val="0"/>
                      <w:bCs/>
                      <w:color w:val="000000"/>
                      <w:kern w:val="2"/>
                      <w:sz w:val="21"/>
                      <w:szCs w:val="21"/>
                      <w:highlight w:val="none"/>
                      <w:lang w:val="en-US" w:eastAsia="zh-CN"/>
                    </w:rPr>
                    <w:t>烟尘</w:t>
                  </w:r>
                </w:p>
              </w:tc>
              <w:tc>
                <w:tcPr>
                  <w:tcW w:w="1341" w:type="pct"/>
                  <w:tcBorders>
                    <w:tl2br w:val="nil"/>
                    <w:tr2bl w:val="nil"/>
                  </w:tcBorders>
                  <w:shd w:val="clear" w:color="auto" w:fill="auto"/>
                  <w:noWrap w:val="0"/>
                  <w:vAlign w:val="center"/>
                </w:tcPr>
                <w:p w14:paraId="1BAD15E3">
                  <w:pPr>
                    <w:pStyle w:val="88"/>
                    <w:shd w:val="clear" w:color="auto" w:fill="auto"/>
                    <w:spacing w:before="31"/>
                    <w:rPr>
                      <w:rFonts w:hint="default" w:ascii="Times New Roman"/>
                      <w:b w:val="0"/>
                      <w:bCs/>
                      <w:color w:val="000000"/>
                      <w:kern w:val="2"/>
                      <w:sz w:val="21"/>
                      <w:szCs w:val="21"/>
                      <w:highlight w:val="none"/>
                    </w:rPr>
                  </w:pPr>
                  <w:r>
                    <w:rPr>
                      <w:rFonts w:hint="default" w:ascii="Times New Roman"/>
                      <w:b w:val="0"/>
                      <w:bCs/>
                      <w:color w:val="000000"/>
                      <w:kern w:val="2"/>
                      <w:sz w:val="21"/>
                      <w:szCs w:val="21"/>
                      <w:highlight w:val="none"/>
                    </w:rPr>
                    <w:t>mg/m</w:t>
                  </w:r>
                  <w:r>
                    <w:rPr>
                      <w:rFonts w:hint="default" w:ascii="Times New Roman"/>
                      <w:b w:val="0"/>
                      <w:bCs/>
                      <w:color w:val="000000"/>
                      <w:kern w:val="2"/>
                      <w:sz w:val="21"/>
                      <w:szCs w:val="21"/>
                      <w:highlight w:val="none"/>
                      <w:vertAlign w:val="superscript"/>
                    </w:rPr>
                    <w:t>3</w:t>
                  </w:r>
                  <w:r>
                    <w:rPr>
                      <w:rFonts w:hint="default" w:ascii="Times New Roman"/>
                      <w:b w:val="0"/>
                      <w:bCs/>
                      <w:color w:val="000000"/>
                      <w:kern w:val="2"/>
                      <w:sz w:val="21"/>
                      <w:szCs w:val="21"/>
                      <w:highlight w:val="none"/>
                    </w:rPr>
                    <w:t>－天然气</w:t>
                  </w:r>
                </w:p>
              </w:tc>
              <w:tc>
                <w:tcPr>
                  <w:tcW w:w="732" w:type="pct"/>
                  <w:tcBorders>
                    <w:tl2br w:val="nil"/>
                    <w:tr2bl w:val="nil"/>
                  </w:tcBorders>
                  <w:shd w:val="clear" w:color="auto" w:fill="auto"/>
                  <w:noWrap w:val="0"/>
                  <w:vAlign w:val="center"/>
                </w:tcPr>
                <w:p w14:paraId="766980A6">
                  <w:pPr>
                    <w:pStyle w:val="88"/>
                    <w:shd w:val="clear" w:color="auto" w:fill="auto"/>
                    <w:spacing w:before="31"/>
                    <w:rPr>
                      <w:rFonts w:hint="default" w:ascii="Times New Roman"/>
                      <w:b w:val="0"/>
                      <w:bCs/>
                      <w:color w:val="000000"/>
                      <w:kern w:val="2"/>
                      <w:sz w:val="21"/>
                      <w:szCs w:val="21"/>
                      <w:highlight w:val="none"/>
                      <w:lang w:val="en-US" w:eastAsia="zh-CN"/>
                    </w:rPr>
                  </w:pPr>
                  <w:r>
                    <w:rPr>
                      <w:rFonts w:hint="default" w:ascii="Times New Roman" w:hAnsi="Times New Roman" w:cs="Times New Roman"/>
                      <w:b w:val="0"/>
                      <w:snapToGrid/>
                      <w:color w:val="auto"/>
                      <w:kern w:val="2"/>
                      <w:sz w:val="24"/>
                      <w:szCs w:val="24"/>
                      <w:lang w:val="en-US" w:eastAsia="zh-CN"/>
                    </w:rPr>
                    <w:t>103.9</w:t>
                  </w:r>
                </w:p>
              </w:tc>
            </w:tr>
            <w:tr w14:paraId="64599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74" w:type="pct"/>
                  <w:vMerge w:val="continue"/>
                  <w:tcBorders>
                    <w:tl2br w:val="nil"/>
                    <w:tr2bl w:val="nil"/>
                  </w:tcBorders>
                  <w:shd w:val="clear" w:color="auto" w:fill="auto"/>
                  <w:noWrap w:val="0"/>
                  <w:vAlign w:val="center"/>
                </w:tcPr>
                <w:p w14:paraId="4E2DC549">
                  <w:pPr>
                    <w:pStyle w:val="88"/>
                    <w:shd w:val="clear" w:color="auto" w:fill="auto"/>
                    <w:spacing w:before="31"/>
                    <w:rPr>
                      <w:rFonts w:hint="default" w:ascii="Times New Roman"/>
                      <w:b w:val="0"/>
                      <w:bCs/>
                      <w:color w:val="000000"/>
                      <w:kern w:val="2"/>
                      <w:sz w:val="21"/>
                      <w:szCs w:val="21"/>
                      <w:highlight w:val="none"/>
                    </w:rPr>
                  </w:pPr>
                </w:p>
              </w:tc>
              <w:tc>
                <w:tcPr>
                  <w:tcW w:w="711" w:type="pct"/>
                  <w:vMerge w:val="continue"/>
                  <w:tcBorders>
                    <w:tl2br w:val="nil"/>
                    <w:tr2bl w:val="nil"/>
                  </w:tcBorders>
                  <w:shd w:val="clear" w:color="auto" w:fill="auto"/>
                  <w:noWrap w:val="0"/>
                  <w:vAlign w:val="center"/>
                </w:tcPr>
                <w:p w14:paraId="5F89C5D2">
                  <w:pPr>
                    <w:pStyle w:val="88"/>
                    <w:shd w:val="clear" w:color="auto" w:fill="auto"/>
                    <w:spacing w:before="31"/>
                    <w:rPr>
                      <w:rFonts w:hint="default" w:ascii="Times New Roman"/>
                      <w:b w:val="0"/>
                      <w:bCs/>
                      <w:color w:val="000000"/>
                      <w:kern w:val="2"/>
                      <w:sz w:val="21"/>
                      <w:szCs w:val="21"/>
                      <w:highlight w:val="none"/>
                    </w:rPr>
                  </w:pPr>
                </w:p>
              </w:tc>
              <w:tc>
                <w:tcPr>
                  <w:tcW w:w="719" w:type="pct"/>
                  <w:vMerge w:val="continue"/>
                  <w:tcBorders>
                    <w:tl2br w:val="nil"/>
                    <w:tr2bl w:val="nil"/>
                  </w:tcBorders>
                  <w:shd w:val="clear" w:color="auto" w:fill="auto"/>
                  <w:noWrap w:val="0"/>
                  <w:vAlign w:val="center"/>
                </w:tcPr>
                <w:p w14:paraId="5337E20E">
                  <w:pPr>
                    <w:pStyle w:val="88"/>
                    <w:shd w:val="clear" w:color="auto" w:fill="auto"/>
                    <w:spacing w:before="31"/>
                    <w:rPr>
                      <w:rFonts w:hint="default" w:ascii="Times New Roman"/>
                      <w:b w:val="0"/>
                      <w:bCs/>
                      <w:color w:val="000000"/>
                      <w:kern w:val="2"/>
                      <w:sz w:val="21"/>
                      <w:szCs w:val="21"/>
                      <w:highlight w:val="none"/>
                    </w:rPr>
                  </w:pPr>
                </w:p>
              </w:tc>
              <w:tc>
                <w:tcPr>
                  <w:tcW w:w="821" w:type="pct"/>
                  <w:tcBorders>
                    <w:tl2br w:val="nil"/>
                    <w:tr2bl w:val="nil"/>
                  </w:tcBorders>
                  <w:shd w:val="clear" w:color="auto" w:fill="auto"/>
                  <w:noWrap w:val="0"/>
                  <w:vAlign w:val="center"/>
                </w:tcPr>
                <w:p w14:paraId="65B3970B">
                  <w:pPr>
                    <w:pStyle w:val="88"/>
                    <w:shd w:val="clear" w:color="auto" w:fill="auto"/>
                    <w:spacing w:before="31"/>
                    <w:rPr>
                      <w:rFonts w:hint="default" w:ascii="Times New Roman" w:hAnsi="Times New Roman" w:eastAsia="宋体" w:cs="Times New Roman"/>
                      <w:b w:val="0"/>
                      <w:bCs/>
                      <w:color w:val="000000"/>
                      <w:kern w:val="2"/>
                      <w:sz w:val="21"/>
                      <w:szCs w:val="21"/>
                      <w:highlight w:val="none"/>
                      <w:lang w:val="en-US" w:eastAsia="zh-CN"/>
                    </w:rPr>
                  </w:pPr>
                  <w:r>
                    <w:rPr>
                      <w:rFonts w:hint="default" w:ascii="Times New Roman" w:hAnsi="Times New Roman" w:eastAsia="宋体" w:cs="Times New Roman"/>
                      <w:b w:val="0"/>
                      <w:bCs/>
                      <w:color w:val="000000"/>
                      <w:kern w:val="2"/>
                      <w:sz w:val="21"/>
                      <w:szCs w:val="21"/>
                      <w:highlight w:val="none"/>
                      <w:lang w:val="en-US" w:eastAsia="zh-CN"/>
                    </w:rPr>
                    <w:t>二氧化硫</w:t>
                  </w:r>
                </w:p>
              </w:tc>
              <w:tc>
                <w:tcPr>
                  <w:tcW w:w="1341" w:type="pct"/>
                  <w:tcBorders>
                    <w:tl2br w:val="nil"/>
                    <w:tr2bl w:val="nil"/>
                  </w:tcBorders>
                  <w:shd w:val="clear" w:color="auto" w:fill="auto"/>
                  <w:noWrap w:val="0"/>
                  <w:vAlign w:val="center"/>
                </w:tcPr>
                <w:p w14:paraId="06D3302D">
                  <w:pPr>
                    <w:pStyle w:val="88"/>
                    <w:shd w:val="clear" w:color="auto" w:fill="auto"/>
                    <w:spacing w:before="31"/>
                    <w:rPr>
                      <w:rFonts w:hint="default" w:ascii="Times New Roman"/>
                      <w:b w:val="0"/>
                      <w:bCs/>
                      <w:color w:val="000000"/>
                      <w:kern w:val="2"/>
                      <w:sz w:val="21"/>
                      <w:szCs w:val="21"/>
                      <w:highlight w:val="none"/>
                    </w:rPr>
                  </w:pPr>
                  <w:r>
                    <w:rPr>
                      <w:rFonts w:hint="default" w:ascii="Times New Roman"/>
                      <w:b w:val="0"/>
                      <w:bCs/>
                      <w:color w:val="000000"/>
                      <w:kern w:val="2"/>
                      <w:sz w:val="21"/>
                      <w:szCs w:val="21"/>
                      <w:highlight w:val="none"/>
                    </w:rPr>
                    <w:t>千克/万</w:t>
                  </w:r>
                  <w:r>
                    <w:rPr>
                      <w:rFonts w:hint="eastAsia" w:ascii="Times New Roman"/>
                      <w:b w:val="0"/>
                      <w:bCs/>
                      <w:color w:val="000000"/>
                      <w:kern w:val="2"/>
                      <w:sz w:val="21"/>
                      <w:szCs w:val="21"/>
                      <w:highlight w:val="none"/>
                      <w:lang w:eastAsia="zh-CN"/>
                    </w:rPr>
                    <w:t>m³</w:t>
                  </w:r>
                  <w:r>
                    <w:rPr>
                      <w:rFonts w:hint="default" w:ascii="Times New Roman"/>
                      <w:b w:val="0"/>
                      <w:bCs/>
                      <w:color w:val="000000"/>
                      <w:kern w:val="2"/>
                      <w:sz w:val="21"/>
                      <w:szCs w:val="21"/>
                      <w:highlight w:val="none"/>
                    </w:rPr>
                    <w:t>/原料</w:t>
                  </w:r>
                </w:p>
              </w:tc>
              <w:tc>
                <w:tcPr>
                  <w:tcW w:w="732" w:type="pct"/>
                  <w:tcBorders>
                    <w:tl2br w:val="nil"/>
                    <w:tr2bl w:val="nil"/>
                  </w:tcBorders>
                  <w:shd w:val="clear" w:color="auto" w:fill="auto"/>
                  <w:noWrap w:val="0"/>
                  <w:vAlign w:val="center"/>
                </w:tcPr>
                <w:p w14:paraId="3BF7EFA0">
                  <w:pPr>
                    <w:pStyle w:val="88"/>
                    <w:shd w:val="clear" w:color="auto" w:fill="auto"/>
                    <w:spacing w:before="31"/>
                    <w:rPr>
                      <w:rFonts w:hint="default" w:ascii="Times New Roman"/>
                      <w:b w:val="0"/>
                      <w:bCs/>
                      <w:color w:val="000000"/>
                      <w:kern w:val="2"/>
                      <w:sz w:val="21"/>
                      <w:szCs w:val="21"/>
                      <w:highlight w:val="none"/>
                    </w:rPr>
                  </w:pPr>
                  <w:r>
                    <w:rPr>
                      <w:rFonts w:hint="default" w:ascii="Times New Roman"/>
                      <w:b w:val="0"/>
                      <w:bCs/>
                      <w:color w:val="000000"/>
                      <w:kern w:val="2"/>
                      <w:sz w:val="21"/>
                      <w:szCs w:val="21"/>
                      <w:highlight w:val="none"/>
                    </w:rPr>
                    <w:t>0.02S</w:t>
                  </w:r>
                </w:p>
              </w:tc>
            </w:tr>
            <w:tr w14:paraId="6A782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674" w:type="pct"/>
                  <w:vMerge w:val="continue"/>
                  <w:tcBorders>
                    <w:tl2br w:val="nil"/>
                    <w:tr2bl w:val="nil"/>
                  </w:tcBorders>
                  <w:shd w:val="clear" w:color="auto" w:fill="auto"/>
                  <w:noWrap w:val="0"/>
                  <w:vAlign w:val="center"/>
                </w:tcPr>
                <w:p w14:paraId="75AE7B68">
                  <w:pPr>
                    <w:pStyle w:val="88"/>
                    <w:shd w:val="clear" w:color="auto" w:fill="auto"/>
                    <w:spacing w:before="31"/>
                    <w:rPr>
                      <w:rFonts w:hint="default" w:ascii="Times New Roman"/>
                      <w:b w:val="0"/>
                      <w:bCs/>
                      <w:color w:val="000000"/>
                      <w:kern w:val="2"/>
                      <w:sz w:val="21"/>
                      <w:szCs w:val="21"/>
                      <w:highlight w:val="none"/>
                    </w:rPr>
                  </w:pPr>
                </w:p>
              </w:tc>
              <w:tc>
                <w:tcPr>
                  <w:tcW w:w="711" w:type="pct"/>
                  <w:vMerge w:val="continue"/>
                  <w:tcBorders>
                    <w:tl2br w:val="nil"/>
                    <w:tr2bl w:val="nil"/>
                  </w:tcBorders>
                  <w:shd w:val="clear" w:color="auto" w:fill="auto"/>
                  <w:noWrap w:val="0"/>
                  <w:vAlign w:val="center"/>
                </w:tcPr>
                <w:p w14:paraId="5293A7B0">
                  <w:pPr>
                    <w:pStyle w:val="88"/>
                    <w:shd w:val="clear" w:color="auto" w:fill="auto"/>
                    <w:spacing w:before="31"/>
                    <w:rPr>
                      <w:rFonts w:hint="default" w:ascii="Times New Roman"/>
                      <w:b w:val="0"/>
                      <w:bCs/>
                      <w:color w:val="000000"/>
                      <w:kern w:val="2"/>
                      <w:sz w:val="21"/>
                      <w:szCs w:val="21"/>
                      <w:highlight w:val="none"/>
                    </w:rPr>
                  </w:pPr>
                </w:p>
              </w:tc>
              <w:tc>
                <w:tcPr>
                  <w:tcW w:w="719" w:type="pct"/>
                  <w:vMerge w:val="continue"/>
                  <w:tcBorders>
                    <w:tl2br w:val="nil"/>
                    <w:tr2bl w:val="nil"/>
                  </w:tcBorders>
                  <w:shd w:val="clear" w:color="auto" w:fill="auto"/>
                  <w:noWrap w:val="0"/>
                  <w:vAlign w:val="center"/>
                </w:tcPr>
                <w:p w14:paraId="669F1695">
                  <w:pPr>
                    <w:pStyle w:val="88"/>
                    <w:shd w:val="clear" w:color="auto" w:fill="auto"/>
                    <w:spacing w:before="31"/>
                    <w:rPr>
                      <w:rFonts w:hint="default" w:ascii="Times New Roman"/>
                      <w:b w:val="0"/>
                      <w:bCs/>
                      <w:color w:val="000000"/>
                      <w:kern w:val="2"/>
                      <w:sz w:val="21"/>
                      <w:szCs w:val="21"/>
                      <w:highlight w:val="none"/>
                    </w:rPr>
                  </w:pPr>
                </w:p>
              </w:tc>
              <w:tc>
                <w:tcPr>
                  <w:tcW w:w="821" w:type="pct"/>
                  <w:tcBorders>
                    <w:tl2br w:val="nil"/>
                    <w:tr2bl w:val="nil"/>
                  </w:tcBorders>
                  <w:shd w:val="clear" w:color="auto" w:fill="auto"/>
                  <w:noWrap w:val="0"/>
                  <w:vAlign w:val="center"/>
                </w:tcPr>
                <w:p w14:paraId="61E22049">
                  <w:pPr>
                    <w:pStyle w:val="88"/>
                    <w:shd w:val="clear" w:color="auto" w:fill="auto"/>
                    <w:spacing w:before="31"/>
                    <w:rPr>
                      <w:rFonts w:hint="default" w:ascii="Times New Roman"/>
                      <w:b w:val="0"/>
                      <w:bCs/>
                      <w:color w:val="000000"/>
                      <w:kern w:val="2"/>
                      <w:sz w:val="21"/>
                      <w:szCs w:val="21"/>
                      <w:highlight w:val="none"/>
                    </w:rPr>
                  </w:pPr>
                  <w:r>
                    <w:rPr>
                      <w:rFonts w:hint="default" w:ascii="Times New Roman"/>
                      <w:b w:val="0"/>
                      <w:bCs/>
                      <w:color w:val="000000"/>
                      <w:kern w:val="2"/>
                      <w:sz w:val="21"/>
                      <w:szCs w:val="21"/>
                      <w:highlight w:val="none"/>
                    </w:rPr>
                    <w:t>氮氧化物</w:t>
                  </w:r>
                </w:p>
              </w:tc>
              <w:tc>
                <w:tcPr>
                  <w:tcW w:w="1341" w:type="pct"/>
                  <w:tcBorders>
                    <w:tl2br w:val="nil"/>
                    <w:tr2bl w:val="nil"/>
                  </w:tcBorders>
                  <w:shd w:val="clear" w:color="auto" w:fill="auto"/>
                  <w:noWrap w:val="0"/>
                  <w:vAlign w:val="center"/>
                </w:tcPr>
                <w:p w14:paraId="2DD525D5">
                  <w:pPr>
                    <w:pStyle w:val="88"/>
                    <w:shd w:val="clear" w:color="auto" w:fill="auto"/>
                    <w:spacing w:before="31"/>
                    <w:rPr>
                      <w:rFonts w:hint="default" w:ascii="Times New Roman"/>
                      <w:b w:val="0"/>
                      <w:bCs/>
                      <w:color w:val="000000"/>
                      <w:kern w:val="2"/>
                      <w:sz w:val="21"/>
                      <w:szCs w:val="21"/>
                      <w:highlight w:val="none"/>
                    </w:rPr>
                  </w:pPr>
                  <w:r>
                    <w:rPr>
                      <w:rFonts w:hint="default" w:ascii="Times New Roman"/>
                      <w:b w:val="0"/>
                      <w:bCs/>
                      <w:color w:val="000000"/>
                      <w:kern w:val="2"/>
                      <w:sz w:val="21"/>
                      <w:szCs w:val="21"/>
                      <w:highlight w:val="none"/>
                    </w:rPr>
                    <w:t>千克/万</w:t>
                  </w:r>
                  <w:r>
                    <w:rPr>
                      <w:rFonts w:hint="eastAsia" w:ascii="Times New Roman"/>
                      <w:b w:val="0"/>
                      <w:bCs/>
                      <w:color w:val="000000"/>
                      <w:kern w:val="2"/>
                      <w:sz w:val="21"/>
                      <w:szCs w:val="21"/>
                      <w:highlight w:val="none"/>
                      <w:lang w:eastAsia="zh-CN"/>
                    </w:rPr>
                    <w:t>m³</w:t>
                  </w:r>
                  <w:r>
                    <w:rPr>
                      <w:rFonts w:hint="default" w:ascii="Times New Roman"/>
                      <w:b w:val="0"/>
                      <w:bCs/>
                      <w:color w:val="000000"/>
                      <w:kern w:val="2"/>
                      <w:sz w:val="21"/>
                      <w:szCs w:val="21"/>
                      <w:highlight w:val="none"/>
                    </w:rPr>
                    <w:t>/原料</w:t>
                  </w:r>
                </w:p>
              </w:tc>
              <w:tc>
                <w:tcPr>
                  <w:tcW w:w="732" w:type="pct"/>
                  <w:tcBorders>
                    <w:tl2br w:val="nil"/>
                    <w:tr2bl w:val="nil"/>
                  </w:tcBorders>
                  <w:shd w:val="clear" w:color="auto" w:fill="auto"/>
                  <w:noWrap w:val="0"/>
                  <w:vAlign w:val="center"/>
                </w:tcPr>
                <w:p w14:paraId="5F3A03FB">
                  <w:pPr>
                    <w:pStyle w:val="88"/>
                    <w:shd w:val="clear" w:color="auto" w:fill="auto"/>
                    <w:spacing w:before="31"/>
                    <w:rPr>
                      <w:rFonts w:hint="default" w:ascii="Times New Roman" w:eastAsia="宋体"/>
                      <w:b w:val="0"/>
                      <w:bCs/>
                      <w:color w:val="000000"/>
                      <w:kern w:val="2"/>
                      <w:sz w:val="21"/>
                      <w:szCs w:val="21"/>
                      <w:highlight w:val="none"/>
                      <w:lang w:val="en-US" w:eastAsia="zh-CN"/>
                    </w:rPr>
                  </w:pPr>
                  <w:r>
                    <w:rPr>
                      <w:rFonts w:hint="eastAsia" w:ascii="Times New Roman"/>
                      <w:b w:val="0"/>
                      <w:bCs/>
                      <w:color w:val="000000"/>
                      <w:kern w:val="2"/>
                      <w:sz w:val="21"/>
                      <w:szCs w:val="21"/>
                      <w:highlight w:val="none"/>
                      <w:lang w:val="en-US" w:eastAsia="zh-CN"/>
                    </w:rPr>
                    <w:t>3.03</w:t>
                  </w:r>
                </w:p>
              </w:tc>
            </w:tr>
          </w:tbl>
          <w:p w14:paraId="44C6C469">
            <w:pPr>
              <w:shd w:val="clear" w:color="auto" w:fill="auto"/>
              <w:adjustRightInd w:val="0"/>
              <w:snapToGrid w:val="0"/>
              <w:spacing w:line="360" w:lineRule="auto"/>
              <w:ind w:firstLine="480"/>
              <w:rPr>
                <w:rFonts w:hint="default" w:ascii="Times New Roman" w:hAnsi="Times New Roman" w:eastAsia="宋体" w:cs="Times New Roman"/>
                <w:color w:val="000000"/>
                <w:sz w:val="21"/>
                <w:szCs w:val="21"/>
                <w:highlight w:val="none"/>
                <w:lang w:val="en-US" w:eastAsia="zh-CN"/>
              </w:rPr>
            </w:pPr>
            <w:bookmarkStart w:id="27" w:name="OLE_LINK3"/>
            <w:r>
              <w:rPr>
                <w:rFonts w:hint="default" w:ascii="Calibri" w:hAnsi="Calibri" w:eastAsia="宋体" w:cs="Calibri"/>
                <w:color w:val="000000"/>
                <w:sz w:val="21"/>
                <w:szCs w:val="21"/>
                <w:highlight w:val="none"/>
                <w:lang w:val="en-US" w:eastAsia="zh-CN"/>
              </w:rPr>
              <w:t>①</w:t>
            </w:r>
            <w:r>
              <w:rPr>
                <w:rFonts w:hint="default" w:ascii="Times New Roman" w:hAnsi="Times New Roman" w:eastAsia="宋体" w:cs="Times New Roman"/>
                <w:color w:val="000000"/>
                <w:sz w:val="21"/>
                <w:szCs w:val="21"/>
                <w:highlight w:val="none"/>
                <w:lang w:val="en-US" w:eastAsia="zh-CN"/>
              </w:rPr>
              <w:t>烟气量</w:t>
            </w:r>
          </w:p>
          <w:p w14:paraId="76F1347B">
            <w:pPr>
              <w:shd w:val="clear" w:color="auto" w:fill="auto"/>
              <w:adjustRightInd w:val="0"/>
              <w:snapToGrid w:val="0"/>
              <w:spacing w:line="360" w:lineRule="auto"/>
              <w:ind w:firstLine="48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参照《排放源统计调查产排污核算方法和系数手册》中“4430工业锅炉（热力供应） 行业系数手册”可知，燃气工业锅炉天然气燃烧工业废气量产污系数为107753标立方米/ 万立方米－原料。本</w:t>
            </w:r>
            <w:r>
              <w:rPr>
                <w:rFonts w:hint="eastAsia" w:ascii="Times New Roman" w:hAnsi="Times New Roman" w:eastAsia="宋体" w:cs="Times New Roman"/>
                <w:color w:val="000000"/>
                <w:sz w:val="21"/>
                <w:szCs w:val="21"/>
                <w:highlight w:val="none"/>
                <w:lang w:val="en-US" w:eastAsia="zh-CN"/>
              </w:rPr>
              <w:t>项目</w:t>
            </w:r>
            <w:r>
              <w:rPr>
                <w:rFonts w:hint="default" w:ascii="Times New Roman" w:hAnsi="Times New Roman" w:eastAsia="宋体" w:cs="Times New Roman"/>
                <w:color w:val="000000"/>
                <w:sz w:val="21"/>
                <w:szCs w:val="21"/>
                <w:highlight w:val="none"/>
                <w:lang w:val="en-US" w:eastAsia="zh-CN"/>
              </w:rPr>
              <w:t>天然气消耗量为</w:t>
            </w:r>
            <w:r>
              <w:rPr>
                <w:rFonts w:hint="eastAsia" w:ascii="Times New Roman" w:hAnsi="Times New Roman" w:eastAsia="宋体" w:cs="Times New Roman"/>
                <w:color w:val="000000"/>
                <w:sz w:val="21"/>
                <w:szCs w:val="21"/>
                <w:highlight w:val="none"/>
                <w:lang w:val="en-US" w:eastAsia="zh-CN"/>
              </w:rPr>
              <w:t>33.6</w:t>
            </w:r>
            <w:r>
              <w:rPr>
                <w:rFonts w:hint="default" w:ascii="Times New Roman" w:hAnsi="Times New Roman" w:eastAsia="宋体" w:cs="Times New Roman"/>
                <w:color w:val="000000"/>
                <w:sz w:val="21"/>
                <w:szCs w:val="21"/>
                <w:highlight w:val="none"/>
                <w:lang w:val="en-US" w:eastAsia="zh-CN"/>
              </w:rPr>
              <w:t>×10</w:t>
            </w:r>
            <w:r>
              <w:rPr>
                <w:rFonts w:hint="default" w:ascii="Times New Roman" w:hAnsi="Times New Roman" w:eastAsia="宋体" w:cs="Times New Roman"/>
                <w:color w:val="000000"/>
                <w:sz w:val="21"/>
                <w:szCs w:val="21"/>
                <w:highlight w:val="none"/>
                <w:vertAlign w:val="superscript"/>
                <w:lang w:val="en-US" w:eastAsia="zh-CN"/>
              </w:rPr>
              <w:t>4</w:t>
            </w:r>
            <w:r>
              <w:rPr>
                <w:rFonts w:hint="default" w:ascii="Times New Roman" w:hAnsi="Times New Roman" w:eastAsia="宋体" w:cs="Times New Roman"/>
                <w:color w:val="000000"/>
                <w:sz w:val="21"/>
                <w:szCs w:val="21"/>
                <w:highlight w:val="none"/>
                <w:lang w:val="en-US" w:eastAsia="zh-CN"/>
              </w:rPr>
              <w:t>Nm</w:t>
            </w:r>
            <w:r>
              <w:rPr>
                <w:rFonts w:hint="default" w:ascii="Times New Roman" w:hAnsi="Times New Roman" w:eastAsia="宋体" w:cs="Times New Roman"/>
                <w:color w:val="000000"/>
                <w:sz w:val="21"/>
                <w:szCs w:val="21"/>
                <w:highlight w:val="none"/>
                <w:vertAlign w:val="superscript"/>
                <w:lang w:val="en-US" w:eastAsia="zh-CN"/>
              </w:rPr>
              <w:t>3</w:t>
            </w:r>
            <w:r>
              <w:rPr>
                <w:rFonts w:hint="default" w:ascii="Times New Roman" w:hAnsi="Times New Roman" w:eastAsia="宋体" w:cs="Times New Roman"/>
                <w:color w:val="000000"/>
                <w:sz w:val="21"/>
                <w:szCs w:val="21"/>
                <w:highlight w:val="none"/>
                <w:lang w:val="en-US" w:eastAsia="zh-CN"/>
              </w:rPr>
              <w:t>/a，则产生烟气量为</w:t>
            </w:r>
            <w:r>
              <w:rPr>
                <w:rFonts w:hint="eastAsia" w:ascii="Times New Roman" w:hAnsi="Times New Roman" w:eastAsia="宋体" w:cs="Times New Roman"/>
                <w:color w:val="000000"/>
                <w:sz w:val="21"/>
                <w:szCs w:val="21"/>
                <w:highlight w:val="none"/>
                <w:lang w:val="en-US" w:eastAsia="zh-CN"/>
              </w:rPr>
              <w:t>362.05</w:t>
            </w:r>
            <w:r>
              <w:rPr>
                <w:rFonts w:hint="default" w:ascii="Times New Roman" w:hAnsi="Times New Roman" w:eastAsia="宋体" w:cs="Times New Roman"/>
                <w:color w:val="000000"/>
                <w:sz w:val="21"/>
                <w:szCs w:val="21"/>
                <w:highlight w:val="none"/>
                <w:lang w:val="en-US" w:eastAsia="zh-CN"/>
              </w:rPr>
              <w:t>×10</w:t>
            </w:r>
            <w:r>
              <w:rPr>
                <w:rFonts w:hint="default" w:ascii="Times New Roman" w:hAnsi="Times New Roman" w:eastAsia="宋体" w:cs="Times New Roman"/>
                <w:color w:val="000000"/>
                <w:sz w:val="21"/>
                <w:szCs w:val="21"/>
                <w:highlight w:val="none"/>
                <w:vertAlign w:val="superscript"/>
                <w:lang w:val="en-US" w:eastAsia="zh-CN"/>
              </w:rPr>
              <w:t>4</w:t>
            </w:r>
            <w:r>
              <w:rPr>
                <w:rFonts w:hint="default" w:ascii="Times New Roman" w:hAnsi="Times New Roman" w:eastAsia="宋体" w:cs="Times New Roman"/>
                <w:color w:val="000000"/>
                <w:sz w:val="21"/>
                <w:szCs w:val="21"/>
                <w:highlight w:val="none"/>
                <w:lang w:val="en-US" w:eastAsia="zh-CN"/>
              </w:rPr>
              <w:t>Nm</w:t>
            </w:r>
            <w:r>
              <w:rPr>
                <w:rFonts w:hint="default" w:ascii="Times New Roman" w:hAnsi="Times New Roman" w:eastAsia="宋体" w:cs="Times New Roman"/>
                <w:color w:val="000000"/>
                <w:sz w:val="21"/>
                <w:szCs w:val="21"/>
                <w:highlight w:val="none"/>
                <w:vertAlign w:val="superscript"/>
                <w:lang w:val="en-US" w:eastAsia="zh-CN"/>
              </w:rPr>
              <w:t>3</w:t>
            </w:r>
            <w:r>
              <w:rPr>
                <w:rFonts w:hint="default" w:ascii="Times New Roman" w:hAnsi="Times New Roman" w:eastAsia="宋体" w:cs="Times New Roman"/>
                <w:color w:val="000000"/>
                <w:sz w:val="21"/>
                <w:szCs w:val="21"/>
                <w:highlight w:val="none"/>
                <w:lang w:val="en-US" w:eastAsia="zh-CN"/>
              </w:rPr>
              <w:t>/a。</w:t>
            </w:r>
          </w:p>
          <w:p w14:paraId="7EB7A093">
            <w:pPr>
              <w:shd w:val="clear" w:color="auto" w:fill="auto"/>
              <w:adjustRightInd w:val="0"/>
              <w:snapToGrid w:val="0"/>
              <w:spacing w:line="360" w:lineRule="auto"/>
              <w:ind w:firstLine="480"/>
              <w:rPr>
                <w:rFonts w:hint="default" w:ascii="Times New Roman" w:hAnsi="Times New Roman" w:eastAsia="宋体" w:cs="Times New Roman"/>
                <w:color w:val="000000"/>
                <w:sz w:val="21"/>
                <w:szCs w:val="21"/>
                <w:highlight w:val="none"/>
                <w:lang w:val="en-US" w:eastAsia="zh-CN"/>
              </w:rPr>
            </w:pPr>
            <w:r>
              <w:rPr>
                <w:rFonts w:hint="default" w:ascii="Calibri" w:hAnsi="Calibri" w:eastAsia="宋体" w:cs="Calibri"/>
                <w:color w:val="000000"/>
                <w:sz w:val="21"/>
                <w:szCs w:val="21"/>
                <w:highlight w:val="none"/>
                <w:lang w:val="en-US" w:eastAsia="zh-CN"/>
              </w:rPr>
              <w:t>②</w:t>
            </w:r>
            <w:r>
              <w:rPr>
                <w:rFonts w:hint="default" w:ascii="Times New Roman" w:hAnsi="Times New Roman" w:eastAsia="宋体" w:cs="Times New Roman"/>
                <w:color w:val="000000"/>
                <w:sz w:val="21"/>
                <w:szCs w:val="21"/>
                <w:highlight w:val="none"/>
                <w:lang w:val="en-US" w:eastAsia="zh-CN"/>
              </w:rPr>
              <w:t>颗粒物</w:t>
            </w:r>
          </w:p>
          <w:p w14:paraId="7A8424B8">
            <w:pPr>
              <w:shd w:val="clear" w:color="auto" w:fill="auto"/>
              <w:adjustRightInd w:val="0"/>
              <w:snapToGrid w:val="0"/>
              <w:spacing w:line="360" w:lineRule="auto"/>
              <w:ind w:firstLine="48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根据《污染源源强核算技术指南 锅炉》（HJ991-2018），燃气锅炉颗粒物源强可采用产污系数法核算，计算公式如下：</w:t>
            </w:r>
          </w:p>
          <w:p w14:paraId="5334EEB9">
            <w:pPr>
              <w:shd w:val="clear" w:color="auto" w:fill="auto"/>
              <w:adjustRightInd w:val="0"/>
              <w:snapToGrid w:val="0"/>
              <w:spacing w:line="360" w:lineRule="auto"/>
              <w:ind w:firstLine="480"/>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 xml:space="preserve">                       </w:t>
            </w:r>
            <w:r>
              <w:rPr>
                <w:rFonts w:hint="default" w:ascii="Times New Roman" w:hAnsi="Times New Roman" w:eastAsia="宋体" w:cs="Times New Roman"/>
                <w:color w:val="000000"/>
                <w:sz w:val="21"/>
                <w:szCs w:val="21"/>
                <w:highlight w:val="none"/>
                <w:lang w:val="en-US" w:eastAsia="zh-CN"/>
              </w:rPr>
              <w:drawing>
                <wp:inline distT="0" distB="0" distL="114300" distR="114300">
                  <wp:extent cx="1747520" cy="331470"/>
                  <wp:effectExtent l="0" t="0" r="5080" b="11430"/>
                  <wp:docPr id="56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 name="图片 3"/>
                          <pic:cNvPicPr>
                            <a:picLocks noChangeAspect="1"/>
                          </pic:cNvPicPr>
                        </pic:nvPicPr>
                        <pic:blipFill>
                          <a:blip r:embed="rId21"/>
                          <a:stretch>
                            <a:fillRect/>
                          </a:stretch>
                        </pic:blipFill>
                        <pic:spPr>
                          <a:xfrm>
                            <a:off x="0" y="0"/>
                            <a:ext cx="1747520" cy="331470"/>
                          </a:xfrm>
                          <a:prstGeom prst="rect">
                            <a:avLst/>
                          </a:prstGeom>
                          <a:noFill/>
                          <a:ln>
                            <a:noFill/>
                          </a:ln>
                        </pic:spPr>
                      </pic:pic>
                    </a:graphicData>
                  </a:graphic>
                </wp:inline>
              </w:drawing>
            </w:r>
          </w:p>
          <w:p w14:paraId="0A08952F">
            <w:pPr>
              <w:shd w:val="clear" w:color="auto" w:fill="auto"/>
              <w:adjustRightInd w:val="0"/>
              <w:snapToGrid w:val="0"/>
              <w:spacing w:line="360" w:lineRule="auto"/>
              <w:ind w:firstLine="48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式中：Ej—核算时段内第j种污染物排放量，t。</w:t>
            </w:r>
          </w:p>
          <w:p w14:paraId="7036D3C6">
            <w:pPr>
              <w:shd w:val="clear" w:color="auto" w:fill="auto"/>
              <w:adjustRightInd w:val="0"/>
              <w:snapToGrid w:val="0"/>
              <w:spacing w:line="360" w:lineRule="auto"/>
              <w:ind w:firstLine="48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R—核算时段内燃料</w:t>
            </w:r>
            <w:r>
              <w:rPr>
                <w:rFonts w:hint="eastAsia" w:cs="Times New Roman"/>
                <w:color w:val="000000"/>
                <w:sz w:val="21"/>
                <w:szCs w:val="21"/>
                <w:highlight w:val="none"/>
                <w:lang w:val="en-US" w:eastAsia="zh-CN"/>
              </w:rPr>
              <w:t>消耗</w:t>
            </w:r>
            <w:r>
              <w:rPr>
                <w:rFonts w:hint="default" w:ascii="Times New Roman" w:hAnsi="Times New Roman" w:eastAsia="宋体" w:cs="Times New Roman"/>
                <w:color w:val="000000"/>
                <w:sz w:val="21"/>
                <w:szCs w:val="21"/>
                <w:highlight w:val="none"/>
                <w:lang w:val="en-US" w:eastAsia="zh-CN"/>
              </w:rPr>
              <w:t>量</w:t>
            </w:r>
            <w:r>
              <w:rPr>
                <w:rFonts w:hint="eastAsia"/>
                <w:lang w:eastAsia="zh-CN"/>
              </w:rPr>
              <w:t>，</w:t>
            </w:r>
            <w:r>
              <w:rPr>
                <w:rFonts w:hint="default" w:ascii="Times New Roman" w:hAnsi="Times New Roman" w:eastAsia="宋体" w:cs="Times New Roman"/>
                <w:color w:val="000000"/>
                <w:sz w:val="21"/>
                <w:szCs w:val="21"/>
                <w:highlight w:val="none"/>
                <w:lang w:val="en-US" w:eastAsia="zh-CN"/>
              </w:rPr>
              <w:t>万m</w:t>
            </w:r>
            <w:r>
              <w:rPr>
                <w:rFonts w:hint="default" w:ascii="Times New Roman" w:hAnsi="Times New Roman" w:eastAsia="宋体" w:cs="Times New Roman"/>
                <w:color w:val="000000"/>
                <w:sz w:val="21"/>
                <w:szCs w:val="21"/>
                <w:highlight w:val="none"/>
                <w:vertAlign w:val="superscript"/>
                <w:lang w:val="en-US" w:eastAsia="zh-CN"/>
              </w:rPr>
              <w:t>3</w:t>
            </w:r>
            <w:r>
              <w:rPr>
                <w:rFonts w:hint="default" w:ascii="Times New Roman" w:hAnsi="Times New Roman" w:eastAsia="宋体" w:cs="Times New Roman"/>
                <w:color w:val="000000"/>
                <w:sz w:val="21"/>
                <w:szCs w:val="21"/>
                <w:highlight w:val="none"/>
                <w:lang w:val="en-US" w:eastAsia="zh-CN"/>
              </w:rPr>
              <w:t>；</w:t>
            </w:r>
          </w:p>
          <w:p w14:paraId="2D18D86F">
            <w:pPr>
              <w:shd w:val="clear" w:color="auto" w:fill="auto"/>
              <w:adjustRightInd w:val="0"/>
              <w:snapToGrid w:val="0"/>
              <w:spacing w:line="360" w:lineRule="auto"/>
              <w:ind w:firstLine="48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βj—产污系数，kg/万m</w:t>
            </w:r>
            <w:r>
              <w:rPr>
                <w:rFonts w:hint="default" w:ascii="Times New Roman" w:hAnsi="Times New Roman" w:eastAsia="宋体" w:cs="Times New Roman"/>
                <w:color w:val="000000"/>
                <w:sz w:val="21"/>
                <w:szCs w:val="21"/>
                <w:highlight w:val="none"/>
                <w:vertAlign w:val="superscript"/>
                <w:lang w:val="en-US" w:eastAsia="zh-CN"/>
              </w:rPr>
              <w:t>3</w:t>
            </w:r>
            <w:r>
              <w:rPr>
                <w:rFonts w:hint="default" w:ascii="Times New Roman" w:hAnsi="Times New Roman" w:eastAsia="宋体" w:cs="Times New Roman"/>
                <w:color w:val="000000"/>
                <w:sz w:val="21"/>
                <w:szCs w:val="21"/>
                <w:highlight w:val="none"/>
                <w:lang w:val="en-US" w:eastAsia="zh-CN"/>
              </w:rPr>
              <w:t>；《纳入排污许可管理的火电等17个行业污染物实际排放量计算方法（含排污系数、物料衡算方法）（试行）》可知，天然气锅炉烟尘（颗粒物）产排污系数为103.9mg/m</w:t>
            </w:r>
            <w:r>
              <w:rPr>
                <w:rFonts w:hint="default" w:ascii="Times New Roman" w:hAnsi="Times New Roman" w:eastAsia="宋体" w:cs="Times New Roman"/>
                <w:color w:val="000000"/>
                <w:sz w:val="21"/>
                <w:szCs w:val="21"/>
                <w:highlight w:val="none"/>
                <w:vertAlign w:val="superscript"/>
                <w:lang w:val="en-US" w:eastAsia="zh-CN"/>
              </w:rPr>
              <w:t>3</w:t>
            </w:r>
            <w:r>
              <w:rPr>
                <w:rFonts w:hint="default" w:ascii="Times New Roman" w:hAnsi="Times New Roman" w:eastAsia="宋体" w:cs="Times New Roman"/>
                <w:color w:val="000000"/>
                <w:sz w:val="21"/>
                <w:szCs w:val="21"/>
                <w:highlight w:val="none"/>
                <w:lang w:val="en-US" w:eastAsia="zh-CN"/>
              </w:rPr>
              <w:t>－天然气（1.03kg/万m</w:t>
            </w:r>
            <w:r>
              <w:rPr>
                <w:rFonts w:hint="default" w:ascii="Times New Roman" w:hAnsi="Times New Roman" w:eastAsia="宋体" w:cs="Times New Roman"/>
                <w:color w:val="000000"/>
                <w:sz w:val="21"/>
                <w:szCs w:val="21"/>
                <w:highlight w:val="none"/>
                <w:vertAlign w:val="superscript"/>
                <w:lang w:val="en-US" w:eastAsia="zh-CN"/>
              </w:rPr>
              <w:t>3</w:t>
            </w:r>
            <w:r>
              <w:rPr>
                <w:rFonts w:hint="default" w:ascii="Times New Roman" w:hAnsi="Times New Roman" w:eastAsia="宋体" w:cs="Times New Roman"/>
                <w:color w:val="000000"/>
                <w:sz w:val="21"/>
                <w:szCs w:val="21"/>
                <w:highlight w:val="none"/>
                <w:lang w:val="en-US" w:eastAsia="zh-CN"/>
              </w:rPr>
              <w:t>）。</w:t>
            </w:r>
          </w:p>
          <w:p w14:paraId="1ED428F0">
            <w:pPr>
              <w:shd w:val="clear" w:color="auto" w:fill="auto"/>
              <w:adjustRightInd w:val="0"/>
              <w:snapToGrid w:val="0"/>
              <w:spacing w:line="360" w:lineRule="auto"/>
              <w:ind w:firstLine="48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η—污染物去除效率，%，取0。</w:t>
            </w:r>
          </w:p>
          <w:p w14:paraId="642A1A1F">
            <w:pPr>
              <w:shd w:val="clear" w:color="auto" w:fill="auto"/>
              <w:adjustRightInd w:val="0"/>
              <w:snapToGrid w:val="0"/>
              <w:spacing w:line="360" w:lineRule="auto"/>
              <w:ind w:firstLine="48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由上式计算可得，本项目颗粒物排放量约为0.</w:t>
            </w:r>
            <w:r>
              <w:rPr>
                <w:rFonts w:hint="eastAsia" w:ascii="Times New Roman" w:hAnsi="Times New Roman" w:eastAsia="宋体" w:cs="Times New Roman"/>
                <w:color w:val="000000"/>
                <w:sz w:val="21"/>
                <w:szCs w:val="21"/>
                <w:highlight w:val="none"/>
                <w:lang w:val="en-US" w:eastAsia="zh-CN"/>
              </w:rPr>
              <w:t>0043</w:t>
            </w:r>
            <w:r>
              <w:rPr>
                <w:rFonts w:hint="default" w:ascii="Times New Roman" w:hAnsi="Times New Roman" w:eastAsia="宋体" w:cs="Times New Roman"/>
                <w:color w:val="000000"/>
                <w:sz w:val="21"/>
                <w:szCs w:val="21"/>
                <w:highlight w:val="none"/>
                <w:lang w:val="en-US" w:eastAsia="zh-CN"/>
              </w:rPr>
              <w:t>t/a。</w:t>
            </w:r>
          </w:p>
          <w:p w14:paraId="2CF130F3">
            <w:pPr>
              <w:shd w:val="clear" w:color="auto" w:fill="auto"/>
              <w:adjustRightInd w:val="0"/>
              <w:snapToGrid w:val="0"/>
              <w:spacing w:line="360" w:lineRule="auto"/>
              <w:ind w:firstLine="480"/>
              <w:rPr>
                <w:rFonts w:hint="default" w:ascii="Times New Roman" w:hAnsi="Times New Roman" w:eastAsia="宋体" w:cs="Times New Roman"/>
                <w:color w:val="000000"/>
                <w:sz w:val="21"/>
                <w:szCs w:val="21"/>
                <w:highlight w:val="none"/>
                <w:vertAlign w:val="subscript"/>
                <w:lang w:val="en-US" w:eastAsia="zh-CN"/>
              </w:rPr>
            </w:pPr>
            <w:r>
              <w:rPr>
                <w:rFonts w:hint="default" w:ascii="Calibri" w:hAnsi="Calibri" w:eastAsia="宋体" w:cs="Calibri"/>
                <w:color w:val="000000"/>
                <w:sz w:val="21"/>
                <w:szCs w:val="21"/>
                <w:highlight w:val="none"/>
                <w:lang w:val="en-US" w:eastAsia="zh-CN"/>
              </w:rPr>
              <w:t>③</w:t>
            </w:r>
            <w:r>
              <w:rPr>
                <w:rFonts w:hint="default" w:ascii="Times New Roman" w:hAnsi="Times New Roman" w:eastAsia="宋体" w:cs="Times New Roman"/>
                <w:color w:val="000000"/>
                <w:sz w:val="21"/>
                <w:szCs w:val="21"/>
                <w:highlight w:val="none"/>
                <w:lang w:val="en-US" w:eastAsia="zh-CN"/>
              </w:rPr>
              <w:t>SO</w:t>
            </w:r>
            <w:r>
              <w:rPr>
                <w:rFonts w:hint="default" w:ascii="Times New Roman" w:hAnsi="Times New Roman" w:eastAsia="宋体" w:cs="Times New Roman"/>
                <w:color w:val="000000"/>
                <w:sz w:val="21"/>
                <w:szCs w:val="21"/>
                <w:highlight w:val="none"/>
                <w:vertAlign w:val="subscript"/>
                <w:lang w:val="en-US" w:eastAsia="zh-CN"/>
              </w:rPr>
              <w:t>2</w:t>
            </w:r>
          </w:p>
          <w:p w14:paraId="7127274C">
            <w:pPr>
              <w:shd w:val="clear" w:color="auto" w:fill="auto"/>
              <w:adjustRightInd w:val="0"/>
              <w:snapToGrid w:val="0"/>
              <w:spacing w:line="360" w:lineRule="auto"/>
              <w:ind w:firstLine="48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锅炉废气污染因子SO</w:t>
            </w:r>
            <w:r>
              <w:rPr>
                <w:rFonts w:hint="default" w:ascii="Times New Roman" w:hAnsi="Times New Roman" w:eastAsia="宋体" w:cs="Times New Roman"/>
                <w:color w:val="000000"/>
                <w:sz w:val="21"/>
                <w:szCs w:val="21"/>
                <w:highlight w:val="none"/>
                <w:vertAlign w:val="superscript"/>
                <w:lang w:val="en-US" w:eastAsia="zh-CN"/>
              </w:rPr>
              <w:t>2</w:t>
            </w:r>
            <w:r>
              <w:rPr>
                <w:rFonts w:hint="default" w:ascii="Times New Roman" w:hAnsi="Times New Roman" w:eastAsia="宋体" w:cs="Times New Roman"/>
                <w:color w:val="000000"/>
                <w:sz w:val="21"/>
                <w:szCs w:val="21"/>
                <w:highlight w:val="none"/>
                <w:lang w:val="en-US" w:eastAsia="zh-CN"/>
              </w:rPr>
              <w:t>源强计算采用系数法，参照《排放源统计调查产排污核算方法和系数手册》中“4430工业锅炉（热力供应）行业系数手册”可知，燃气工业锅炉天然气燃烧，SO</w:t>
            </w:r>
            <w:r>
              <w:rPr>
                <w:rFonts w:hint="default" w:ascii="Times New Roman" w:hAnsi="Times New Roman" w:eastAsia="宋体" w:cs="Times New Roman"/>
                <w:color w:val="000000"/>
                <w:sz w:val="21"/>
                <w:szCs w:val="21"/>
                <w:highlight w:val="none"/>
                <w:vertAlign w:val="superscript"/>
                <w:lang w:val="en-US" w:eastAsia="zh-CN"/>
              </w:rPr>
              <w:t>2</w:t>
            </w:r>
            <w:r>
              <w:rPr>
                <w:rFonts w:hint="default" w:ascii="Times New Roman" w:hAnsi="Times New Roman" w:eastAsia="宋体" w:cs="Times New Roman"/>
                <w:color w:val="000000"/>
                <w:sz w:val="21"/>
                <w:szCs w:val="21"/>
                <w:highlight w:val="none"/>
                <w:lang w:val="en-US" w:eastAsia="zh-CN"/>
              </w:rPr>
              <w:t>产污系数为0.02Skg/万m</w:t>
            </w:r>
            <w:r>
              <w:rPr>
                <w:rFonts w:hint="default" w:ascii="Times New Roman" w:hAnsi="Times New Roman" w:eastAsia="宋体" w:cs="Times New Roman"/>
                <w:color w:val="000000"/>
                <w:sz w:val="21"/>
                <w:szCs w:val="21"/>
                <w:highlight w:val="none"/>
                <w:vertAlign w:val="superscript"/>
                <w:lang w:val="en-US" w:eastAsia="zh-CN"/>
              </w:rPr>
              <w:t>3</w:t>
            </w:r>
            <w:r>
              <w:rPr>
                <w:rFonts w:hint="default" w:ascii="Times New Roman" w:hAnsi="Times New Roman" w:eastAsia="宋体" w:cs="Times New Roman"/>
                <w:color w:val="000000"/>
                <w:sz w:val="21"/>
                <w:szCs w:val="21"/>
                <w:highlight w:val="none"/>
                <w:lang w:val="en-US" w:eastAsia="zh-CN"/>
              </w:rPr>
              <w:t>－原料（依据理论折算S=4）。</w:t>
            </w:r>
          </w:p>
          <w:p w14:paraId="75901CCA">
            <w:pPr>
              <w:shd w:val="clear" w:color="auto" w:fill="auto"/>
              <w:adjustRightInd w:val="0"/>
              <w:snapToGrid w:val="0"/>
              <w:spacing w:line="360" w:lineRule="auto"/>
              <w:ind w:firstLine="48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通过计算，</w:t>
            </w:r>
            <w:r>
              <w:rPr>
                <w:rFonts w:hint="default" w:ascii="Times New Roman" w:hAnsi="Times New Roman" w:eastAsia="宋体" w:cs="Times New Roman"/>
                <w:color w:val="000000"/>
                <w:sz w:val="21"/>
                <w:szCs w:val="21"/>
                <w:highlight w:val="none"/>
                <w:lang w:val="en-US" w:eastAsia="en-US"/>
              </w:rPr>
              <w:t>SO</w:t>
            </w:r>
            <w:r>
              <w:rPr>
                <w:rFonts w:hint="default" w:ascii="Times New Roman" w:hAnsi="Times New Roman" w:eastAsia="宋体" w:cs="Times New Roman"/>
                <w:color w:val="000000"/>
                <w:sz w:val="21"/>
                <w:szCs w:val="21"/>
                <w:highlight w:val="none"/>
                <w:vertAlign w:val="superscript"/>
                <w:lang w:val="en-US" w:eastAsia="en-US"/>
              </w:rPr>
              <w:t>2</w:t>
            </w:r>
            <w:r>
              <w:rPr>
                <w:rFonts w:hint="default" w:ascii="Times New Roman" w:hAnsi="Times New Roman" w:eastAsia="宋体" w:cs="Times New Roman"/>
                <w:color w:val="000000"/>
                <w:sz w:val="21"/>
                <w:szCs w:val="21"/>
                <w:highlight w:val="none"/>
                <w:lang w:val="en-US" w:eastAsia="zh-CN"/>
              </w:rPr>
              <w:t>的排放量为0.0</w:t>
            </w:r>
            <w:r>
              <w:rPr>
                <w:rFonts w:hint="eastAsia" w:ascii="Times New Roman" w:hAnsi="Times New Roman" w:eastAsia="宋体" w:cs="Times New Roman"/>
                <w:color w:val="000000"/>
                <w:sz w:val="21"/>
                <w:szCs w:val="21"/>
                <w:highlight w:val="none"/>
                <w:lang w:val="en-US" w:eastAsia="zh-CN"/>
              </w:rPr>
              <w:t>134</w:t>
            </w:r>
            <w:r>
              <w:rPr>
                <w:rFonts w:hint="default" w:ascii="Times New Roman" w:hAnsi="Times New Roman" w:eastAsia="宋体" w:cs="Times New Roman"/>
                <w:color w:val="000000"/>
                <w:sz w:val="21"/>
                <w:szCs w:val="21"/>
                <w:highlight w:val="none"/>
                <w:lang w:val="en-US" w:eastAsia="zh-CN"/>
              </w:rPr>
              <w:t>t/a。</w:t>
            </w:r>
          </w:p>
          <w:p w14:paraId="5BD28DA3">
            <w:pPr>
              <w:shd w:val="clear" w:color="auto" w:fill="auto"/>
              <w:adjustRightInd w:val="0"/>
              <w:snapToGrid w:val="0"/>
              <w:spacing w:line="360" w:lineRule="auto"/>
              <w:ind w:firstLine="48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(4)NOx</w:t>
            </w:r>
          </w:p>
          <w:p w14:paraId="600D539D">
            <w:pPr>
              <w:shd w:val="clear" w:color="auto" w:fill="auto"/>
              <w:adjustRightInd w:val="0"/>
              <w:snapToGrid w:val="0"/>
              <w:spacing w:line="360" w:lineRule="auto"/>
              <w:ind w:firstLine="48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根据《污染源源强核算技术指南  锅炉》（HJ991-2018），氮氧化物排放量采用生产商提供的NOx控制浓度保证值或类比同类锅炉NOx浓度值，采用如下公式计算：</w:t>
            </w:r>
          </w:p>
          <w:p w14:paraId="30356C40">
            <w:pPr>
              <w:spacing w:before="195"/>
              <w:ind w:firstLine="420" w:firstLineChars="20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氮氧化物源强计算公式如下：</w:t>
            </w:r>
          </w:p>
          <w:p w14:paraId="20F8179B">
            <w:pPr>
              <w:spacing w:before="195"/>
              <w:ind w:left="2761"/>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Times New Roman" w:cs="Times New Roman"/>
                <w:i/>
                <w:iCs/>
                <w:color w:val="auto"/>
                <w:spacing w:val="-4"/>
                <w:sz w:val="21"/>
                <w:szCs w:val="21"/>
              </w:rPr>
              <w:t>E</w:t>
            </w:r>
            <w:r>
              <w:rPr>
                <w:rFonts w:hint="default" w:ascii="Times New Roman" w:hAnsi="Times New Roman" w:eastAsia="Times New Roman" w:cs="Times New Roman"/>
                <w:i/>
                <w:iCs/>
                <w:color w:val="auto"/>
                <w:spacing w:val="-4"/>
                <w:position w:val="-5"/>
                <w:sz w:val="21"/>
                <w:szCs w:val="21"/>
              </w:rPr>
              <w:t>NO</w:t>
            </w:r>
            <w:r>
              <w:rPr>
                <w:rFonts w:hint="default" w:ascii="Times New Roman" w:hAnsi="Times New Roman" w:eastAsia="Times New Roman" w:cs="Times New Roman"/>
                <w:i/>
                <w:iCs/>
                <w:color w:val="auto"/>
                <w:spacing w:val="-4"/>
                <w:position w:val="-8"/>
                <w:sz w:val="21"/>
                <w:szCs w:val="21"/>
              </w:rPr>
              <w:t>X</w:t>
            </w:r>
            <w:r>
              <w:rPr>
                <w:rFonts w:hint="default" w:ascii="Times New Roman" w:hAnsi="Times New Roman" w:eastAsia="Times New Roman" w:cs="Times New Roman"/>
                <w:i/>
                <w:iCs/>
                <w:color w:val="auto"/>
                <w:spacing w:val="12"/>
                <w:w w:val="102"/>
                <w:position w:val="-8"/>
                <w:sz w:val="21"/>
                <w:szCs w:val="21"/>
              </w:rPr>
              <w:t xml:space="preserve">   </w:t>
            </w:r>
            <w:r>
              <w:rPr>
                <w:rFonts w:hint="default" w:ascii="Times New Roman" w:hAnsi="Times New Roman" w:eastAsia="微软雅黑" w:cs="Times New Roman"/>
                <w:color w:val="auto"/>
                <w:spacing w:val="-4"/>
                <w:sz w:val="21"/>
                <w:szCs w:val="21"/>
              </w:rPr>
              <w:t>= P</w:t>
            </w:r>
            <w:r>
              <w:rPr>
                <w:rFonts w:hint="default" w:ascii="Times New Roman" w:hAnsi="Times New Roman" w:eastAsia="Times New Roman" w:cs="Times New Roman"/>
                <w:i/>
                <w:iCs/>
                <w:color w:val="auto"/>
                <w:spacing w:val="-4"/>
                <w:position w:val="-5"/>
                <w:sz w:val="21"/>
                <w:szCs w:val="21"/>
              </w:rPr>
              <w:t>NO</w:t>
            </w:r>
            <w:r>
              <w:rPr>
                <w:rFonts w:hint="default" w:ascii="Times New Roman" w:hAnsi="Times New Roman" w:eastAsia="Times New Roman" w:cs="Times New Roman"/>
                <w:i/>
                <w:iCs/>
                <w:color w:val="auto"/>
                <w:spacing w:val="-4"/>
                <w:position w:val="-8"/>
                <w:sz w:val="21"/>
                <w:szCs w:val="21"/>
              </w:rPr>
              <w:t xml:space="preserve">X   </w:t>
            </w:r>
            <w:r>
              <w:rPr>
                <w:rFonts w:hint="default" w:ascii="Times New Roman" w:hAnsi="Times New Roman" w:eastAsia="微软雅黑" w:cs="Times New Roman"/>
                <w:color w:val="auto"/>
                <w:spacing w:val="-4"/>
                <w:sz w:val="21"/>
                <w:szCs w:val="21"/>
              </w:rPr>
              <w:t>×</w:t>
            </w:r>
            <w:r>
              <w:rPr>
                <w:rFonts w:hint="default" w:ascii="Times New Roman" w:hAnsi="Times New Roman" w:eastAsia="Times New Roman" w:cs="Times New Roman"/>
                <w:i/>
                <w:iCs/>
                <w:color w:val="auto"/>
                <w:spacing w:val="-4"/>
                <w:sz w:val="21"/>
                <w:szCs w:val="21"/>
              </w:rPr>
              <w:t>Q</w:t>
            </w:r>
            <w:r>
              <w:rPr>
                <w:rFonts w:hint="default" w:ascii="Times New Roman" w:hAnsi="Times New Roman" w:eastAsia="微软雅黑" w:cs="Times New Roman"/>
                <w:color w:val="auto"/>
                <w:spacing w:val="-4"/>
                <w:sz w:val="21"/>
                <w:szCs w:val="21"/>
              </w:rPr>
              <w:t>×</w:t>
            </w:r>
            <w:r>
              <w:rPr>
                <w:rFonts w:hint="default" w:ascii="Times New Roman" w:hAnsi="Times New Roman" w:eastAsia="微软雅黑" w:cs="Times New Roman"/>
                <w:color w:val="auto"/>
                <w:spacing w:val="-29"/>
                <w:sz w:val="21"/>
                <w:szCs w:val="21"/>
              </w:rPr>
              <w:t xml:space="preserve"> </w:t>
            </w:r>
            <w:r>
              <w:rPr>
                <w:rFonts w:hint="default" w:ascii="Times New Roman" w:hAnsi="Times New Roman" w:eastAsia="Times New Roman" w:cs="Times New Roman"/>
                <w:color w:val="auto"/>
                <w:spacing w:val="-4"/>
                <w:sz w:val="21"/>
                <w:szCs w:val="21"/>
              </w:rPr>
              <w:t>(1</w:t>
            </w:r>
            <w:r>
              <w:rPr>
                <w:rFonts w:hint="default" w:ascii="Times New Roman" w:hAnsi="Times New Roman" w:eastAsia="Times New Roman" w:cs="Times New Roman"/>
                <w:color w:val="auto"/>
                <w:spacing w:val="-36"/>
                <w:sz w:val="21"/>
                <w:szCs w:val="21"/>
              </w:rPr>
              <w:t xml:space="preserve"> </w:t>
            </w:r>
            <w:r>
              <w:rPr>
                <w:rFonts w:hint="default" w:ascii="Times New Roman" w:hAnsi="Times New Roman" w:eastAsia="微软雅黑" w:cs="Times New Roman"/>
                <w:color w:val="auto"/>
                <w:spacing w:val="-4"/>
                <w:sz w:val="21"/>
                <w:szCs w:val="21"/>
              </w:rPr>
              <w:t>−</w:t>
            </w:r>
            <w:r>
              <w:rPr>
                <w:rFonts w:hint="default" w:ascii="Times New Roman" w:hAnsi="Times New Roman" w:eastAsia="微软雅黑" w:cs="Times New Roman"/>
                <w:color w:val="auto"/>
                <w:spacing w:val="-50"/>
                <w:sz w:val="21"/>
                <w:szCs w:val="21"/>
              </w:rPr>
              <w:t xml:space="preserve"> </w:t>
            </w:r>
            <w:r>
              <w:rPr>
                <w:rFonts w:hint="default" w:ascii="Times New Roman" w:hAnsi="Times New Roman" w:cs="Times New Roman"/>
                <w:color w:val="auto"/>
                <w:position w:val="-18"/>
                <w:sz w:val="21"/>
                <w:szCs w:val="21"/>
              </w:rPr>
              <w:drawing>
                <wp:inline distT="0" distB="0" distL="114300" distR="114300">
                  <wp:extent cx="321310" cy="342900"/>
                  <wp:effectExtent l="0" t="0" r="2540" b="0"/>
                  <wp:docPr id="56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 name="图片 5"/>
                          <pic:cNvPicPr>
                            <a:picLocks noChangeAspect="1"/>
                          </pic:cNvPicPr>
                        </pic:nvPicPr>
                        <pic:blipFill>
                          <a:blip r:embed="rId22"/>
                          <a:stretch>
                            <a:fillRect/>
                          </a:stretch>
                        </pic:blipFill>
                        <pic:spPr>
                          <a:xfrm>
                            <a:off x="0" y="0"/>
                            <a:ext cx="321310" cy="342900"/>
                          </a:xfrm>
                          <a:prstGeom prst="rect">
                            <a:avLst/>
                          </a:prstGeom>
                          <a:noFill/>
                          <a:ln>
                            <a:noFill/>
                          </a:ln>
                        </pic:spPr>
                      </pic:pic>
                    </a:graphicData>
                  </a:graphic>
                </wp:inline>
              </w:drawing>
            </w:r>
            <w:r>
              <w:rPr>
                <w:rFonts w:hint="default" w:ascii="Times New Roman" w:hAnsi="Times New Roman" w:eastAsia="Times New Roman" w:cs="Times New Roman"/>
                <w:color w:val="auto"/>
                <w:spacing w:val="-4"/>
                <w:sz w:val="21"/>
                <w:szCs w:val="21"/>
              </w:rPr>
              <w:t>)</w:t>
            </w:r>
            <w:r>
              <w:rPr>
                <w:rFonts w:hint="default" w:ascii="Times New Roman" w:hAnsi="Times New Roman" w:eastAsia="Times New Roman" w:cs="Times New Roman"/>
                <w:color w:val="auto"/>
                <w:spacing w:val="-18"/>
                <w:sz w:val="21"/>
                <w:szCs w:val="21"/>
              </w:rPr>
              <w:t xml:space="preserve"> </w:t>
            </w:r>
            <w:r>
              <w:rPr>
                <w:rFonts w:hint="default" w:ascii="Times New Roman" w:hAnsi="Times New Roman" w:eastAsia="微软雅黑" w:cs="Times New Roman"/>
                <w:color w:val="auto"/>
                <w:spacing w:val="-4"/>
                <w:sz w:val="21"/>
                <w:szCs w:val="21"/>
              </w:rPr>
              <w:t>×</w:t>
            </w:r>
            <w:r>
              <w:rPr>
                <w:rFonts w:hint="default" w:ascii="Times New Roman" w:hAnsi="Times New Roman" w:eastAsia="Times New Roman" w:cs="Times New Roman"/>
                <w:color w:val="auto"/>
                <w:spacing w:val="-4"/>
                <w:sz w:val="21"/>
                <w:szCs w:val="21"/>
              </w:rPr>
              <w:t>10</w:t>
            </w:r>
            <w:r>
              <w:rPr>
                <w:rFonts w:hint="default" w:ascii="Times New Roman" w:hAnsi="Times New Roman" w:eastAsia="微软雅黑" w:cs="Times New Roman"/>
                <w:color w:val="auto"/>
                <w:spacing w:val="-4"/>
                <w:position w:val="11"/>
                <w:sz w:val="21"/>
                <w:szCs w:val="21"/>
              </w:rPr>
              <w:t>−</w:t>
            </w:r>
            <w:r>
              <w:rPr>
                <w:rFonts w:hint="default" w:ascii="Times New Roman" w:hAnsi="Times New Roman" w:eastAsia="Times New Roman" w:cs="Times New Roman"/>
                <w:color w:val="auto"/>
                <w:spacing w:val="-4"/>
                <w:position w:val="11"/>
                <w:sz w:val="21"/>
                <w:szCs w:val="21"/>
              </w:rPr>
              <w:t>9</w:t>
            </w:r>
          </w:p>
          <w:p w14:paraId="56FD0394">
            <w:pPr>
              <w:pStyle w:val="205"/>
              <w:keepNext w:val="0"/>
              <w:keepLines w:val="0"/>
              <w:pageBreakBefore w:val="0"/>
              <w:widowControl w:val="0"/>
              <w:kinsoku/>
              <w:wordWrap/>
              <w:overflowPunct/>
              <w:topLinePunct w:val="0"/>
              <w:autoSpaceDE/>
              <w:autoSpaceDN/>
              <w:bidi w:val="0"/>
              <w:adjustRightInd/>
              <w:snapToGrid/>
              <w:spacing w:line="360" w:lineRule="auto"/>
              <w:ind w:left="0" w:firstLine="420" w:firstLineChars="200"/>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000000"/>
                <w:sz w:val="21"/>
                <w:szCs w:val="21"/>
                <w:highlight w:val="none"/>
                <w:lang w:val="en-US" w:eastAsia="zh-CN"/>
              </w:rPr>
              <w:t>式中：</w:t>
            </w:r>
            <w:r>
              <w:rPr>
                <w:rFonts w:hint="default" w:ascii="Times New Roman" w:hAnsi="Times New Roman" w:eastAsia="Times New Roman" w:cs="Times New Roman"/>
                <w:color w:val="auto"/>
                <w:sz w:val="21"/>
                <w:szCs w:val="21"/>
              </w:rPr>
              <w:t>E</w:t>
            </w:r>
            <w:r>
              <w:rPr>
                <w:rFonts w:hint="default" w:ascii="Times New Roman" w:hAnsi="Times New Roman" w:eastAsia="Times New Roman" w:cs="Times New Roman"/>
                <w:color w:val="auto"/>
                <w:position w:val="-1"/>
                <w:sz w:val="21"/>
                <w:szCs w:val="21"/>
              </w:rPr>
              <w:t>NOX</w:t>
            </w:r>
            <w:r>
              <w:rPr>
                <w:rFonts w:hint="default" w:ascii="Times New Roman" w:hAnsi="Times New Roman" w:eastAsia="Times New Roman" w:cs="Times New Roman"/>
                <w:color w:val="auto"/>
                <w:sz w:val="21"/>
                <w:szCs w:val="21"/>
              </w:rPr>
              <w:t>—</w:t>
            </w:r>
            <w:r>
              <w:rPr>
                <w:rFonts w:hint="default" w:ascii="Times New Roman" w:hAnsi="Times New Roman" w:cs="Times New Roman"/>
                <w:color w:val="auto"/>
                <w:sz w:val="21"/>
                <w:szCs w:val="21"/>
              </w:rPr>
              <w:t>核算时段内氮氧化物排放量，</w:t>
            </w:r>
            <w:r>
              <w:rPr>
                <w:rFonts w:hint="default" w:ascii="Times New Roman" w:hAnsi="Times New Roman" w:eastAsia="Times New Roman" w:cs="Times New Roman"/>
                <w:color w:val="auto"/>
                <w:sz w:val="21"/>
                <w:szCs w:val="21"/>
              </w:rPr>
              <w:t>t</w:t>
            </w:r>
            <w:r>
              <w:rPr>
                <w:rFonts w:hint="default" w:ascii="Times New Roman" w:hAnsi="Times New Roman" w:cs="Times New Roman"/>
                <w:color w:val="auto"/>
                <w:sz w:val="21"/>
                <w:szCs w:val="21"/>
              </w:rPr>
              <w:t>；</w:t>
            </w:r>
          </w:p>
          <w:p w14:paraId="69663431">
            <w:pPr>
              <w:pStyle w:val="205"/>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default" w:ascii="Times New Roman" w:hAnsi="Times New Roman" w:cs="Times New Roman"/>
                <w:color w:val="auto"/>
                <w:spacing w:val="-1"/>
                <w:sz w:val="21"/>
                <w:szCs w:val="21"/>
              </w:rPr>
            </w:pPr>
            <w:r>
              <w:rPr>
                <w:rFonts w:hint="default" w:ascii="Times New Roman" w:hAnsi="Times New Roman" w:eastAsia="Times New Roman" w:cs="Times New Roman"/>
                <w:color w:val="auto"/>
                <w:sz w:val="21"/>
                <w:szCs w:val="21"/>
              </w:rPr>
              <w:t>ρ</w:t>
            </w:r>
            <w:r>
              <w:rPr>
                <w:rFonts w:hint="default" w:ascii="Times New Roman" w:hAnsi="Times New Roman" w:eastAsia="Times New Roman" w:cs="Times New Roman"/>
                <w:color w:val="auto"/>
                <w:position w:val="-1"/>
                <w:sz w:val="21"/>
                <w:szCs w:val="21"/>
              </w:rPr>
              <w:t>NOx</w:t>
            </w:r>
            <w:r>
              <w:rPr>
                <w:rFonts w:hint="default" w:ascii="Times New Roman" w:hAnsi="Times New Roman" w:eastAsia="Times New Roman" w:cs="Times New Roman"/>
                <w:color w:val="auto"/>
                <w:sz w:val="21"/>
                <w:szCs w:val="21"/>
              </w:rPr>
              <w:t>—</w:t>
            </w:r>
            <w:r>
              <w:rPr>
                <w:rFonts w:hint="default" w:ascii="Times New Roman" w:hAnsi="Times New Roman" w:cs="Times New Roman"/>
                <w:color w:val="auto"/>
                <w:sz w:val="21"/>
                <w:szCs w:val="21"/>
              </w:rPr>
              <w:t>锅炉炉膛出口氮氧化物质量浓度，</w:t>
            </w:r>
            <w:r>
              <w:rPr>
                <w:rFonts w:hint="default" w:ascii="Times New Roman" w:hAnsi="Times New Roman" w:eastAsia="Times New Roman" w:cs="Times New Roman"/>
                <w:color w:val="auto"/>
                <w:spacing w:val="-1"/>
                <w:sz w:val="21"/>
                <w:szCs w:val="21"/>
              </w:rPr>
              <w:t>mg/m</w:t>
            </w:r>
            <w:r>
              <w:rPr>
                <w:rFonts w:hint="default" w:ascii="Times New Roman" w:hAnsi="Times New Roman" w:eastAsia="Times New Roman" w:cs="Times New Roman"/>
                <w:color w:val="auto"/>
                <w:spacing w:val="-1"/>
                <w:position w:val="6"/>
                <w:sz w:val="21"/>
                <w:szCs w:val="21"/>
              </w:rPr>
              <w:t>3</w:t>
            </w:r>
            <w:r>
              <w:rPr>
                <w:rFonts w:hint="default" w:ascii="Times New Roman" w:hAnsi="Times New Roman" w:eastAsia="Times New Roman" w:cs="Times New Roman"/>
                <w:color w:val="auto"/>
                <w:spacing w:val="-7"/>
                <w:position w:val="6"/>
                <w:sz w:val="21"/>
                <w:szCs w:val="21"/>
              </w:rPr>
              <w:t xml:space="preserve"> </w:t>
            </w:r>
            <w:r>
              <w:rPr>
                <w:rFonts w:hint="default" w:ascii="Times New Roman" w:hAnsi="Times New Roman" w:cs="Times New Roman"/>
                <w:color w:val="auto"/>
                <w:spacing w:val="-1"/>
                <w:sz w:val="21"/>
                <w:szCs w:val="21"/>
              </w:rPr>
              <w:t>；</w:t>
            </w:r>
          </w:p>
          <w:p w14:paraId="377BB182">
            <w:pPr>
              <w:shd w:val="clear" w:color="auto" w:fill="auto"/>
              <w:adjustRightInd w:val="0"/>
              <w:snapToGrid w:val="0"/>
              <w:spacing w:line="360" w:lineRule="auto"/>
              <w:ind w:firstLine="48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根据宝鸡市生态环境局《关于加快推进燃气锅炉低氮燃烧深度改造工作的通知》（宝环函﹝2023﹞647号），有序推进燃气锅炉低氮燃烧深度改造，深度改造后氮氧化物浓度控制在30毫克/立方米内，</w:t>
            </w:r>
            <w:r>
              <w:rPr>
                <w:rFonts w:hint="eastAsia" w:ascii="Times New Roman" w:hAnsi="Times New Roman" w:eastAsia="宋体" w:cs="Times New Roman"/>
                <w:color w:val="000000"/>
                <w:sz w:val="21"/>
                <w:szCs w:val="21"/>
                <w:highlight w:val="none"/>
                <w:lang w:val="en-US" w:eastAsia="zh-CN"/>
              </w:rPr>
              <w:t>本项目限值浓度</w:t>
            </w:r>
            <w:r>
              <w:rPr>
                <w:rFonts w:hint="default" w:ascii="Times New Roman" w:hAnsi="Times New Roman" w:eastAsia="宋体" w:cs="Times New Roman"/>
                <w:color w:val="000000"/>
                <w:sz w:val="21"/>
                <w:szCs w:val="21"/>
                <w:highlight w:val="none"/>
                <w:lang w:val="en-US" w:eastAsia="zh-CN"/>
              </w:rPr>
              <w:t>NOx</w:t>
            </w:r>
            <w:r>
              <w:rPr>
                <w:rFonts w:hint="eastAsia" w:ascii="Times New Roman" w:hAnsi="Times New Roman" w:eastAsia="宋体" w:cs="Times New Roman"/>
                <w:color w:val="000000"/>
                <w:sz w:val="21"/>
                <w:szCs w:val="21"/>
                <w:highlight w:val="none"/>
                <w:lang w:val="en-US" w:eastAsia="zh-CN"/>
              </w:rPr>
              <w:t>为</w:t>
            </w:r>
            <w:r>
              <w:rPr>
                <w:rFonts w:hint="default" w:ascii="Times New Roman" w:hAnsi="Times New Roman" w:eastAsia="宋体" w:cs="Times New Roman"/>
                <w:color w:val="000000"/>
                <w:sz w:val="21"/>
                <w:szCs w:val="21"/>
                <w:highlight w:val="none"/>
                <w:lang w:val="en-US" w:eastAsia="zh-CN"/>
              </w:rPr>
              <w:t>30mg/m</w:t>
            </w:r>
            <w:r>
              <w:rPr>
                <w:rFonts w:hint="default" w:ascii="Times New Roman" w:hAnsi="Times New Roman" w:eastAsia="宋体" w:cs="Times New Roman"/>
                <w:color w:val="000000"/>
                <w:sz w:val="21"/>
                <w:szCs w:val="21"/>
                <w:highlight w:val="none"/>
                <w:vertAlign w:val="superscript"/>
                <w:lang w:val="en-US" w:eastAsia="zh-CN"/>
              </w:rPr>
              <w:t>3</w:t>
            </w:r>
            <w:r>
              <w:rPr>
                <w:rFonts w:hint="default" w:ascii="Times New Roman" w:hAnsi="Times New Roman" w:eastAsia="宋体" w:cs="Times New Roman"/>
                <w:color w:val="000000"/>
                <w:sz w:val="21"/>
                <w:szCs w:val="21"/>
                <w:highlight w:val="none"/>
                <w:lang w:val="en-US" w:eastAsia="zh-CN"/>
              </w:rPr>
              <w:t>。</w:t>
            </w:r>
          </w:p>
          <w:p w14:paraId="3408D140">
            <w:pPr>
              <w:shd w:val="clear" w:color="auto" w:fill="auto"/>
              <w:adjustRightInd w:val="0"/>
              <w:snapToGrid w:val="0"/>
              <w:spacing w:line="360" w:lineRule="auto"/>
              <w:ind w:firstLine="48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Q—核算时段内</w:t>
            </w:r>
            <w:r>
              <w:rPr>
                <w:rFonts w:hint="eastAsia" w:cs="Times New Roman"/>
                <w:color w:val="000000"/>
                <w:sz w:val="21"/>
                <w:szCs w:val="21"/>
                <w:highlight w:val="none"/>
                <w:lang w:val="en-US" w:eastAsia="zh-CN"/>
              </w:rPr>
              <w:t>标准态</w:t>
            </w:r>
            <w:r>
              <w:rPr>
                <w:rFonts w:hint="default" w:ascii="Times New Roman" w:hAnsi="Times New Roman" w:eastAsia="宋体" w:cs="Times New Roman"/>
                <w:color w:val="000000"/>
                <w:sz w:val="21"/>
                <w:szCs w:val="21"/>
                <w:highlight w:val="none"/>
                <w:lang w:val="en-US" w:eastAsia="zh-CN"/>
              </w:rPr>
              <w:t>干烟气排放量，m</w:t>
            </w:r>
            <w:r>
              <w:rPr>
                <w:rFonts w:hint="default" w:ascii="Times New Roman" w:hAnsi="Times New Roman" w:eastAsia="宋体" w:cs="Times New Roman"/>
                <w:color w:val="000000"/>
                <w:sz w:val="21"/>
                <w:szCs w:val="21"/>
                <w:highlight w:val="none"/>
                <w:vertAlign w:val="superscript"/>
                <w:lang w:val="en-US" w:eastAsia="zh-CN"/>
              </w:rPr>
              <w:t>3</w:t>
            </w:r>
            <w:r>
              <w:rPr>
                <w:rFonts w:hint="default" w:ascii="Times New Roman" w:hAnsi="Times New Roman" w:eastAsia="宋体" w:cs="Times New Roman"/>
                <w:color w:val="000000"/>
                <w:sz w:val="21"/>
                <w:szCs w:val="21"/>
                <w:highlight w:val="none"/>
                <w:lang w:val="en-US" w:eastAsia="zh-CN"/>
              </w:rPr>
              <w:t>，取值2733.48×104Nm</w:t>
            </w:r>
            <w:r>
              <w:rPr>
                <w:rFonts w:hint="default" w:ascii="Times New Roman" w:hAnsi="Times New Roman" w:eastAsia="宋体" w:cs="Times New Roman"/>
                <w:color w:val="000000"/>
                <w:sz w:val="21"/>
                <w:szCs w:val="21"/>
                <w:highlight w:val="none"/>
                <w:vertAlign w:val="superscript"/>
                <w:lang w:val="en-US" w:eastAsia="zh-CN"/>
              </w:rPr>
              <w:t>3</w:t>
            </w:r>
            <w:r>
              <w:rPr>
                <w:rFonts w:hint="default" w:ascii="Times New Roman" w:hAnsi="Times New Roman" w:eastAsia="宋体" w:cs="Times New Roman"/>
                <w:color w:val="000000"/>
                <w:sz w:val="21"/>
                <w:szCs w:val="21"/>
                <w:highlight w:val="none"/>
                <w:lang w:val="en-US" w:eastAsia="zh-CN"/>
              </w:rPr>
              <w:t>/a。</w:t>
            </w:r>
          </w:p>
          <w:p w14:paraId="16C81874">
            <w:pPr>
              <w:shd w:val="clear" w:color="auto" w:fill="auto"/>
              <w:adjustRightInd w:val="0"/>
              <w:snapToGrid w:val="0"/>
              <w:spacing w:line="360" w:lineRule="auto"/>
              <w:ind w:firstLine="48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ηNOx—脱硝效率，%；本次扩建项目锅炉配置的低氮燃烧器属于源头控制措施，脱硝效率为0%。</w:t>
            </w:r>
          </w:p>
          <w:p w14:paraId="3A409AF2">
            <w:pPr>
              <w:shd w:val="clear" w:color="auto" w:fill="auto"/>
              <w:adjustRightInd w:val="0"/>
              <w:snapToGrid w:val="0"/>
              <w:spacing w:line="360" w:lineRule="auto"/>
              <w:ind w:firstLine="48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根据以上计算公式可知，项目锅炉NO</w:t>
            </w:r>
            <w:r>
              <w:rPr>
                <w:rFonts w:hint="default" w:ascii="Times New Roman" w:hAnsi="Times New Roman" w:eastAsia="宋体" w:cs="Times New Roman"/>
                <w:color w:val="000000"/>
                <w:sz w:val="21"/>
                <w:szCs w:val="21"/>
                <w:highlight w:val="none"/>
                <w:vertAlign w:val="subscript"/>
                <w:lang w:val="en-US" w:eastAsia="zh-CN"/>
              </w:rPr>
              <w:t>X</w:t>
            </w:r>
            <w:r>
              <w:rPr>
                <w:rFonts w:hint="default" w:ascii="Times New Roman" w:hAnsi="Times New Roman" w:eastAsia="宋体" w:cs="Times New Roman"/>
                <w:color w:val="000000"/>
                <w:sz w:val="21"/>
                <w:szCs w:val="21"/>
                <w:highlight w:val="none"/>
                <w:lang w:val="en-US" w:eastAsia="zh-CN"/>
              </w:rPr>
              <w:t>物排放量为</w:t>
            </w:r>
            <w:r>
              <w:rPr>
                <w:rFonts w:hint="eastAsia" w:ascii="Times New Roman" w:hAnsi="Times New Roman" w:eastAsia="宋体" w:cs="Times New Roman"/>
                <w:color w:val="000000"/>
                <w:sz w:val="21"/>
                <w:szCs w:val="21"/>
                <w:highlight w:val="none"/>
                <w:lang w:val="en-US" w:eastAsia="zh-CN"/>
              </w:rPr>
              <w:t>0.102</w:t>
            </w:r>
            <w:r>
              <w:rPr>
                <w:rFonts w:hint="default" w:ascii="Times New Roman" w:hAnsi="Times New Roman" w:eastAsia="宋体" w:cs="Times New Roman"/>
                <w:color w:val="000000"/>
                <w:sz w:val="21"/>
                <w:szCs w:val="21"/>
                <w:highlight w:val="none"/>
                <w:lang w:val="en-US" w:eastAsia="zh-CN"/>
              </w:rPr>
              <w:t>t/a。</w:t>
            </w:r>
            <w:bookmarkEnd w:id="27"/>
          </w:p>
          <w:p w14:paraId="10387C28">
            <w:pPr>
              <w:shd w:val="clear" w:color="auto" w:fill="auto"/>
              <w:bidi w:val="0"/>
              <w:spacing w:line="360" w:lineRule="auto"/>
              <w:ind w:firstLine="420" w:firstLineChars="200"/>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cs="Times New Roman"/>
                <w:b w:val="0"/>
                <w:bCs w:val="0"/>
                <w:color w:val="000000"/>
                <w:kern w:val="2"/>
                <w:sz w:val="21"/>
                <w:szCs w:val="21"/>
                <w:highlight w:val="none"/>
                <w:lang w:val="en-US" w:eastAsia="zh-CN" w:bidi="ar-SA"/>
              </w:rPr>
              <w:t>（4）</w:t>
            </w:r>
            <w:r>
              <w:rPr>
                <w:rFonts w:hint="default" w:ascii="Times New Roman" w:hAnsi="Times New Roman" w:eastAsia="宋体" w:cs="Times New Roman"/>
                <w:b w:val="0"/>
                <w:bCs w:val="0"/>
                <w:color w:val="000000"/>
                <w:kern w:val="2"/>
                <w:sz w:val="21"/>
                <w:szCs w:val="21"/>
                <w:highlight w:val="none"/>
                <w:lang w:val="en-US" w:eastAsia="zh-CN" w:bidi="ar-SA"/>
              </w:rPr>
              <w:t>酒糟</w:t>
            </w:r>
            <w:r>
              <w:rPr>
                <w:rFonts w:hint="eastAsia" w:ascii="Times New Roman" w:hAnsi="Times New Roman" w:eastAsia="宋体" w:cs="Times New Roman"/>
                <w:b w:val="0"/>
                <w:bCs w:val="0"/>
                <w:color w:val="000000"/>
                <w:kern w:val="2"/>
                <w:sz w:val="21"/>
                <w:szCs w:val="21"/>
                <w:highlight w:val="none"/>
                <w:lang w:val="en-US" w:eastAsia="zh-CN" w:bidi="ar-SA"/>
              </w:rPr>
              <w:t>、滤渣堆场的臭气</w:t>
            </w:r>
          </w:p>
          <w:p w14:paraId="3C335D10">
            <w:pPr>
              <w:shd w:val="clear" w:color="auto" w:fill="auto"/>
              <w:bidi w:val="0"/>
              <w:spacing w:line="360" w:lineRule="auto"/>
              <w:ind w:firstLine="420" w:firstLineChars="200"/>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本项目</w:t>
            </w:r>
            <w:r>
              <w:rPr>
                <w:rFonts w:hint="default" w:ascii="Times New Roman" w:hAnsi="Times New Roman" w:eastAsia="宋体" w:cs="Times New Roman"/>
                <w:b w:val="0"/>
                <w:bCs w:val="0"/>
                <w:color w:val="000000"/>
                <w:kern w:val="2"/>
                <w:sz w:val="21"/>
                <w:szCs w:val="21"/>
                <w:highlight w:val="none"/>
                <w:lang w:val="en-US" w:eastAsia="zh-CN" w:bidi="ar-SA"/>
              </w:rPr>
              <w:t>酒糟来源于制酒车间，白酒原料经多次蒸酒后酒醅不再回用即产生酒糟，其主要成分包括稻壳、粮食纤维、少量淀粉、糖、蛋白质及发酵微生物细胞等可作为饲料添加剂。本项目产生的鲜酒糟位于车间内，采取防雨、防渗措施，综合利用，做到“日产日清”。酒糟外运采用封闭运输和防渗处理，防止运输过程中酒糟散落。建设单位在特殊情况</w:t>
            </w:r>
            <w:r>
              <w:rPr>
                <w:rFonts w:hint="eastAsia" w:cs="Times New Roman"/>
                <w:b w:val="0"/>
                <w:bCs w:val="0"/>
                <w:color w:val="000000"/>
                <w:kern w:val="2"/>
                <w:sz w:val="21"/>
                <w:szCs w:val="21"/>
                <w:highlight w:val="none"/>
                <w:lang w:val="en-US" w:eastAsia="zh-CN" w:bidi="ar-SA"/>
              </w:rPr>
              <w:t>（</w:t>
            </w:r>
            <w:r>
              <w:rPr>
                <w:rFonts w:hint="default" w:ascii="Times New Roman" w:hAnsi="Times New Roman" w:eastAsia="宋体" w:cs="Times New Roman"/>
                <w:b w:val="0"/>
                <w:bCs w:val="0"/>
                <w:color w:val="000000"/>
                <w:kern w:val="2"/>
                <w:sz w:val="21"/>
                <w:szCs w:val="21"/>
                <w:highlight w:val="none"/>
                <w:lang w:val="en-US" w:eastAsia="zh-CN" w:bidi="ar-SA"/>
              </w:rPr>
              <w:t>未能做到酒糟日产日清</w:t>
            </w:r>
            <w:r>
              <w:rPr>
                <w:rFonts w:hint="eastAsia" w:cs="Times New Roman"/>
                <w:b w:val="0"/>
                <w:bCs w:val="0"/>
                <w:color w:val="000000"/>
                <w:kern w:val="2"/>
                <w:sz w:val="21"/>
                <w:szCs w:val="21"/>
                <w:highlight w:val="none"/>
                <w:lang w:val="en-US" w:eastAsia="zh-CN" w:bidi="ar-SA"/>
              </w:rPr>
              <w:t>）</w:t>
            </w:r>
            <w:r>
              <w:rPr>
                <w:rFonts w:hint="default" w:ascii="Times New Roman" w:hAnsi="Times New Roman" w:eastAsia="宋体" w:cs="Times New Roman"/>
                <w:b w:val="0"/>
                <w:bCs w:val="0"/>
                <w:color w:val="000000"/>
                <w:kern w:val="2"/>
                <w:sz w:val="21"/>
                <w:szCs w:val="21"/>
                <w:highlight w:val="none"/>
                <w:lang w:val="en-US" w:eastAsia="zh-CN" w:bidi="ar-SA"/>
              </w:rPr>
              <w:t>时，应将</w:t>
            </w:r>
            <w:r>
              <w:rPr>
                <w:rFonts w:hint="eastAsia" w:ascii="Times New Roman" w:hAnsi="Times New Roman" w:eastAsia="宋体" w:cs="Times New Roman"/>
                <w:b w:val="0"/>
                <w:bCs w:val="0"/>
                <w:color w:val="000000"/>
                <w:kern w:val="2"/>
                <w:sz w:val="21"/>
                <w:szCs w:val="21"/>
                <w:highlight w:val="none"/>
                <w:lang w:val="en-US" w:eastAsia="zh-CN" w:bidi="ar-SA"/>
              </w:rPr>
              <w:t>酒糟</w:t>
            </w:r>
            <w:r>
              <w:rPr>
                <w:rFonts w:hint="default" w:ascii="Times New Roman" w:hAnsi="Times New Roman" w:eastAsia="宋体" w:cs="Times New Roman"/>
                <w:b w:val="0"/>
                <w:bCs w:val="0"/>
                <w:color w:val="000000"/>
                <w:kern w:val="2"/>
                <w:sz w:val="21"/>
                <w:szCs w:val="21"/>
                <w:highlight w:val="none"/>
                <w:lang w:val="en-US" w:eastAsia="zh-CN" w:bidi="ar-SA"/>
              </w:rPr>
              <w:t>送往临时贮存场，酒糟临时贮存场采取棚式结构，并对暂存的酒糟加以覆盖，地坪硬化，四周设置</w:t>
            </w:r>
            <w:r>
              <w:rPr>
                <w:rFonts w:hint="eastAsia" w:ascii="Times New Roman" w:hAnsi="Times New Roman" w:eastAsia="宋体" w:cs="Times New Roman"/>
                <w:b w:val="0"/>
                <w:bCs w:val="0"/>
                <w:color w:val="000000"/>
                <w:kern w:val="2"/>
                <w:sz w:val="21"/>
                <w:szCs w:val="21"/>
                <w:highlight w:val="none"/>
                <w:lang w:val="en-US" w:eastAsia="zh-CN" w:bidi="ar-SA"/>
              </w:rPr>
              <w:t>导流槽</w:t>
            </w:r>
            <w:r>
              <w:rPr>
                <w:rFonts w:hint="default" w:ascii="Times New Roman" w:hAnsi="Times New Roman" w:eastAsia="宋体" w:cs="Times New Roman"/>
                <w:b w:val="0"/>
                <w:bCs w:val="0"/>
                <w:color w:val="000000"/>
                <w:kern w:val="2"/>
                <w:sz w:val="21"/>
                <w:szCs w:val="21"/>
                <w:highlight w:val="none"/>
                <w:lang w:val="en-US" w:eastAsia="zh-CN" w:bidi="ar-SA"/>
              </w:rPr>
              <w:t>，将废糟液收集后送至</w:t>
            </w:r>
            <w:r>
              <w:rPr>
                <w:rFonts w:hint="eastAsia" w:ascii="Times New Roman" w:hAnsi="Times New Roman" w:eastAsia="宋体" w:cs="Times New Roman"/>
                <w:b w:val="0"/>
                <w:bCs w:val="0"/>
                <w:color w:val="000000"/>
                <w:kern w:val="2"/>
                <w:sz w:val="21"/>
                <w:szCs w:val="21"/>
                <w:highlight w:val="none"/>
                <w:lang w:val="en-US" w:eastAsia="zh-CN" w:bidi="ar-SA"/>
              </w:rPr>
              <w:t>污水处理站处理</w:t>
            </w:r>
            <w:r>
              <w:rPr>
                <w:rFonts w:hint="default" w:ascii="Times New Roman" w:hAnsi="Times New Roman" w:eastAsia="宋体" w:cs="Times New Roman"/>
                <w:b w:val="0"/>
                <w:bCs w:val="0"/>
                <w:color w:val="000000"/>
                <w:kern w:val="2"/>
                <w:sz w:val="21"/>
                <w:szCs w:val="21"/>
                <w:highlight w:val="none"/>
                <w:lang w:val="en-US" w:eastAsia="zh-CN" w:bidi="ar-SA"/>
              </w:rPr>
              <w:t>。项目酒糟仅在特殊情况下堆放于临时贮存场，存放频次不高，存放量少，对周围环境影响小</w:t>
            </w:r>
            <w:r>
              <w:rPr>
                <w:rFonts w:hint="eastAsia" w:ascii="Times New Roman" w:hAnsi="Times New Roman" w:eastAsia="宋体" w:cs="Times New Roman"/>
                <w:b w:val="0"/>
                <w:bCs w:val="0"/>
                <w:color w:val="000000"/>
                <w:kern w:val="2"/>
                <w:sz w:val="21"/>
                <w:szCs w:val="21"/>
                <w:highlight w:val="none"/>
                <w:lang w:val="en-US" w:eastAsia="zh-CN" w:bidi="ar-SA"/>
              </w:rPr>
              <w:t>，因此对</w:t>
            </w:r>
            <w:r>
              <w:rPr>
                <w:rFonts w:hint="default" w:ascii="Times New Roman" w:hAnsi="Times New Roman" w:eastAsia="宋体" w:cs="Times New Roman"/>
                <w:b w:val="0"/>
                <w:bCs w:val="0"/>
                <w:color w:val="000000"/>
                <w:kern w:val="2"/>
                <w:sz w:val="21"/>
                <w:szCs w:val="21"/>
                <w:highlight w:val="none"/>
                <w:lang w:val="en-US" w:eastAsia="zh-CN" w:bidi="ar-SA"/>
              </w:rPr>
              <w:t>酒糟</w:t>
            </w:r>
            <w:r>
              <w:rPr>
                <w:rFonts w:hint="eastAsia" w:ascii="Times New Roman" w:hAnsi="Times New Roman" w:eastAsia="宋体" w:cs="Times New Roman"/>
                <w:b w:val="0"/>
                <w:bCs w:val="0"/>
                <w:color w:val="000000"/>
                <w:kern w:val="2"/>
                <w:sz w:val="21"/>
                <w:szCs w:val="21"/>
                <w:highlight w:val="none"/>
                <w:lang w:val="en-US" w:eastAsia="zh-CN" w:bidi="ar-SA"/>
              </w:rPr>
              <w:t>堆场的臭气仅进行定性分析。</w:t>
            </w:r>
          </w:p>
          <w:p w14:paraId="1D7E8CDA">
            <w:pPr>
              <w:shd w:val="clear" w:color="auto" w:fill="auto"/>
              <w:spacing w:line="360" w:lineRule="auto"/>
              <w:ind w:firstLine="480"/>
              <w:rPr>
                <w:color w:val="000000"/>
                <w:highlight w:val="none"/>
              </w:rPr>
            </w:pPr>
            <w:r>
              <w:rPr>
                <w:rFonts w:hint="eastAsia" w:ascii="Times New Roman" w:hAnsi="Times New Roman" w:eastAsia="宋体" w:cs="Times New Roman"/>
                <w:b w:val="0"/>
                <w:bCs w:val="0"/>
                <w:color w:val="000000"/>
                <w:kern w:val="2"/>
                <w:sz w:val="21"/>
                <w:szCs w:val="21"/>
                <w:highlight w:val="none"/>
                <w:lang w:val="en-US" w:eastAsia="zh-CN" w:bidi="ar-SA"/>
              </w:rPr>
              <w:t>根据《排污许可证申请与核发技术规范 酒、饮料制造工业》（HJ1028-2019）中污染防治可行技术，无组织废气中要求“堆放的酒糟、果蔬渣、沼渣等应进行覆盖，及时清理堆场、道路上抛洒的酒糟、果蔬渣、沼渣等”，</w:t>
            </w:r>
            <w:r>
              <w:rPr>
                <w:rFonts w:hint="default" w:ascii="Times New Roman" w:hAnsi="Times New Roman" w:eastAsia="宋体" w:cs="Times New Roman"/>
                <w:b w:val="0"/>
                <w:bCs w:val="0"/>
                <w:color w:val="000000"/>
                <w:kern w:val="2"/>
                <w:sz w:val="21"/>
                <w:szCs w:val="21"/>
                <w:highlight w:val="none"/>
                <w:lang w:val="en-US" w:eastAsia="zh-CN" w:bidi="ar-SA"/>
              </w:rPr>
              <w:t>为减轻酒糟恶臭气体的产生强度及影响，项目要求酒糟产出后及时运出</w:t>
            </w:r>
            <w:r>
              <w:rPr>
                <w:rFonts w:hint="eastAsia" w:ascii="Times New Roman" w:hAnsi="Times New Roman" w:eastAsia="宋体" w:cs="Times New Roman"/>
                <w:b w:val="0"/>
                <w:bCs w:val="0"/>
                <w:color w:val="000000"/>
                <w:kern w:val="2"/>
                <w:sz w:val="21"/>
                <w:szCs w:val="21"/>
                <w:highlight w:val="none"/>
                <w:lang w:val="en-US" w:eastAsia="zh-CN" w:bidi="ar-SA"/>
              </w:rPr>
              <w:t>，并对暂存的酒糟加以覆盖，满足其要求</w:t>
            </w:r>
            <w:r>
              <w:rPr>
                <w:rFonts w:hint="default" w:ascii="Times New Roman" w:hAnsi="Times New Roman" w:eastAsia="宋体" w:cs="Times New Roman"/>
                <w:b w:val="0"/>
                <w:bCs w:val="0"/>
                <w:color w:val="000000"/>
                <w:kern w:val="2"/>
                <w:sz w:val="21"/>
                <w:szCs w:val="21"/>
                <w:highlight w:val="none"/>
                <w:lang w:val="en-US" w:eastAsia="zh-CN" w:bidi="ar-SA"/>
              </w:rPr>
              <w:t>。通过以上措施进行处理后，项目酒糟无组织排放的臭气浓度在厂界可以达到</w:t>
            </w:r>
            <w:r>
              <w:rPr>
                <w:rFonts w:hint="eastAsia" w:ascii="Times New Roman" w:hAnsi="Times New Roman" w:eastAsia="宋体" w:cs="Times New Roman"/>
                <w:color w:val="000000"/>
                <w:kern w:val="2"/>
                <w:sz w:val="21"/>
                <w:szCs w:val="21"/>
                <w:highlight w:val="none"/>
                <w:lang w:val="en-US" w:eastAsia="zh-CN" w:bidi="ar-SA"/>
              </w:rPr>
              <w:t>《恶臭污染物排放标准》（GB14554-93）表1新扩改建二级标准限值</w:t>
            </w:r>
            <w:r>
              <w:rPr>
                <w:rFonts w:hint="default" w:ascii="Times New Roman" w:hAnsi="Times New Roman" w:eastAsia="宋体" w:cs="Times New Roman"/>
                <w:b w:val="0"/>
                <w:bCs w:val="0"/>
                <w:color w:val="000000"/>
                <w:kern w:val="2"/>
                <w:sz w:val="21"/>
                <w:szCs w:val="21"/>
                <w:highlight w:val="none"/>
                <w:lang w:val="en-US" w:eastAsia="zh-CN" w:bidi="ar-SA"/>
              </w:rPr>
              <w:t>。可有效减轻酒糟产生的恶臭气体的影响</w:t>
            </w:r>
            <w:r>
              <w:rPr>
                <w:rFonts w:hint="eastAsia" w:ascii="Times New Roman" w:hAnsi="Times New Roman" w:eastAsia="宋体" w:cs="Times New Roman"/>
                <w:b w:val="0"/>
                <w:bCs w:val="0"/>
                <w:color w:val="000000"/>
                <w:kern w:val="2"/>
                <w:sz w:val="21"/>
                <w:szCs w:val="21"/>
                <w:highlight w:val="none"/>
                <w:lang w:val="en-US" w:eastAsia="zh-CN" w:bidi="ar-SA"/>
              </w:rPr>
              <w:t>。</w:t>
            </w:r>
          </w:p>
          <w:p w14:paraId="787748A4">
            <w:pPr>
              <w:shd w:val="clear" w:color="auto" w:fill="auto"/>
              <w:bidi w:val="0"/>
              <w:spacing w:line="360" w:lineRule="auto"/>
              <w:ind w:firstLine="420" w:firstLineChars="200"/>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w:t>
            </w:r>
            <w:r>
              <w:rPr>
                <w:rFonts w:hint="eastAsia" w:ascii="Times New Roman" w:hAnsi="Times New Roman" w:eastAsia="宋体" w:cs="Times New Roman"/>
                <w:b w:val="0"/>
                <w:bCs w:val="0"/>
                <w:color w:val="000000"/>
                <w:kern w:val="2"/>
                <w:sz w:val="21"/>
                <w:szCs w:val="21"/>
                <w:highlight w:val="none"/>
                <w:lang w:val="en-US" w:eastAsia="zh-CN" w:bidi="ar-SA"/>
              </w:rPr>
              <w:t>5</w:t>
            </w:r>
            <w:r>
              <w:rPr>
                <w:rFonts w:hint="default" w:ascii="Times New Roman" w:hAnsi="Times New Roman" w:eastAsia="宋体" w:cs="Times New Roman"/>
                <w:b w:val="0"/>
                <w:bCs w:val="0"/>
                <w:color w:val="000000"/>
                <w:kern w:val="2"/>
                <w:sz w:val="21"/>
                <w:szCs w:val="21"/>
                <w:highlight w:val="none"/>
                <w:lang w:val="en-US" w:eastAsia="zh-CN" w:bidi="ar-SA"/>
              </w:rPr>
              <w:t>）污水处理站废气</w:t>
            </w:r>
          </w:p>
          <w:p w14:paraId="38205C79">
            <w:pPr>
              <w:shd w:val="clear" w:color="auto" w:fill="auto"/>
              <w:spacing w:line="360" w:lineRule="auto"/>
              <w:ind w:firstLine="420" w:firstLineChars="200"/>
              <w:rPr>
                <w:rFonts w:hint="eastAsia"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产生的废气主要为恶臭，恶臭</w:t>
            </w:r>
            <w:r>
              <w:rPr>
                <w:rFonts w:hint="eastAsia" w:ascii="Times New Roman" w:hAnsi="Times New Roman" w:eastAsia="宋体" w:cs="Times New Roman"/>
                <w:b w:val="0"/>
                <w:bCs w:val="0"/>
                <w:color w:val="000000"/>
                <w:kern w:val="2"/>
                <w:sz w:val="21"/>
                <w:szCs w:val="21"/>
                <w:highlight w:val="none"/>
                <w:lang w:val="en-US" w:eastAsia="zh-CN" w:bidi="ar-SA"/>
              </w:rPr>
              <w:t>的</w:t>
            </w:r>
            <w:r>
              <w:rPr>
                <w:rFonts w:hint="default" w:ascii="Times New Roman" w:hAnsi="Times New Roman" w:eastAsia="宋体" w:cs="Times New Roman"/>
                <w:b w:val="0"/>
                <w:bCs w:val="0"/>
                <w:color w:val="000000"/>
                <w:kern w:val="2"/>
                <w:sz w:val="21"/>
                <w:szCs w:val="21"/>
                <w:highlight w:val="none"/>
                <w:lang w:val="en-US" w:eastAsia="zh-CN" w:bidi="ar-SA"/>
              </w:rPr>
              <w:t>主要</w:t>
            </w:r>
            <w:r>
              <w:rPr>
                <w:rFonts w:hint="default" w:ascii="Times New Roman" w:hAnsi="Times New Roman" w:eastAsia="宋体" w:cs="Times New Roman"/>
                <w:color w:val="000000"/>
                <w:kern w:val="2"/>
                <w:sz w:val="21"/>
                <w:szCs w:val="21"/>
                <w:highlight w:val="none"/>
                <w:lang w:val="en-US" w:eastAsia="zh-CN" w:bidi="ar-SA"/>
              </w:rPr>
              <w:t>成分为NH</w:t>
            </w:r>
            <w:r>
              <w:rPr>
                <w:rFonts w:hint="default" w:ascii="Times New Roman" w:hAnsi="Times New Roman" w:eastAsia="宋体" w:cs="Times New Roman"/>
                <w:color w:val="000000"/>
                <w:kern w:val="2"/>
                <w:sz w:val="21"/>
                <w:szCs w:val="21"/>
                <w:highlight w:val="none"/>
                <w:vertAlign w:val="subscript"/>
                <w:lang w:val="en-US" w:eastAsia="zh-CN" w:bidi="ar-SA"/>
              </w:rPr>
              <w:t>3</w:t>
            </w:r>
            <w:r>
              <w:rPr>
                <w:rFonts w:hint="default" w:ascii="Times New Roman" w:hAnsi="Times New Roman" w:eastAsia="宋体" w:cs="Times New Roman"/>
                <w:color w:val="000000"/>
                <w:kern w:val="2"/>
                <w:sz w:val="21"/>
                <w:szCs w:val="21"/>
                <w:highlight w:val="none"/>
                <w:lang w:val="en-US" w:eastAsia="zh-CN" w:bidi="ar-SA"/>
              </w:rPr>
              <w:t>、H</w:t>
            </w:r>
            <w:r>
              <w:rPr>
                <w:rFonts w:hint="default" w:ascii="Times New Roman" w:hAnsi="Times New Roman" w:eastAsia="宋体" w:cs="Times New Roman"/>
                <w:color w:val="000000"/>
                <w:kern w:val="2"/>
                <w:sz w:val="21"/>
                <w:szCs w:val="21"/>
                <w:highlight w:val="none"/>
                <w:vertAlign w:val="subscript"/>
                <w:lang w:val="en-US" w:eastAsia="zh-CN" w:bidi="ar-SA"/>
              </w:rPr>
              <w:t>2</w:t>
            </w:r>
            <w:r>
              <w:rPr>
                <w:rFonts w:hint="default" w:ascii="Times New Roman" w:hAnsi="Times New Roman" w:eastAsia="宋体" w:cs="Times New Roman"/>
                <w:color w:val="000000"/>
                <w:kern w:val="2"/>
                <w:sz w:val="21"/>
                <w:szCs w:val="21"/>
                <w:highlight w:val="none"/>
                <w:lang w:val="en-US" w:eastAsia="zh-CN" w:bidi="ar-SA"/>
              </w:rPr>
              <w:t>S等。由于恶臭物质的逸出和扩散机理比较复杂，废气源强难于计算，结合本项目实际情况确定污水处理站废气产生及排放情况，参照有关研究，每处理1g的BOD</w:t>
            </w:r>
            <w:r>
              <w:rPr>
                <w:rFonts w:hint="default" w:ascii="Times New Roman" w:hAnsi="Times New Roman" w:eastAsia="宋体" w:cs="Times New Roman"/>
                <w:color w:val="000000"/>
                <w:kern w:val="2"/>
                <w:sz w:val="21"/>
                <w:szCs w:val="21"/>
                <w:highlight w:val="none"/>
                <w:vertAlign w:val="subscript"/>
                <w:lang w:val="en-US" w:eastAsia="zh-CN" w:bidi="ar-SA"/>
              </w:rPr>
              <w:t>5</w:t>
            </w:r>
            <w:r>
              <w:rPr>
                <w:rFonts w:hint="default" w:ascii="Times New Roman" w:hAnsi="Times New Roman" w:eastAsia="宋体" w:cs="Times New Roman"/>
                <w:color w:val="000000"/>
                <w:kern w:val="2"/>
                <w:sz w:val="21"/>
                <w:szCs w:val="21"/>
                <w:highlight w:val="none"/>
                <w:lang w:val="en-US" w:eastAsia="zh-CN" w:bidi="ar-SA"/>
              </w:rPr>
              <w:t>可产生0.0031g的NH</w:t>
            </w:r>
            <w:r>
              <w:rPr>
                <w:rFonts w:hint="default" w:ascii="Times New Roman" w:hAnsi="Times New Roman" w:eastAsia="宋体" w:cs="Times New Roman"/>
                <w:color w:val="000000"/>
                <w:kern w:val="2"/>
                <w:sz w:val="21"/>
                <w:szCs w:val="21"/>
                <w:highlight w:val="none"/>
                <w:vertAlign w:val="subscript"/>
                <w:lang w:val="en-US" w:eastAsia="zh-CN" w:bidi="ar-SA"/>
              </w:rPr>
              <w:t>3</w:t>
            </w:r>
            <w:r>
              <w:rPr>
                <w:rFonts w:hint="default" w:ascii="Times New Roman" w:hAnsi="Times New Roman" w:eastAsia="宋体" w:cs="Times New Roman"/>
                <w:color w:val="000000"/>
                <w:kern w:val="2"/>
                <w:sz w:val="21"/>
                <w:szCs w:val="21"/>
                <w:highlight w:val="none"/>
                <w:lang w:val="en-US" w:eastAsia="zh-CN" w:bidi="ar-SA"/>
              </w:rPr>
              <w:t>和0.00012g的H</w:t>
            </w:r>
            <w:r>
              <w:rPr>
                <w:rFonts w:hint="default" w:ascii="Times New Roman" w:hAnsi="Times New Roman" w:eastAsia="宋体" w:cs="Times New Roman"/>
                <w:color w:val="000000"/>
                <w:kern w:val="2"/>
                <w:sz w:val="21"/>
                <w:szCs w:val="21"/>
                <w:highlight w:val="none"/>
                <w:vertAlign w:val="subscript"/>
                <w:lang w:val="en-US" w:eastAsia="zh-CN" w:bidi="ar-SA"/>
              </w:rPr>
              <w:t>2</w:t>
            </w:r>
            <w:r>
              <w:rPr>
                <w:rFonts w:hint="default" w:ascii="Times New Roman" w:hAnsi="Times New Roman" w:eastAsia="宋体" w:cs="Times New Roman"/>
                <w:color w:val="000000"/>
                <w:kern w:val="2"/>
                <w:sz w:val="21"/>
                <w:szCs w:val="21"/>
                <w:highlight w:val="none"/>
                <w:lang w:val="en-US" w:eastAsia="zh-CN" w:bidi="ar-SA"/>
              </w:rPr>
              <w:t>S。本项目BOD</w:t>
            </w:r>
            <w:r>
              <w:rPr>
                <w:rFonts w:hint="default" w:ascii="Times New Roman" w:hAnsi="Times New Roman" w:eastAsia="宋体" w:cs="Times New Roman"/>
                <w:color w:val="000000"/>
                <w:kern w:val="2"/>
                <w:sz w:val="21"/>
                <w:szCs w:val="21"/>
                <w:highlight w:val="none"/>
                <w:vertAlign w:val="subscript"/>
                <w:lang w:val="en-US" w:eastAsia="zh-CN" w:bidi="ar-SA"/>
              </w:rPr>
              <w:t>5</w:t>
            </w:r>
            <w:r>
              <w:rPr>
                <w:rFonts w:hint="default" w:ascii="Times New Roman" w:hAnsi="Times New Roman" w:eastAsia="宋体" w:cs="Times New Roman"/>
                <w:color w:val="000000"/>
                <w:kern w:val="2"/>
                <w:sz w:val="21"/>
                <w:szCs w:val="21"/>
                <w:highlight w:val="none"/>
                <w:lang w:val="en-US" w:eastAsia="zh-CN" w:bidi="ar-SA"/>
              </w:rPr>
              <w:t>产生量为</w:t>
            </w:r>
            <w:r>
              <w:rPr>
                <w:rFonts w:hint="eastAsia" w:ascii="Times New Roman" w:hAnsi="Times New Roman" w:cs="Times New Roman"/>
                <w:b w:val="0"/>
                <w:bCs/>
                <w:color w:val="000000"/>
                <w:szCs w:val="21"/>
                <w:highlight w:val="none"/>
                <w:lang w:val="en-US" w:eastAsia="zh-CN"/>
              </w:rPr>
              <w:t>48.3755t/a</w:t>
            </w:r>
            <w:r>
              <w:rPr>
                <w:rFonts w:hint="default" w:ascii="Times New Roman" w:hAnsi="Times New Roman" w:eastAsia="宋体" w:cs="Times New Roman"/>
                <w:color w:val="000000"/>
                <w:kern w:val="2"/>
                <w:sz w:val="21"/>
                <w:szCs w:val="21"/>
                <w:highlight w:val="none"/>
                <w:lang w:val="en-US" w:eastAsia="zh-CN" w:bidi="ar-SA"/>
              </w:rPr>
              <w:t>，则NH</w:t>
            </w:r>
            <w:r>
              <w:rPr>
                <w:rFonts w:hint="default" w:ascii="Times New Roman" w:hAnsi="Times New Roman" w:eastAsia="宋体" w:cs="Times New Roman"/>
                <w:color w:val="000000"/>
                <w:kern w:val="2"/>
                <w:sz w:val="21"/>
                <w:szCs w:val="21"/>
                <w:highlight w:val="none"/>
                <w:vertAlign w:val="subscript"/>
                <w:lang w:val="en-US" w:eastAsia="zh-CN" w:bidi="ar-SA"/>
              </w:rPr>
              <w:t>3</w:t>
            </w:r>
            <w:r>
              <w:rPr>
                <w:rFonts w:hint="default" w:ascii="Times New Roman" w:hAnsi="Times New Roman" w:eastAsia="宋体" w:cs="Times New Roman"/>
                <w:color w:val="000000"/>
                <w:kern w:val="2"/>
                <w:sz w:val="21"/>
                <w:szCs w:val="21"/>
                <w:highlight w:val="none"/>
                <w:lang w:val="en-US" w:eastAsia="zh-CN" w:bidi="ar-SA"/>
              </w:rPr>
              <w:t>和H</w:t>
            </w:r>
            <w:r>
              <w:rPr>
                <w:rFonts w:hint="default" w:ascii="Times New Roman" w:hAnsi="Times New Roman" w:eastAsia="宋体" w:cs="Times New Roman"/>
                <w:color w:val="000000"/>
                <w:kern w:val="2"/>
                <w:sz w:val="21"/>
                <w:szCs w:val="21"/>
                <w:highlight w:val="none"/>
                <w:vertAlign w:val="subscript"/>
                <w:lang w:val="en-US" w:eastAsia="zh-CN" w:bidi="ar-SA"/>
              </w:rPr>
              <w:t>2</w:t>
            </w:r>
            <w:r>
              <w:rPr>
                <w:rFonts w:hint="default" w:ascii="Times New Roman" w:hAnsi="Times New Roman" w:eastAsia="宋体" w:cs="Times New Roman"/>
                <w:color w:val="000000"/>
                <w:kern w:val="2"/>
                <w:sz w:val="21"/>
                <w:szCs w:val="21"/>
                <w:highlight w:val="none"/>
                <w:lang w:val="en-US" w:eastAsia="zh-CN" w:bidi="ar-SA"/>
              </w:rPr>
              <w:t>S的产生量分别为</w:t>
            </w:r>
            <w:r>
              <w:rPr>
                <w:rFonts w:hint="eastAsia" w:ascii="Times New Roman" w:hAnsi="Times New Roman" w:eastAsia="宋体" w:cs="Times New Roman"/>
                <w:color w:val="000000"/>
                <w:kern w:val="2"/>
                <w:sz w:val="21"/>
                <w:szCs w:val="21"/>
                <w:highlight w:val="none"/>
                <w:lang w:val="en-US" w:eastAsia="zh-CN" w:bidi="ar-SA"/>
              </w:rPr>
              <w:t>0.1832</w:t>
            </w:r>
            <w:r>
              <w:rPr>
                <w:rFonts w:hint="default" w:ascii="Times New Roman" w:hAnsi="Times New Roman" w:eastAsia="宋体" w:cs="Times New Roman"/>
                <w:color w:val="000000"/>
                <w:kern w:val="2"/>
                <w:sz w:val="21"/>
                <w:szCs w:val="21"/>
                <w:highlight w:val="none"/>
                <w:lang w:val="en-US" w:eastAsia="zh-CN" w:bidi="ar-SA"/>
              </w:rPr>
              <w:t>t/a、</w:t>
            </w:r>
            <w:r>
              <w:rPr>
                <w:rFonts w:hint="eastAsia" w:ascii="Times New Roman" w:hAnsi="Times New Roman" w:eastAsia="宋体" w:cs="Times New Roman"/>
                <w:color w:val="000000"/>
                <w:kern w:val="2"/>
                <w:sz w:val="21"/>
                <w:szCs w:val="21"/>
                <w:highlight w:val="none"/>
                <w:lang w:val="en-US" w:eastAsia="zh-CN" w:bidi="ar-SA"/>
              </w:rPr>
              <w:t>0.0071</w:t>
            </w:r>
            <w:r>
              <w:rPr>
                <w:rFonts w:hint="default" w:ascii="Times New Roman" w:hAnsi="Times New Roman" w:eastAsia="宋体" w:cs="Times New Roman"/>
                <w:color w:val="000000"/>
                <w:kern w:val="2"/>
                <w:sz w:val="21"/>
                <w:szCs w:val="21"/>
                <w:highlight w:val="none"/>
                <w:lang w:val="en-US" w:eastAsia="zh-CN" w:bidi="ar-SA"/>
              </w:rPr>
              <w:t>t/a</w:t>
            </w:r>
            <w:r>
              <w:rPr>
                <w:rFonts w:hint="eastAsia"/>
                <w:lang w:eastAsia="zh-CN"/>
              </w:rPr>
              <w:t>。</w:t>
            </w:r>
          </w:p>
          <w:p w14:paraId="60315082">
            <w:pPr>
              <w:keepNext/>
              <w:keepLines/>
              <w:widowControl/>
              <w:shd w:val="clear" w:color="auto" w:fill="auto"/>
              <w:adjustRightInd w:val="0"/>
              <w:snapToGrid w:val="0"/>
              <w:spacing w:line="360" w:lineRule="auto"/>
              <w:ind w:firstLine="420" w:firstLineChars="200"/>
              <w:jc w:val="left"/>
              <w:outlineLvl w:val="1"/>
              <w:rPr>
                <w:rFonts w:hint="eastAsia"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本</w:t>
            </w:r>
            <w:r>
              <w:rPr>
                <w:rFonts w:hint="eastAsia" w:ascii="Times New Roman" w:hAnsi="Times New Roman" w:eastAsia="宋体" w:cs="Times New Roman"/>
                <w:color w:val="000000"/>
                <w:kern w:val="2"/>
                <w:sz w:val="21"/>
                <w:szCs w:val="21"/>
                <w:highlight w:val="none"/>
                <w:lang w:val="en-US" w:eastAsia="zh-CN" w:bidi="ar-SA"/>
              </w:rPr>
              <w:t>项目</w:t>
            </w:r>
            <w:r>
              <w:rPr>
                <w:rFonts w:hint="default" w:ascii="Times New Roman" w:hAnsi="Times New Roman" w:eastAsia="宋体" w:cs="Times New Roman"/>
                <w:color w:val="000000"/>
                <w:kern w:val="2"/>
                <w:sz w:val="21"/>
                <w:szCs w:val="21"/>
                <w:highlight w:val="none"/>
                <w:lang w:val="en-US" w:eastAsia="zh-CN" w:bidi="ar-SA"/>
              </w:rPr>
              <w:t>采取</w:t>
            </w:r>
            <w:r>
              <w:rPr>
                <w:rFonts w:hint="eastAsia" w:ascii="Times New Roman" w:hAnsi="Times New Roman" w:eastAsia="宋体" w:cs="Times New Roman"/>
                <w:color w:val="000000"/>
                <w:kern w:val="2"/>
                <w:sz w:val="21"/>
                <w:szCs w:val="21"/>
                <w:highlight w:val="none"/>
                <w:lang w:val="en-US" w:eastAsia="zh-CN" w:bidi="ar-SA"/>
              </w:rPr>
              <w:t>地埋式一体化污水处理设施对生产废水进行处理，污水处理产生的恶臭气体采用</w:t>
            </w:r>
            <w:r>
              <w:rPr>
                <w:rFonts w:hint="default" w:ascii="Times New Roman" w:hAnsi="Times New Roman" w:eastAsia="宋体" w:cs="Times New Roman"/>
                <w:color w:val="000000"/>
                <w:kern w:val="2"/>
                <w:sz w:val="21"/>
                <w:szCs w:val="21"/>
                <w:highlight w:val="none"/>
                <w:lang w:val="en-US" w:eastAsia="zh-CN" w:bidi="ar-SA"/>
              </w:rPr>
              <w:t>密闭及负压收集措施，使主要的恶臭污染物均得到有效收集，其收集效率达到90%，收集后的恶臭废气进入活性炭吸附装置进一步处理后</w:t>
            </w:r>
            <w:r>
              <w:rPr>
                <w:rFonts w:hint="eastAsia" w:ascii="Times New Roman" w:hAnsi="Times New Roman" w:eastAsia="宋体" w:cs="Times New Roman"/>
                <w:color w:val="000000"/>
                <w:kern w:val="2"/>
                <w:sz w:val="21"/>
                <w:szCs w:val="21"/>
                <w:highlight w:val="none"/>
                <w:lang w:val="en-US" w:eastAsia="zh-CN" w:bidi="ar-SA"/>
              </w:rPr>
              <w:t>通过1根15</w:t>
            </w:r>
            <w:r>
              <w:rPr>
                <w:rFonts w:hint="eastAsia" w:cs="Times New Roman"/>
                <w:color w:val="000000"/>
                <w:kern w:val="2"/>
                <w:sz w:val="21"/>
                <w:szCs w:val="21"/>
                <w:highlight w:val="none"/>
                <w:lang w:val="en-US" w:eastAsia="zh-CN" w:bidi="ar-SA"/>
              </w:rPr>
              <w:t>m</w:t>
            </w:r>
            <w:r>
              <w:rPr>
                <w:rFonts w:hint="eastAsia" w:ascii="Times New Roman" w:hAnsi="Times New Roman" w:eastAsia="宋体" w:cs="Times New Roman"/>
                <w:color w:val="000000"/>
                <w:kern w:val="2"/>
                <w:sz w:val="21"/>
                <w:szCs w:val="21"/>
                <w:highlight w:val="none"/>
                <w:lang w:val="en-US" w:eastAsia="zh-CN" w:bidi="ar-SA"/>
              </w:rPr>
              <w:t>排气筒</w:t>
            </w:r>
            <w:r>
              <w:rPr>
                <w:rFonts w:hint="default" w:ascii="Times New Roman" w:hAnsi="Times New Roman" w:eastAsia="宋体" w:cs="Times New Roman"/>
                <w:color w:val="000000"/>
                <w:kern w:val="2"/>
                <w:sz w:val="21"/>
                <w:szCs w:val="21"/>
                <w:highlight w:val="none"/>
                <w:lang w:val="en-US" w:eastAsia="zh-CN" w:bidi="ar-SA"/>
              </w:rPr>
              <w:t>达标排放，其活性炭吸附去除率按60%计，风机风量达到5000</w:t>
            </w:r>
            <w:r>
              <w:rPr>
                <w:rFonts w:hint="eastAsia" w:ascii="Times New Roman" w:hAnsi="Times New Roman" w:eastAsia="宋体" w:cs="Times New Roman"/>
                <w:color w:val="000000"/>
                <w:kern w:val="2"/>
                <w:sz w:val="21"/>
                <w:szCs w:val="21"/>
                <w:highlight w:val="none"/>
                <w:lang w:val="en-US" w:eastAsia="zh-CN" w:bidi="ar-SA"/>
              </w:rPr>
              <w:t>m³</w:t>
            </w:r>
            <w:r>
              <w:rPr>
                <w:rFonts w:hint="default" w:ascii="Times New Roman" w:hAnsi="Times New Roman" w:eastAsia="宋体" w:cs="Times New Roman"/>
                <w:color w:val="000000"/>
                <w:kern w:val="2"/>
                <w:sz w:val="21"/>
                <w:szCs w:val="21"/>
                <w:highlight w:val="none"/>
                <w:lang w:val="en-US" w:eastAsia="zh-CN" w:bidi="ar-SA"/>
              </w:rPr>
              <w:t>/h。综上，污水处理站恶臭经上述有效治理措施治理后，其产排情况见下表</w:t>
            </w:r>
            <w:r>
              <w:rPr>
                <w:rFonts w:hint="eastAsia" w:ascii="Times New Roman" w:hAnsi="Times New Roman" w:eastAsia="宋体" w:cs="Times New Roman"/>
                <w:color w:val="000000"/>
                <w:kern w:val="2"/>
                <w:sz w:val="21"/>
                <w:szCs w:val="21"/>
                <w:highlight w:val="none"/>
                <w:lang w:val="en-US" w:eastAsia="zh-CN" w:bidi="ar-SA"/>
              </w:rPr>
              <w:t>。</w:t>
            </w:r>
          </w:p>
          <w:p w14:paraId="6D810108">
            <w:pPr>
              <w:shd w:val="clear" w:color="auto" w:fill="auto"/>
              <w:bidi w:val="0"/>
              <w:jc w:val="center"/>
              <w:rPr>
                <w:rFonts w:hint="eastAsia"/>
                <w:b/>
                <w:bCs/>
                <w:color w:val="000000"/>
                <w:highlight w:val="none"/>
                <w:lang w:val="en-US" w:eastAsia="zh-CN"/>
              </w:rPr>
            </w:pPr>
            <w:r>
              <w:rPr>
                <w:rFonts w:hint="eastAsia"/>
                <w:b/>
                <w:bCs/>
                <w:color w:val="000000"/>
                <w:highlight w:val="none"/>
                <w:lang w:val="en-US" w:eastAsia="zh-CN"/>
              </w:rPr>
              <w:t>表4-4   污水处理站恶臭产生量及排放量</w:t>
            </w:r>
          </w:p>
          <w:tbl>
            <w:tblPr>
              <w:tblStyle w:val="21"/>
              <w:tblW w:w="8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4"/>
              <w:gridCol w:w="744"/>
              <w:gridCol w:w="700"/>
              <w:gridCol w:w="645"/>
              <w:gridCol w:w="668"/>
              <w:gridCol w:w="677"/>
              <w:gridCol w:w="721"/>
              <w:gridCol w:w="644"/>
              <w:gridCol w:w="870"/>
              <w:gridCol w:w="672"/>
              <w:gridCol w:w="657"/>
            </w:tblGrid>
            <w:tr w14:paraId="380F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124" w:type="dxa"/>
                  <w:vMerge w:val="restart"/>
                  <w:tcBorders>
                    <w:tl2br w:val="nil"/>
                    <w:tr2bl w:val="nil"/>
                  </w:tcBorders>
                  <w:shd w:val="clear" w:color="auto" w:fill="auto"/>
                  <w:noWrap w:val="0"/>
                  <w:vAlign w:val="center"/>
                </w:tcPr>
                <w:p w14:paraId="6A83522C">
                  <w:pPr>
                    <w:shd w:val="clear" w:color="auto" w:fill="auto"/>
                    <w:jc w:val="center"/>
                    <w:rPr>
                      <w:rFonts w:hint="default" w:ascii="Times New Roman" w:hAnsi="Times New Roman" w:eastAsia="宋体" w:cs="Times New Roman"/>
                      <w:b/>
                      <w:bCs/>
                      <w:color w:val="000000"/>
                      <w:szCs w:val="21"/>
                      <w:highlight w:val="none"/>
                    </w:rPr>
                  </w:pPr>
                  <w:r>
                    <w:rPr>
                      <w:rFonts w:hint="eastAsia" w:ascii="Times New Roman" w:hAnsi="Times New Roman" w:eastAsia="宋体" w:cs="Times New Roman"/>
                      <w:b/>
                      <w:bCs/>
                      <w:color w:val="000000"/>
                      <w:szCs w:val="21"/>
                      <w:highlight w:val="none"/>
                      <w:lang w:val="en-US" w:eastAsia="zh-CN"/>
                    </w:rPr>
                    <w:t>生产</w:t>
                  </w:r>
                  <w:r>
                    <w:rPr>
                      <w:rFonts w:hint="default" w:ascii="Times New Roman" w:hAnsi="Times New Roman" w:eastAsia="宋体" w:cs="Times New Roman"/>
                      <w:b/>
                      <w:bCs/>
                      <w:color w:val="000000"/>
                      <w:szCs w:val="21"/>
                      <w:highlight w:val="none"/>
                    </w:rPr>
                    <w:t>工序</w:t>
                  </w:r>
                </w:p>
              </w:tc>
              <w:tc>
                <w:tcPr>
                  <w:tcW w:w="744" w:type="dxa"/>
                  <w:vMerge w:val="restart"/>
                  <w:tcBorders>
                    <w:tl2br w:val="nil"/>
                    <w:tr2bl w:val="nil"/>
                  </w:tcBorders>
                  <w:shd w:val="clear" w:color="auto" w:fill="auto"/>
                  <w:noWrap w:val="0"/>
                  <w:vAlign w:val="center"/>
                </w:tcPr>
                <w:p w14:paraId="76168820">
                  <w:pPr>
                    <w:shd w:val="clear" w:color="auto" w:fill="auto"/>
                    <w:jc w:val="center"/>
                    <w:rPr>
                      <w:rFonts w:hint="default" w:ascii="Times New Roman" w:hAnsi="Times New Roman" w:eastAsia="宋体" w:cs="Times New Roman"/>
                      <w:b/>
                      <w:bCs/>
                      <w:color w:val="000000"/>
                      <w:szCs w:val="21"/>
                      <w:highlight w:val="none"/>
                    </w:rPr>
                  </w:pPr>
                  <w:r>
                    <w:rPr>
                      <w:rFonts w:hint="default" w:ascii="Times New Roman" w:hAnsi="Times New Roman" w:eastAsia="宋体" w:cs="Times New Roman"/>
                      <w:b/>
                      <w:bCs/>
                      <w:color w:val="000000"/>
                      <w:szCs w:val="21"/>
                      <w:highlight w:val="none"/>
                    </w:rPr>
                    <w:t>污染因子</w:t>
                  </w:r>
                </w:p>
              </w:tc>
              <w:tc>
                <w:tcPr>
                  <w:tcW w:w="700" w:type="dxa"/>
                  <w:vMerge w:val="restart"/>
                  <w:tcBorders>
                    <w:tl2br w:val="nil"/>
                    <w:tr2bl w:val="nil"/>
                  </w:tcBorders>
                  <w:shd w:val="clear" w:color="auto" w:fill="auto"/>
                  <w:noWrap w:val="0"/>
                  <w:vAlign w:val="center"/>
                </w:tcPr>
                <w:p w14:paraId="6522F32C">
                  <w:pPr>
                    <w:shd w:val="clear" w:color="auto" w:fill="auto"/>
                    <w:jc w:val="center"/>
                    <w:rPr>
                      <w:rFonts w:hint="default" w:ascii="Times New Roman" w:hAnsi="Times New Roman" w:eastAsia="宋体" w:cs="Times New Roman"/>
                      <w:b/>
                      <w:bCs/>
                      <w:color w:val="000000"/>
                      <w:szCs w:val="21"/>
                      <w:highlight w:val="none"/>
                    </w:rPr>
                  </w:pPr>
                  <w:r>
                    <w:rPr>
                      <w:rFonts w:hint="default" w:ascii="Times New Roman" w:hAnsi="Times New Roman" w:eastAsia="宋体" w:cs="Times New Roman"/>
                      <w:b/>
                      <w:bCs/>
                      <w:color w:val="000000"/>
                      <w:szCs w:val="21"/>
                      <w:highlight w:val="none"/>
                    </w:rPr>
                    <w:t>产生量t/a</w:t>
                  </w:r>
                </w:p>
              </w:tc>
              <w:tc>
                <w:tcPr>
                  <w:tcW w:w="645" w:type="dxa"/>
                  <w:vMerge w:val="restart"/>
                  <w:tcBorders>
                    <w:tl2br w:val="nil"/>
                    <w:tr2bl w:val="nil"/>
                  </w:tcBorders>
                  <w:shd w:val="clear" w:color="auto" w:fill="auto"/>
                  <w:noWrap w:val="0"/>
                  <w:vAlign w:val="center"/>
                </w:tcPr>
                <w:p w14:paraId="055ACA08">
                  <w:pPr>
                    <w:shd w:val="clear" w:color="auto" w:fill="auto"/>
                    <w:jc w:val="center"/>
                    <w:rPr>
                      <w:rFonts w:hint="default" w:ascii="Times New Roman" w:hAnsi="Times New Roman" w:eastAsia="宋体" w:cs="Times New Roman"/>
                      <w:b/>
                      <w:bCs/>
                      <w:color w:val="000000"/>
                      <w:szCs w:val="21"/>
                      <w:highlight w:val="none"/>
                    </w:rPr>
                  </w:pPr>
                  <w:r>
                    <w:rPr>
                      <w:rFonts w:hint="eastAsia" w:cs="Times New Roman"/>
                      <w:b/>
                      <w:bCs/>
                      <w:color w:val="000000"/>
                      <w:szCs w:val="21"/>
                      <w:highlight w:val="none"/>
                      <w:lang w:val="en-US" w:eastAsia="zh-CN"/>
                    </w:rPr>
                    <w:t>收集效率</w:t>
                  </w:r>
                  <w:r>
                    <w:rPr>
                      <w:rFonts w:hint="default" w:ascii="Times New Roman" w:hAnsi="Times New Roman" w:eastAsia="宋体" w:cs="Times New Roman"/>
                      <w:b/>
                      <w:bCs/>
                      <w:color w:val="000000"/>
                      <w:szCs w:val="21"/>
                      <w:highlight w:val="none"/>
                    </w:rPr>
                    <w:t>%</w:t>
                  </w:r>
                </w:p>
              </w:tc>
              <w:tc>
                <w:tcPr>
                  <w:tcW w:w="668" w:type="dxa"/>
                  <w:vMerge w:val="restart"/>
                  <w:tcBorders>
                    <w:tl2br w:val="nil"/>
                    <w:tr2bl w:val="nil"/>
                  </w:tcBorders>
                  <w:shd w:val="clear" w:color="auto" w:fill="auto"/>
                  <w:noWrap w:val="0"/>
                  <w:vAlign w:val="center"/>
                </w:tcPr>
                <w:p w14:paraId="3DA152B2">
                  <w:pPr>
                    <w:shd w:val="clear" w:color="auto" w:fill="auto"/>
                    <w:jc w:val="center"/>
                    <w:rPr>
                      <w:rFonts w:hint="default" w:ascii="Times New Roman" w:hAnsi="Times New Roman" w:eastAsia="宋体" w:cs="Times New Roman"/>
                      <w:b/>
                      <w:bCs/>
                      <w:color w:val="000000"/>
                      <w:szCs w:val="21"/>
                      <w:highlight w:val="none"/>
                    </w:rPr>
                  </w:pPr>
                  <w:r>
                    <w:rPr>
                      <w:rFonts w:hint="eastAsia" w:cs="Times New Roman"/>
                      <w:b/>
                      <w:bCs/>
                      <w:color w:val="000000"/>
                      <w:szCs w:val="21"/>
                      <w:highlight w:val="none"/>
                      <w:lang w:val="en-US" w:eastAsia="zh-CN"/>
                    </w:rPr>
                    <w:t>收集效率</w:t>
                  </w:r>
                  <w:r>
                    <w:rPr>
                      <w:rFonts w:hint="default" w:ascii="Times New Roman" w:hAnsi="Times New Roman" w:eastAsia="宋体" w:cs="Times New Roman"/>
                      <w:b/>
                      <w:bCs/>
                      <w:color w:val="000000"/>
                      <w:szCs w:val="21"/>
                      <w:highlight w:val="none"/>
                    </w:rPr>
                    <w:t>%</w:t>
                  </w:r>
                </w:p>
              </w:tc>
              <w:tc>
                <w:tcPr>
                  <w:tcW w:w="677" w:type="dxa"/>
                  <w:vMerge w:val="restart"/>
                  <w:tcBorders>
                    <w:tl2br w:val="nil"/>
                    <w:tr2bl w:val="nil"/>
                  </w:tcBorders>
                  <w:shd w:val="clear" w:color="auto" w:fill="auto"/>
                  <w:noWrap w:val="0"/>
                  <w:vAlign w:val="center"/>
                </w:tcPr>
                <w:p w14:paraId="4BF71093">
                  <w:pPr>
                    <w:shd w:val="clear" w:color="auto" w:fill="auto"/>
                    <w:jc w:val="center"/>
                    <w:rPr>
                      <w:rFonts w:hint="default" w:ascii="Times New Roman" w:hAnsi="Times New Roman" w:eastAsia="宋体" w:cs="Times New Roman"/>
                      <w:b/>
                      <w:bCs/>
                      <w:color w:val="000000"/>
                      <w:szCs w:val="21"/>
                      <w:highlight w:val="none"/>
                    </w:rPr>
                  </w:pPr>
                  <w:r>
                    <w:rPr>
                      <w:rFonts w:hint="default" w:ascii="Times New Roman" w:hAnsi="Times New Roman" w:eastAsia="宋体" w:cs="Times New Roman"/>
                      <w:b/>
                      <w:bCs/>
                      <w:color w:val="000000"/>
                      <w:szCs w:val="21"/>
                      <w:highlight w:val="none"/>
                    </w:rPr>
                    <w:t>风机风量</w:t>
                  </w:r>
                  <w:r>
                    <w:rPr>
                      <w:rFonts w:hint="eastAsia" w:ascii="Times New Roman" w:hAnsi="Times New Roman" w:eastAsia="宋体" w:cs="Times New Roman"/>
                      <w:b/>
                      <w:bCs/>
                      <w:color w:val="000000"/>
                      <w:szCs w:val="21"/>
                      <w:highlight w:val="none"/>
                      <w:lang w:eastAsia="zh-CN"/>
                    </w:rPr>
                    <w:t>m³</w:t>
                  </w:r>
                  <w:r>
                    <w:rPr>
                      <w:rFonts w:hint="default" w:ascii="Times New Roman" w:hAnsi="Times New Roman" w:eastAsia="宋体" w:cs="Times New Roman"/>
                      <w:b/>
                      <w:bCs/>
                      <w:color w:val="000000"/>
                      <w:szCs w:val="21"/>
                      <w:highlight w:val="none"/>
                    </w:rPr>
                    <w:t>/h</w:t>
                  </w:r>
                </w:p>
              </w:tc>
              <w:tc>
                <w:tcPr>
                  <w:tcW w:w="2235" w:type="dxa"/>
                  <w:gridSpan w:val="3"/>
                  <w:tcBorders>
                    <w:tl2br w:val="nil"/>
                    <w:tr2bl w:val="nil"/>
                  </w:tcBorders>
                  <w:shd w:val="clear" w:color="auto" w:fill="auto"/>
                  <w:noWrap w:val="0"/>
                  <w:vAlign w:val="center"/>
                </w:tcPr>
                <w:p w14:paraId="5FD2F2A7">
                  <w:pPr>
                    <w:shd w:val="clear" w:color="auto" w:fill="auto"/>
                    <w:jc w:val="center"/>
                    <w:rPr>
                      <w:rFonts w:hint="default" w:ascii="Times New Roman" w:hAnsi="Times New Roman" w:eastAsia="宋体" w:cs="Times New Roman"/>
                      <w:b/>
                      <w:bCs/>
                      <w:color w:val="000000"/>
                      <w:szCs w:val="21"/>
                      <w:highlight w:val="none"/>
                    </w:rPr>
                  </w:pPr>
                  <w:r>
                    <w:rPr>
                      <w:rFonts w:hint="default" w:ascii="Times New Roman" w:hAnsi="Times New Roman" w:eastAsia="宋体" w:cs="Times New Roman"/>
                      <w:b/>
                      <w:bCs/>
                      <w:color w:val="000000"/>
                      <w:szCs w:val="21"/>
                      <w:highlight w:val="none"/>
                    </w:rPr>
                    <w:t>有组织排放</w:t>
                  </w:r>
                </w:p>
              </w:tc>
              <w:tc>
                <w:tcPr>
                  <w:tcW w:w="1329" w:type="dxa"/>
                  <w:gridSpan w:val="2"/>
                  <w:tcBorders>
                    <w:tl2br w:val="nil"/>
                    <w:tr2bl w:val="nil"/>
                  </w:tcBorders>
                  <w:shd w:val="clear" w:color="auto" w:fill="auto"/>
                  <w:noWrap w:val="0"/>
                  <w:vAlign w:val="center"/>
                </w:tcPr>
                <w:p w14:paraId="3BD919AF">
                  <w:pPr>
                    <w:shd w:val="clear" w:color="auto" w:fill="auto"/>
                    <w:jc w:val="center"/>
                    <w:rPr>
                      <w:rFonts w:hint="default" w:ascii="Times New Roman" w:hAnsi="Times New Roman" w:eastAsia="宋体" w:cs="Times New Roman"/>
                      <w:b/>
                      <w:bCs/>
                      <w:color w:val="000000"/>
                      <w:szCs w:val="21"/>
                      <w:highlight w:val="none"/>
                    </w:rPr>
                  </w:pPr>
                  <w:r>
                    <w:rPr>
                      <w:rFonts w:hint="default" w:ascii="Times New Roman" w:hAnsi="Times New Roman" w:eastAsia="宋体" w:cs="Times New Roman"/>
                      <w:b/>
                      <w:bCs/>
                      <w:color w:val="000000"/>
                      <w:szCs w:val="21"/>
                      <w:highlight w:val="none"/>
                    </w:rPr>
                    <w:t>无组织排放</w:t>
                  </w:r>
                </w:p>
              </w:tc>
            </w:tr>
            <w:tr w14:paraId="49DBB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1124" w:type="dxa"/>
                  <w:vMerge w:val="continue"/>
                  <w:tcBorders>
                    <w:tl2br w:val="nil"/>
                    <w:tr2bl w:val="nil"/>
                  </w:tcBorders>
                  <w:shd w:val="clear" w:color="auto" w:fill="auto"/>
                  <w:noWrap w:val="0"/>
                  <w:vAlign w:val="center"/>
                </w:tcPr>
                <w:p w14:paraId="01846314">
                  <w:pPr>
                    <w:shd w:val="clear" w:color="auto" w:fill="auto"/>
                    <w:jc w:val="center"/>
                    <w:rPr>
                      <w:rFonts w:hint="default" w:ascii="Times New Roman" w:hAnsi="Times New Roman" w:eastAsia="宋体" w:cs="Times New Roman"/>
                      <w:b/>
                      <w:bCs/>
                      <w:color w:val="000000"/>
                      <w:szCs w:val="21"/>
                      <w:highlight w:val="none"/>
                    </w:rPr>
                  </w:pPr>
                </w:p>
              </w:tc>
              <w:tc>
                <w:tcPr>
                  <w:tcW w:w="744" w:type="dxa"/>
                  <w:vMerge w:val="continue"/>
                  <w:tcBorders>
                    <w:tl2br w:val="nil"/>
                    <w:tr2bl w:val="nil"/>
                  </w:tcBorders>
                  <w:shd w:val="clear" w:color="auto" w:fill="auto"/>
                  <w:noWrap w:val="0"/>
                  <w:vAlign w:val="center"/>
                </w:tcPr>
                <w:p w14:paraId="0E415735">
                  <w:pPr>
                    <w:shd w:val="clear" w:color="auto" w:fill="auto"/>
                    <w:jc w:val="center"/>
                    <w:rPr>
                      <w:rFonts w:hint="default" w:ascii="Times New Roman" w:hAnsi="Times New Roman" w:eastAsia="宋体" w:cs="Times New Roman"/>
                      <w:b/>
                      <w:bCs/>
                      <w:color w:val="000000"/>
                      <w:szCs w:val="21"/>
                      <w:highlight w:val="none"/>
                    </w:rPr>
                  </w:pPr>
                </w:p>
              </w:tc>
              <w:tc>
                <w:tcPr>
                  <w:tcW w:w="700" w:type="dxa"/>
                  <w:vMerge w:val="continue"/>
                  <w:tcBorders>
                    <w:tl2br w:val="nil"/>
                    <w:tr2bl w:val="nil"/>
                  </w:tcBorders>
                  <w:shd w:val="clear" w:color="auto" w:fill="auto"/>
                  <w:noWrap w:val="0"/>
                  <w:vAlign w:val="center"/>
                </w:tcPr>
                <w:p w14:paraId="2F0A7948">
                  <w:pPr>
                    <w:shd w:val="clear" w:color="auto" w:fill="auto"/>
                    <w:jc w:val="center"/>
                    <w:rPr>
                      <w:rFonts w:hint="default" w:ascii="Times New Roman" w:hAnsi="Times New Roman" w:eastAsia="宋体" w:cs="Times New Roman"/>
                      <w:b/>
                      <w:bCs/>
                      <w:color w:val="000000"/>
                      <w:szCs w:val="21"/>
                      <w:highlight w:val="none"/>
                    </w:rPr>
                  </w:pPr>
                </w:p>
              </w:tc>
              <w:tc>
                <w:tcPr>
                  <w:tcW w:w="645" w:type="dxa"/>
                  <w:vMerge w:val="continue"/>
                  <w:tcBorders>
                    <w:tl2br w:val="nil"/>
                    <w:tr2bl w:val="nil"/>
                  </w:tcBorders>
                  <w:shd w:val="clear" w:color="auto" w:fill="auto"/>
                  <w:noWrap w:val="0"/>
                  <w:vAlign w:val="center"/>
                </w:tcPr>
                <w:p w14:paraId="3FC2325F">
                  <w:pPr>
                    <w:shd w:val="clear" w:color="auto" w:fill="auto"/>
                    <w:jc w:val="center"/>
                    <w:rPr>
                      <w:rFonts w:hint="default" w:ascii="Times New Roman" w:hAnsi="Times New Roman" w:eastAsia="宋体" w:cs="Times New Roman"/>
                      <w:b/>
                      <w:bCs/>
                      <w:color w:val="000000"/>
                      <w:szCs w:val="21"/>
                      <w:highlight w:val="none"/>
                    </w:rPr>
                  </w:pPr>
                </w:p>
              </w:tc>
              <w:tc>
                <w:tcPr>
                  <w:tcW w:w="668" w:type="dxa"/>
                  <w:vMerge w:val="continue"/>
                  <w:tcBorders>
                    <w:tl2br w:val="nil"/>
                    <w:tr2bl w:val="nil"/>
                  </w:tcBorders>
                  <w:shd w:val="clear" w:color="auto" w:fill="auto"/>
                  <w:noWrap w:val="0"/>
                  <w:vAlign w:val="center"/>
                </w:tcPr>
                <w:p w14:paraId="0FB67F77">
                  <w:pPr>
                    <w:shd w:val="clear" w:color="auto" w:fill="auto"/>
                    <w:jc w:val="center"/>
                    <w:rPr>
                      <w:rFonts w:hint="default" w:ascii="Times New Roman" w:hAnsi="Times New Roman" w:eastAsia="宋体" w:cs="Times New Roman"/>
                      <w:b/>
                      <w:bCs/>
                      <w:color w:val="000000"/>
                      <w:szCs w:val="21"/>
                      <w:highlight w:val="none"/>
                    </w:rPr>
                  </w:pPr>
                </w:p>
              </w:tc>
              <w:tc>
                <w:tcPr>
                  <w:tcW w:w="677" w:type="dxa"/>
                  <w:vMerge w:val="continue"/>
                  <w:tcBorders>
                    <w:tl2br w:val="nil"/>
                    <w:tr2bl w:val="nil"/>
                  </w:tcBorders>
                  <w:shd w:val="clear" w:color="auto" w:fill="auto"/>
                  <w:noWrap w:val="0"/>
                  <w:vAlign w:val="center"/>
                </w:tcPr>
                <w:p w14:paraId="5E47ECEE">
                  <w:pPr>
                    <w:shd w:val="clear" w:color="auto" w:fill="auto"/>
                    <w:jc w:val="center"/>
                    <w:rPr>
                      <w:rFonts w:hint="default" w:ascii="Times New Roman" w:hAnsi="Times New Roman" w:eastAsia="宋体" w:cs="Times New Roman"/>
                      <w:b/>
                      <w:bCs/>
                      <w:color w:val="000000"/>
                      <w:szCs w:val="21"/>
                      <w:highlight w:val="none"/>
                    </w:rPr>
                  </w:pPr>
                </w:p>
              </w:tc>
              <w:tc>
                <w:tcPr>
                  <w:tcW w:w="721" w:type="dxa"/>
                  <w:tcBorders>
                    <w:tl2br w:val="nil"/>
                    <w:tr2bl w:val="nil"/>
                  </w:tcBorders>
                  <w:shd w:val="clear" w:color="auto" w:fill="auto"/>
                  <w:noWrap w:val="0"/>
                  <w:vAlign w:val="center"/>
                </w:tcPr>
                <w:p w14:paraId="242036DF">
                  <w:pPr>
                    <w:shd w:val="clear" w:color="auto" w:fill="auto"/>
                    <w:jc w:val="center"/>
                    <w:rPr>
                      <w:rFonts w:hint="default" w:ascii="Times New Roman" w:hAnsi="Times New Roman" w:eastAsia="宋体" w:cs="Times New Roman"/>
                      <w:b/>
                      <w:bCs/>
                      <w:color w:val="000000"/>
                      <w:szCs w:val="21"/>
                      <w:highlight w:val="none"/>
                    </w:rPr>
                  </w:pPr>
                  <w:r>
                    <w:rPr>
                      <w:rFonts w:hint="default" w:ascii="Times New Roman" w:hAnsi="Times New Roman" w:eastAsia="宋体" w:cs="Times New Roman"/>
                      <w:b/>
                      <w:bCs/>
                      <w:color w:val="000000"/>
                      <w:szCs w:val="21"/>
                      <w:highlight w:val="none"/>
                    </w:rPr>
                    <w:t>排放量t/a</w:t>
                  </w:r>
                </w:p>
              </w:tc>
              <w:tc>
                <w:tcPr>
                  <w:tcW w:w="644" w:type="dxa"/>
                  <w:tcBorders>
                    <w:tl2br w:val="nil"/>
                    <w:tr2bl w:val="nil"/>
                  </w:tcBorders>
                  <w:shd w:val="clear" w:color="auto" w:fill="auto"/>
                  <w:noWrap w:val="0"/>
                  <w:vAlign w:val="center"/>
                </w:tcPr>
                <w:p w14:paraId="7C724F70">
                  <w:pPr>
                    <w:shd w:val="clear" w:color="auto" w:fill="auto"/>
                    <w:jc w:val="center"/>
                    <w:rPr>
                      <w:rFonts w:hint="default" w:ascii="Times New Roman" w:hAnsi="Times New Roman" w:eastAsia="宋体" w:cs="Times New Roman"/>
                      <w:b/>
                      <w:bCs/>
                      <w:color w:val="000000"/>
                      <w:szCs w:val="21"/>
                      <w:highlight w:val="none"/>
                    </w:rPr>
                  </w:pPr>
                  <w:r>
                    <w:rPr>
                      <w:rFonts w:hint="default" w:ascii="Times New Roman" w:hAnsi="Times New Roman" w:eastAsia="宋体" w:cs="Times New Roman"/>
                      <w:b/>
                      <w:bCs/>
                      <w:color w:val="000000"/>
                      <w:szCs w:val="21"/>
                      <w:highlight w:val="none"/>
                    </w:rPr>
                    <w:t>排放速率kg/h</w:t>
                  </w:r>
                </w:p>
              </w:tc>
              <w:tc>
                <w:tcPr>
                  <w:tcW w:w="870" w:type="dxa"/>
                  <w:tcBorders>
                    <w:tl2br w:val="nil"/>
                    <w:tr2bl w:val="nil"/>
                  </w:tcBorders>
                  <w:shd w:val="clear" w:color="auto" w:fill="auto"/>
                  <w:noWrap w:val="0"/>
                  <w:vAlign w:val="center"/>
                </w:tcPr>
                <w:p w14:paraId="1778AD6C">
                  <w:pPr>
                    <w:shd w:val="clear" w:color="auto" w:fill="auto"/>
                    <w:jc w:val="center"/>
                    <w:rPr>
                      <w:rFonts w:hint="default" w:ascii="Times New Roman" w:hAnsi="Times New Roman" w:eastAsia="宋体" w:cs="Times New Roman"/>
                      <w:b/>
                      <w:bCs/>
                      <w:color w:val="000000"/>
                      <w:szCs w:val="21"/>
                      <w:highlight w:val="none"/>
                    </w:rPr>
                  </w:pPr>
                  <w:r>
                    <w:rPr>
                      <w:rFonts w:hint="default" w:ascii="Times New Roman" w:hAnsi="Times New Roman" w:eastAsia="宋体" w:cs="Times New Roman"/>
                      <w:b/>
                      <w:bCs/>
                      <w:color w:val="000000"/>
                      <w:szCs w:val="21"/>
                      <w:highlight w:val="none"/>
                    </w:rPr>
                    <w:t>排放</w:t>
                  </w:r>
                </w:p>
                <w:p w14:paraId="0D18EFD0">
                  <w:pPr>
                    <w:shd w:val="clear" w:color="auto" w:fill="auto"/>
                    <w:jc w:val="center"/>
                    <w:rPr>
                      <w:rFonts w:hint="eastAsia" w:ascii="Times New Roman" w:hAnsi="Times New Roman" w:eastAsia="宋体" w:cs="Times New Roman"/>
                      <w:b/>
                      <w:bCs/>
                      <w:color w:val="000000"/>
                      <w:szCs w:val="21"/>
                      <w:highlight w:val="none"/>
                      <w:lang w:eastAsia="zh-CN"/>
                    </w:rPr>
                  </w:pPr>
                  <w:r>
                    <w:rPr>
                      <w:rFonts w:hint="default" w:ascii="Times New Roman" w:hAnsi="Times New Roman" w:eastAsia="宋体" w:cs="Times New Roman"/>
                      <w:b/>
                      <w:bCs/>
                      <w:color w:val="000000"/>
                      <w:szCs w:val="21"/>
                      <w:highlight w:val="none"/>
                    </w:rPr>
                    <w:t>浓度mg/</w:t>
                  </w:r>
                  <w:r>
                    <w:rPr>
                      <w:rFonts w:hint="eastAsia" w:ascii="Times New Roman" w:hAnsi="Times New Roman" w:eastAsia="宋体" w:cs="Times New Roman"/>
                      <w:b/>
                      <w:bCs/>
                      <w:color w:val="000000"/>
                      <w:szCs w:val="21"/>
                      <w:highlight w:val="none"/>
                      <w:lang w:eastAsia="zh-CN"/>
                    </w:rPr>
                    <w:t>m³</w:t>
                  </w:r>
                </w:p>
              </w:tc>
              <w:tc>
                <w:tcPr>
                  <w:tcW w:w="672" w:type="dxa"/>
                  <w:tcBorders>
                    <w:tl2br w:val="nil"/>
                    <w:tr2bl w:val="nil"/>
                  </w:tcBorders>
                  <w:shd w:val="clear" w:color="auto" w:fill="auto"/>
                  <w:noWrap w:val="0"/>
                  <w:vAlign w:val="center"/>
                </w:tcPr>
                <w:p w14:paraId="4C14F4EE">
                  <w:pPr>
                    <w:shd w:val="clear" w:color="auto" w:fill="auto"/>
                    <w:jc w:val="center"/>
                    <w:rPr>
                      <w:rFonts w:hint="default" w:ascii="Times New Roman" w:hAnsi="Times New Roman" w:eastAsia="宋体" w:cs="Times New Roman"/>
                      <w:b/>
                      <w:bCs/>
                      <w:color w:val="000000"/>
                      <w:szCs w:val="21"/>
                      <w:highlight w:val="none"/>
                    </w:rPr>
                  </w:pPr>
                  <w:r>
                    <w:rPr>
                      <w:rFonts w:hint="default" w:ascii="Times New Roman" w:hAnsi="Times New Roman" w:eastAsia="宋体" w:cs="Times New Roman"/>
                      <w:b/>
                      <w:bCs/>
                      <w:color w:val="000000"/>
                      <w:szCs w:val="21"/>
                      <w:highlight w:val="none"/>
                    </w:rPr>
                    <w:t>排放量t/a</w:t>
                  </w:r>
                </w:p>
              </w:tc>
              <w:tc>
                <w:tcPr>
                  <w:tcW w:w="657" w:type="dxa"/>
                  <w:tcBorders>
                    <w:tl2br w:val="nil"/>
                    <w:tr2bl w:val="nil"/>
                  </w:tcBorders>
                  <w:shd w:val="clear" w:color="auto" w:fill="auto"/>
                  <w:noWrap w:val="0"/>
                  <w:vAlign w:val="center"/>
                </w:tcPr>
                <w:p w14:paraId="5B89DD2E">
                  <w:pPr>
                    <w:shd w:val="clear" w:color="auto" w:fill="auto"/>
                    <w:jc w:val="center"/>
                    <w:rPr>
                      <w:rFonts w:hint="default" w:ascii="Times New Roman" w:hAnsi="Times New Roman" w:eastAsia="宋体" w:cs="Times New Roman"/>
                      <w:b/>
                      <w:bCs/>
                      <w:color w:val="000000"/>
                      <w:szCs w:val="21"/>
                      <w:highlight w:val="none"/>
                    </w:rPr>
                  </w:pPr>
                  <w:r>
                    <w:rPr>
                      <w:rFonts w:hint="default" w:ascii="Times New Roman" w:hAnsi="Times New Roman" w:eastAsia="宋体" w:cs="Times New Roman"/>
                      <w:b/>
                      <w:bCs/>
                      <w:color w:val="000000"/>
                      <w:szCs w:val="21"/>
                      <w:highlight w:val="none"/>
                    </w:rPr>
                    <w:t>排放速率kg/h</w:t>
                  </w:r>
                </w:p>
              </w:tc>
            </w:tr>
            <w:tr w14:paraId="2B5D9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4" w:type="dxa"/>
                  <w:vMerge w:val="restart"/>
                  <w:tcBorders>
                    <w:tl2br w:val="nil"/>
                    <w:tr2bl w:val="nil"/>
                  </w:tcBorders>
                  <w:shd w:val="clear" w:color="auto" w:fill="auto"/>
                  <w:noWrap w:val="0"/>
                  <w:vAlign w:val="center"/>
                </w:tcPr>
                <w:p w14:paraId="64C7C08A">
                  <w:pPr>
                    <w:shd w:val="clear" w:color="auto" w:fill="auto"/>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污水处理站</w:t>
                  </w:r>
                </w:p>
              </w:tc>
              <w:tc>
                <w:tcPr>
                  <w:tcW w:w="744" w:type="dxa"/>
                  <w:tcBorders>
                    <w:tl2br w:val="nil"/>
                    <w:tr2bl w:val="nil"/>
                  </w:tcBorders>
                  <w:shd w:val="clear" w:color="auto" w:fill="auto"/>
                  <w:noWrap w:val="0"/>
                  <w:vAlign w:val="center"/>
                </w:tcPr>
                <w:p w14:paraId="5F8EEC00">
                  <w:pPr>
                    <w:shd w:val="clear" w:color="auto" w:fill="auto"/>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NH</w:t>
                  </w:r>
                  <w:r>
                    <w:rPr>
                      <w:rFonts w:hint="default" w:ascii="Times New Roman" w:hAnsi="Times New Roman" w:eastAsia="宋体" w:cs="Times New Roman"/>
                      <w:color w:val="000000"/>
                      <w:szCs w:val="21"/>
                      <w:highlight w:val="none"/>
                      <w:vertAlign w:val="subscript"/>
                    </w:rPr>
                    <w:t>3</w:t>
                  </w:r>
                </w:p>
              </w:tc>
              <w:tc>
                <w:tcPr>
                  <w:tcW w:w="700" w:type="dxa"/>
                  <w:tcBorders>
                    <w:tl2br w:val="nil"/>
                    <w:tr2bl w:val="nil"/>
                  </w:tcBorders>
                  <w:shd w:val="clear" w:color="auto" w:fill="auto"/>
                  <w:noWrap w:val="0"/>
                  <w:vAlign w:val="center"/>
                </w:tcPr>
                <w:p w14:paraId="0CE369EB">
                  <w:pPr>
                    <w:shd w:val="clear" w:color="auto" w:fill="auto"/>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0.1832</w:t>
                  </w:r>
                </w:p>
              </w:tc>
              <w:tc>
                <w:tcPr>
                  <w:tcW w:w="645" w:type="dxa"/>
                  <w:tcBorders>
                    <w:tl2br w:val="nil"/>
                    <w:tr2bl w:val="nil"/>
                  </w:tcBorders>
                  <w:shd w:val="clear" w:color="auto" w:fill="auto"/>
                  <w:noWrap w:val="0"/>
                  <w:vAlign w:val="center"/>
                </w:tcPr>
                <w:p w14:paraId="20908395">
                  <w:pPr>
                    <w:shd w:val="clear" w:color="auto" w:fill="auto"/>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90</w:t>
                  </w:r>
                </w:p>
              </w:tc>
              <w:tc>
                <w:tcPr>
                  <w:tcW w:w="668" w:type="dxa"/>
                  <w:tcBorders>
                    <w:tl2br w:val="nil"/>
                    <w:tr2bl w:val="nil"/>
                  </w:tcBorders>
                  <w:shd w:val="clear" w:color="auto" w:fill="auto"/>
                  <w:noWrap w:val="0"/>
                  <w:vAlign w:val="center"/>
                </w:tcPr>
                <w:p w14:paraId="60E27F18">
                  <w:pPr>
                    <w:shd w:val="clear" w:color="auto" w:fill="auto"/>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60</w:t>
                  </w:r>
                </w:p>
              </w:tc>
              <w:tc>
                <w:tcPr>
                  <w:tcW w:w="677" w:type="dxa"/>
                  <w:vMerge w:val="restart"/>
                  <w:tcBorders>
                    <w:tl2br w:val="nil"/>
                    <w:tr2bl w:val="nil"/>
                  </w:tcBorders>
                  <w:shd w:val="clear" w:color="auto" w:fill="auto"/>
                  <w:noWrap w:val="0"/>
                  <w:vAlign w:val="center"/>
                </w:tcPr>
                <w:p w14:paraId="2E659E3B">
                  <w:pPr>
                    <w:shd w:val="clear" w:color="auto" w:fill="auto"/>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5000</w:t>
                  </w:r>
                </w:p>
              </w:tc>
              <w:tc>
                <w:tcPr>
                  <w:tcW w:w="721" w:type="dxa"/>
                  <w:tcBorders>
                    <w:tl2br w:val="nil"/>
                    <w:tr2bl w:val="nil"/>
                  </w:tcBorders>
                  <w:shd w:val="clear" w:color="auto" w:fill="auto"/>
                  <w:noWrap w:val="0"/>
                  <w:vAlign w:val="center"/>
                </w:tcPr>
                <w:p w14:paraId="33BD26B0">
                  <w:pPr>
                    <w:shd w:val="clear" w:color="auto" w:fill="auto"/>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0.066</w:t>
                  </w:r>
                </w:p>
              </w:tc>
              <w:tc>
                <w:tcPr>
                  <w:tcW w:w="644" w:type="dxa"/>
                  <w:tcBorders>
                    <w:tl2br w:val="nil"/>
                    <w:tr2bl w:val="nil"/>
                  </w:tcBorders>
                  <w:shd w:val="clear" w:color="auto" w:fill="auto"/>
                  <w:noWrap w:val="0"/>
                  <w:vAlign w:val="center"/>
                </w:tcPr>
                <w:p w14:paraId="53B7961E">
                  <w:pPr>
                    <w:shd w:val="clear" w:color="auto" w:fill="auto"/>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0.0092</w:t>
                  </w:r>
                </w:p>
              </w:tc>
              <w:tc>
                <w:tcPr>
                  <w:tcW w:w="870" w:type="dxa"/>
                  <w:tcBorders>
                    <w:tl2br w:val="nil"/>
                    <w:tr2bl w:val="nil"/>
                  </w:tcBorders>
                  <w:shd w:val="clear" w:color="auto" w:fill="auto"/>
                  <w:noWrap w:val="0"/>
                  <w:vAlign w:val="center"/>
                </w:tcPr>
                <w:p w14:paraId="50559DD5">
                  <w:pPr>
                    <w:shd w:val="clear" w:color="auto" w:fill="auto"/>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1.84</w:t>
                  </w:r>
                </w:p>
              </w:tc>
              <w:tc>
                <w:tcPr>
                  <w:tcW w:w="672" w:type="dxa"/>
                  <w:tcBorders>
                    <w:tl2br w:val="nil"/>
                    <w:tr2bl w:val="nil"/>
                  </w:tcBorders>
                  <w:shd w:val="clear" w:color="auto" w:fill="auto"/>
                  <w:noWrap w:val="0"/>
                  <w:vAlign w:val="center"/>
                </w:tcPr>
                <w:p w14:paraId="48DE5EDB">
                  <w:pPr>
                    <w:shd w:val="clear" w:color="auto" w:fill="auto"/>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0.0183</w:t>
                  </w:r>
                </w:p>
              </w:tc>
              <w:tc>
                <w:tcPr>
                  <w:tcW w:w="657" w:type="dxa"/>
                  <w:tcBorders>
                    <w:tl2br w:val="nil"/>
                    <w:tr2bl w:val="nil"/>
                  </w:tcBorders>
                  <w:shd w:val="clear" w:color="auto" w:fill="auto"/>
                  <w:noWrap w:val="0"/>
                  <w:vAlign w:val="center"/>
                </w:tcPr>
                <w:p w14:paraId="3035D84C">
                  <w:pPr>
                    <w:shd w:val="clear" w:color="auto" w:fill="auto"/>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0.0025</w:t>
                  </w:r>
                </w:p>
              </w:tc>
            </w:tr>
            <w:tr w14:paraId="05415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24" w:type="dxa"/>
                  <w:vMerge w:val="continue"/>
                  <w:tcBorders>
                    <w:tl2br w:val="nil"/>
                    <w:tr2bl w:val="nil"/>
                  </w:tcBorders>
                  <w:shd w:val="clear" w:color="auto" w:fill="auto"/>
                  <w:noWrap w:val="0"/>
                  <w:vAlign w:val="center"/>
                </w:tcPr>
                <w:p w14:paraId="65E91934">
                  <w:pPr>
                    <w:shd w:val="clear" w:color="auto" w:fill="auto"/>
                    <w:jc w:val="center"/>
                    <w:rPr>
                      <w:rFonts w:hint="default" w:ascii="Times New Roman" w:hAnsi="Times New Roman" w:eastAsia="宋体" w:cs="Times New Roman"/>
                      <w:color w:val="000000"/>
                      <w:szCs w:val="21"/>
                      <w:highlight w:val="none"/>
                    </w:rPr>
                  </w:pPr>
                </w:p>
              </w:tc>
              <w:tc>
                <w:tcPr>
                  <w:tcW w:w="744" w:type="dxa"/>
                  <w:tcBorders>
                    <w:tl2br w:val="nil"/>
                    <w:tr2bl w:val="nil"/>
                  </w:tcBorders>
                  <w:shd w:val="clear" w:color="auto" w:fill="auto"/>
                  <w:noWrap w:val="0"/>
                  <w:vAlign w:val="center"/>
                </w:tcPr>
                <w:p w14:paraId="17D37ADA">
                  <w:pPr>
                    <w:shd w:val="clear" w:color="auto" w:fill="auto"/>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H</w:t>
                  </w:r>
                  <w:r>
                    <w:rPr>
                      <w:rFonts w:hint="default" w:ascii="Times New Roman" w:hAnsi="Times New Roman" w:eastAsia="宋体" w:cs="Times New Roman"/>
                      <w:color w:val="000000"/>
                      <w:szCs w:val="21"/>
                      <w:highlight w:val="none"/>
                      <w:vertAlign w:val="subscript"/>
                    </w:rPr>
                    <w:t>2</w:t>
                  </w:r>
                  <w:r>
                    <w:rPr>
                      <w:rFonts w:hint="default" w:ascii="Times New Roman" w:hAnsi="Times New Roman" w:eastAsia="宋体" w:cs="Times New Roman"/>
                      <w:color w:val="000000"/>
                      <w:szCs w:val="21"/>
                      <w:highlight w:val="none"/>
                    </w:rPr>
                    <w:t>S</w:t>
                  </w:r>
                </w:p>
              </w:tc>
              <w:tc>
                <w:tcPr>
                  <w:tcW w:w="700" w:type="dxa"/>
                  <w:tcBorders>
                    <w:tl2br w:val="nil"/>
                    <w:tr2bl w:val="nil"/>
                  </w:tcBorders>
                  <w:shd w:val="clear" w:color="auto" w:fill="auto"/>
                  <w:noWrap w:val="0"/>
                  <w:vAlign w:val="center"/>
                </w:tcPr>
                <w:p w14:paraId="78832819">
                  <w:pPr>
                    <w:shd w:val="clear" w:color="auto" w:fill="auto"/>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0.0071</w:t>
                  </w:r>
                </w:p>
              </w:tc>
              <w:tc>
                <w:tcPr>
                  <w:tcW w:w="645" w:type="dxa"/>
                  <w:tcBorders>
                    <w:tl2br w:val="nil"/>
                    <w:tr2bl w:val="nil"/>
                  </w:tcBorders>
                  <w:shd w:val="clear" w:color="auto" w:fill="auto"/>
                  <w:noWrap w:val="0"/>
                  <w:vAlign w:val="center"/>
                </w:tcPr>
                <w:p w14:paraId="60457D11">
                  <w:pPr>
                    <w:shd w:val="clear" w:color="auto" w:fill="auto"/>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90</w:t>
                  </w:r>
                </w:p>
              </w:tc>
              <w:tc>
                <w:tcPr>
                  <w:tcW w:w="668" w:type="dxa"/>
                  <w:tcBorders>
                    <w:tl2br w:val="nil"/>
                    <w:tr2bl w:val="nil"/>
                  </w:tcBorders>
                  <w:shd w:val="clear" w:color="auto" w:fill="auto"/>
                  <w:noWrap w:val="0"/>
                  <w:vAlign w:val="center"/>
                </w:tcPr>
                <w:p w14:paraId="1D462A1D">
                  <w:pPr>
                    <w:shd w:val="clear" w:color="auto" w:fill="auto"/>
                    <w:jc w:val="center"/>
                    <w:rPr>
                      <w:rFonts w:hint="default" w:ascii="Times New Roman" w:hAnsi="Times New Roman" w:eastAsia="宋体" w:cs="Times New Roman"/>
                      <w:color w:val="000000"/>
                      <w:szCs w:val="21"/>
                      <w:highlight w:val="none"/>
                    </w:rPr>
                  </w:pPr>
                  <w:r>
                    <w:rPr>
                      <w:rFonts w:hint="default" w:ascii="Times New Roman" w:hAnsi="Times New Roman" w:eastAsia="宋体" w:cs="Times New Roman"/>
                      <w:color w:val="000000"/>
                      <w:szCs w:val="21"/>
                      <w:highlight w:val="none"/>
                    </w:rPr>
                    <w:t>60</w:t>
                  </w:r>
                </w:p>
              </w:tc>
              <w:tc>
                <w:tcPr>
                  <w:tcW w:w="677" w:type="dxa"/>
                  <w:vMerge w:val="continue"/>
                  <w:tcBorders>
                    <w:tl2br w:val="nil"/>
                    <w:tr2bl w:val="nil"/>
                  </w:tcBorders>
                  <w:shd w:val="clear" w:color="auto" w:fill="auto"/>
                  <w:noWrap w:val="0"/>
                  <w:vAlign w:val="center"/>
                </w:tcPr>
                <w:p w14:paraId="2861B572">
                  <w:pPr>
                    <w:shd w:val="clear" w:color="auto" w:fill="auto"/>
                    <w:jc w:val="center"/>
                    <w:rPr>
                      <w:rFonts w:hint="default" w:ascii="Times New Roman" w:hAnsi="Times New Roman" w:eastAsia="宋体" w:cs="Times New Roman"/>
                      <w:color w:val="000000"/>
                      <w:szCs w:val="21"/>
                      <w:highlight w:val="none"/>
                    </w:rPr>
                  </w:pPr>
                </w:p>
              </w:tc>
              <w:tc>
                <w:tcPr>
                  <w:tcW w:w="721" w:type="dxa"/>
                  <w:tcBorders>
                    <w:tl2br w:val="nil"/>
                    <w:tr2bl w:val="nil"/>
                  </w:tcBorders>
                  <w:shd w:val="clear" w:color="auto" w:fill="auto"/>
                  <w:noWrap w:val="0"/>
                  <w:vAlign w:val="center"/>
                </w:tcPr>
                <w:p w14:paraId="449B0426">
                  <w:pPr>
                    <w:shd w:val="clear" w:color="auto" w:fill="auto"/>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0.0026</w:t>
                  </w:r>
                </w:p>
              </w:tc>
              <w:tc>
                <w:tcPr>
                  <w:tcW w:w="644" w:type="dxa"/>
                  <w:tcBorders>
                    <w:tl2br w:val="nil"/>
                    <w:tr2bl w:val="nil"/>
                  </w:tcBorders>
                  <w:shd w:val="clear" w:color="auto" w:fill="auto"/>
                  <w:noWrap w:val="0"/>
                  <w:vAlign w:val="center"/>
                </w:tcPr>
                <w:p w14:paraId="107162FF">
                  <w:pPr>
                    <w:shd w:val="clear" w:color="auto" w:fill="auto"/>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0.0004</w:t>
                  </w:r>
                </w:p>
              </w:tc>
              <w:tc>
                <w:tcPr>
                  <w:tcW w:w="870" w:type="dxa"/>
                  <w:tcBorders>
                    <w:tl2br w:val="nil"/>
                    <w:tr2bl w:val="nil"/>
                  </w:tcBorders>
                  <w:shd w:val="clear" w:color="auto" w:fill="auto"/>
                  <w:noWrap w:val="0"/>
                  <w:vAlign w:val="center"/>
                </w:tcPr>
                <w:p w14:paraId="3CCDAD27">
                  <w:pPr>
                    <w:shd w:val="clear" w:color="auto" w:fill="auto"/>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0.08</w:t>
                  </w:r>
                </w:p>
              </w:tc>
              <w:tc>
                <w:tcPr>
                  <w:tcW w:w="672" w:type="dxa"/>
                  <w:tcBorders>
                    <w:tl2br w:val="nil"/>
                    <w:tr2bl w:val="nil"/>
                  </w:tcBorders>
                  <w:shd w:val="clear" w:color="auto" w:fill="auto"/>
                  <w:noWrap w:val="0"/>
                  <w:vAlign w:val="center"/>
                </w:tcPr>
                <w:p w14:paraId="76ED5775">
                  <w:pPr>
                    <w:shd w:val="clear" w:color="auto" w:fill="auto"/>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0.0007</w:t>
                  </w:r>
                </w:p>
              </w:tc>
              <w:tc>
                <w:tcPr>
                  <w:tcW w:w="657" w:type="dxa"/>
                  <w:tcBorders>
                    <w:tl2br w:val="nil"/>
                    <w:tr2bl w:val="nil"/>
                  </w:tcBorders>
                  <w:shd w:val="clear" w:color="auto" w:fill="auto"/>
                  <w:noWrap w:val="0"/>
                  <w:vAlign w:val="center"/>
                </w:tcPr>
                <w:p w14:paraId="54DEEE47">
                  <w:pPr>
                    <w:shd w:val="clear" w:color="auto" w:fill="auto"/>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0.0001</w:t>
                  </w:r>
                </w:p>
              </w:tc>
            </w:tr>
            <w:tr w14:paraId="2B37A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122" w:type="dxa"/>
                  <w:gridSpan w:val="11"/>
                  <w:tcBorders>
                    <w:tl2br w:val="nil"/>
                    <w:tr2bl w:val="nil"/>
                  </w:tcBorders>
                  <w:shd w:val="clear" w:color="auto" w:fill="auto"/>
                  <w:noWrap w:val="0"/>
                  <w:vAlign w:val="center"/>
                </w:tcPr>
                <w:p w14:paraId="3145AE9A">
                  <w:pPr>
                    <w:shd w:val="clear" w:color="auto" w:fill="auto"/>
                    <w:rPr>
                      <w:rFonts w:hint="eastAsia"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rPr>
                    <w:t>注：污水处理站</w:t>
                  </w:r>
                  <w:r>
                    <w:rPr>
                      <w:rFonts w:hint="eastAsia" w:cs="Times New Roman"/>
                      <w:color w:val="000000"/>
                      <w:sz w:val="21"/>
                      <w:szCs w:val="21"/>
                      <w:highlight w:val="none"/>
                      <w:lang w:val="en-US" w:eastAsia="zh-CN"/>
                    </w:rPr>
                    <w:t>每</w:t>
                  </w:r>
                  <w:r>
                    <w:rPr>
                      <w:rFonts w:hint="default" w:ascii="Times New Roman" w:hAnsi="Times New Roman" w:eastAsia="宋体" w:cs="Times New Roman"/>
                      <w:color w:val="000000"/>
                      <w:sz w:val="21"/>
                      <w:szCs w:val="21"/>
                      <w:highlight w:val="none"/>
                    </w:rPr>
                    <w:t>年运行</w:t>
                  </w:r>
                  <w:r>
                    <w:rPr>
                      <w:rFonts w:hint="eastAsia" w:ascii="Times New Roman" w:hAnsi="Times New Roman" w:eastAsia="宋体" w:cs="Times New Roman"/>
                      <w:color w:val="000000"/>
                      <w:sz w:val="21"/>
                      <w:szCs w:val="21"/>
                      <w:highlight w:val="none"/>
                      <w:lang w:val="en-US" w:eastAsia="zh-CN"/>
                    </w:rPr>
                    <w:t>300</w:t>
                  </w:r>
                  <w:r>
                    <w:rPr>
                      <w:rFonts w:hint="default" w:ascii="Times New Roman" w:hAnsi="Times New Roman" w:eastAsia="宋体" w:cs="Times New Roman"/>
                      <w:color w:val="000000"/>
                      <w:sz w:val="21"/>
                      <w:szCs w:val="21"/>
                      <w:highlight w:val="none"/>
                    </w:rPr>
                    <w:t>天，每日按</w:t>
                  </w:r>
                  <w:r>
                    <w:rPr>
                      <w:rFonts w:hint="eastAsia" w:ascii="Times New Roman" w:hAnsi="Times New Roman" w:eastAsia="宋体" w:cs="Times New Roman"/>
                      <w:color w:val="000000"/>
                      <w:sz w:val="21"/>
                      <w:szCs w:val="21"/>
                      <w:highlight w:val="none"/>
                      <w:lang w:val="en-US" w:eastAsia="zh-CN"/>
                    </w:rPr>
                    <w:t>24</w:t>
                  </w:r>
                  <w:r>
                    <w:rPr>
                      <w:rFonts w:hint="default" w:ascii="Times New Roman" w:hAnsi="Times New Roman" w:eastAsia="宋体" w:cs="Times New Roman"/>
                      <w:color w:val="000000"/>
                      <w:sz w:val="21"/>
                      <w:szCs w:val="21"/>
                      <w:highlight w:val="none"/>
                    </w:rPr>
                    <w:t>小时计</w:t>
                  </w:r>
                  <w:r>
                    <w:rPr>
                      <w:rFonts w:hint="eastAsia"/>
                      <w:lang w:eastAsia="zh-CN"/>
                    </w:rPr>
                    <w:t>。</w:t>
                  </w:r>
                </w:p>
              </w:tc>
            </w:tr>
          </w:tbl>
          <w:p w14:paraId="255B8F7B">
            <w:pPr>
              <w:keepNext/>
              <w:keepLines/>
              <w:widowControl/>
              <w:shd w:val="clear" w:color="auto" w:fill="auto"/>
              <w:adjustRightInd w:val="0"/>
              <w:snapToGrid w:val="0"/>
              <w:spacing w:line="360" w:lineRule="auto"/>
              <w:ind w:firstLine="420" w:firstLineChars="200"/>
              <w:jc w:val="left"/>
              <w:outlineLvl w:val="1"/>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由上表可知，经处理后的恶臭气体满足《恶臭污染物排放标准》（GB14554-93）相关标准限值。</w:t>
            </w:r>
          </w:p>
          <w:p w14:paraId="5AA9A307">
            <w:pPr>
              <w:keepNext/>
              <w:keepLines/>
              <w:widowControl/>
              <w:shd w:val="clear" w:color="auto" w:fill="auto"/>
              <w:adjustRightInd w:val="0"/>
              <w:snapToGrid w:val="0"/>
              <w:spacing w:line="360" w:lineRule="auto"/>
              <w:ind w:firstLine="420" w:firstLineChars="200"/>
              <w:jc w:val="left"/>
              <w:outlineLvl w:val="1"/>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（6）食堂油烟</w:t>
            </w:r>
          </w:p>
          <w:p w14:paraId="7003E693">
            <w:pPr>
              <w:keepNext/>
              <w:keepLines/>
              <w:widowControl/>
              <w:shd w:val="clear" w:color="auto" w:fill="auto"/>
              <w:adjustRightInd w:val="0"/>
              <w:snapToGrid w:val="0"/>
              <w:spacing w:line="360" w:lineRule="auto"/>
              <w:ind w:firstLine="420" w:firstLineChars="200"/>
              <w:jc w:val="left"/>
              <w:outlineLvl w:val="1"/>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食堂厨房在炒菜过程会产生油烟，产生特征为间歇性，每天产生时间主要集中在7:00～9:00、11:00～13:00</w:t>
            </w:r>
            <w:r>
              <w:rPr>
                <w:rFonts w:hint="eastAsia" w:cs="Times New Roman"/>
                <w:color w:val="000000"/>
                <w:kern w:val="2"/>
                <w:sz w:val="21"/>
                <w:szCs w:val="21"/>
                <w:highlight w:val="none"/>
                <w:lang w:val="en-US" w:eastAsia="zh-CN" w:bidi="ar-SA"/>
              </w:rPr>
              <w:t>、</w:t>
            </w:r>
            <w:r>
              <w:rPr>
                <w:rFonts w:hint="eastAsia" w:ascii="Times New Roman" w:hAnsi="Times New Roman" w:eastAsia="宋体" w:cs="Times New Roman"/>
                <w:color w:val="000000"/>
                <w:kern w:val="2"/>
                <w:sz w:val="21"/>
                <w:szCs w:val="21"/>
                <w:highlight w:val="none"/>
                <w:lang w:val="en-US" w:eastAsia="zh-CN" w:bidi="ar-SA"/>
              </w:rPr>
              <w:t>16:00～18:00这三个时间段，每天产生时间约为6h。项目设有一个食堂，职工总数30人，就餐人数按最大人数（30人）计算，食堂设置2个灶头，属小型规模，单个灶头基准排风量为2000m³/h，总排风量为4000m³/h。</w:t>
            </w:r>
          </w:p>
          <w:p w14:paraId="210BB1AE">
            <w:pPr>
              <w:keepNext/>
              <w:keepLines/>
              <w:widowControl/>
              <w:shd w:val="clear" w:color="auto" w:fill="auto"/>
              <w:adjustRightInd w:val="0"/>
              <w:snapToGrid w:val="0"/>
              <w:spacing w:line="360" w:lineRule="auto"/>
              <w:ind w:firstLine="420" w:firstLineChars="200"/>
              <w:jc w:val="left"/>
              <w:outlineLvl w:val="1"/>
              <w:rPr>
                <w:rFonts w:hint="default" w:ascii="Times New Roman" w:hAnsi="Times New Roman" w:eastAsia="宋体" w:cs="Times New Roman"/>
                <w:b/>
                <w:bCs/>
                <w:color w:val="000000"/>
                <w:kern w:val="0"/>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食堂的食用油耗系数取50g/人·d，一般油的挥发量约占总耗油量的3%，则项目油烟的产生量为0.0075kg/h（13.5kg/a），油烟产生浓度为1.875mg/m³</w:t>
            </w:r>
            <w:r>
              <w:rPr>
                <w:rFonts w:hint="eastAsia" w:cs="Times New Roman"/>
                <w:color w:val="000000"/>
                <w:kern w:val="2"/>
                <w:sz w:val="21"/>
                <w:szCs w:val="21"/>
                <w:highlight w:val="none"/>
                <w:lang w:val="en-US" w:eastAsia="zh-CN" w:bidi="ar-SA"/>
              </w:rPr>
              <w:t>，</w:t>
            </w:r>
            <w:r>
              <w:rPr>
                <w:rFonts w:hint="eastAsia" w:ascii="Times New Roman" w:hAnsi="Times New Roman" w:eastAsia="宋体" w:cs="Times New Roman"/>
                <w:color w:val="000000"/>
                <w:kern w:val="2"/>
                <w:sz w:val="21"/>
                <w:szCs w:val="21"/>
                <w:highlight w:val="none"/>
                <w:lang w:val="en-US" w:eastAsia="zh-CN" w:bidi="ar-SA"/>
              </w:rPr>
              <w:t>该食堂按照国家关于《饮食业油烟排放标准（试行）》（GB18483-2001）标准要求，油烟净化装置规模为小型，油烟最高允许排放浓度为2.0mg/m³，净化措施最低去除效率为60%。因此，本项目设置高效静电式油烟净化装置（油烟去除率为60%，风量为4000m³/h），油烟经高效静电式油烟净化装置处理后，通过厨房专用排烟管道引至楼顶排放，排放浓度为0.75mg/m³，满足《饮食业油烟排放标准（试行）》（GB18483-2001）标准要求。</w:t>
            </w:r>
          </w:p>
          <w:p w14:paraId="1EDF77CA">
            <w:pPr>
              <w:keepNext/>
              <w:keepLines/>
              <w:widowControl/>
              <w:shd w:val="clear" w:color="auto" w:fill="auto"/>
              <w:adjustRightInd w:val="0"/>
              <w:snapToGrid w:val="0"/>
              <w:spacing w:line="360" w:lineRule="auto"/>
              <w:ind w:firstLine="422" w:firstLineChars="200"/>
              <w:jc w:val="left"/>
              <w:outlineLvl w:val="1"/>
              <w:rPr>
                <w:rFonts w:hint="default" w:ascii="Times New Roman" w:hAnsi="Times New Roman" w:eastAsia="宋体" w:cs="Times New Roman"/>
                <w:b/>
                <w:bCs/>
                <w:color w:val="000000"/>
                <w:kern w:val="0"/>
                <w:sz w:val="21"/>
                <w:szCs w:val="21"/>
                <w:highlight w:val="none"/>
                <w:lang w:val="en-US" w:eastAsia="zh-CN" w:bidi="ar-SA"/>
              </w:rPr>
            </w:pPr>
            <w:r>
              <w:rPr>
                <w:rFonts w:hint="eastAsia" w:cs="Times New Roman"/>
                <w:b/>
                <w:bCs/>
                <w:color w:val="000000"/>
                <w:kern w:val="0"/>
                <w:sz w:val="21"/>
                <w:szCs w:val="21"/>
                <w:highlight w:val="none"/>
                <w:lang w:val="en-US" w:eastAsia="zh-CN" w:bidi="ar-SA"/>
              </w:rPr>
              <w:t>3.</w:t>
            </w:r>
            <w:r>
              <w:rPr>
                <w:rFonts w:hint="eastAsia" w:ascii="Times New Roman" w:hAnsi="Times New Roman" w:eastAsia="宋体" w:cs="Times New Roman"/>
                <w:b/>
                <w:bCs/>
                <w:color w:val="000000"/>
                <w:kern w:val="0"/>
                <w:sz w:val="21"/>
                <w:szCs w:val="21"/>
                <w:highlight w:val="none"/>
                <w:lang w:val="en-US" w:eastAsia="zh-CN" w:bidi="ar-SA"/>
              </w:rPr>
              <w:t>污染治理措施可行性分析</w:t>
            </w:r>
          </w:p>
          <w:p w14:paraId="6E6FC4B0">
            <w:pPr>
              <w:keepNext w:val="0"/>
              <w:keepLines w:val="0"/>
              <w:widowControl/>
              <w:suppressLineNumbers w:val="0"/>
              <w:shd w:val="clear" w:color="auto" w:fill="auto"/>
              <w:spacing w:line="360" w:lineRule="auto"/>
              <w:ind w:firstLine="420" w:firstLineChars="200"/>
              <w:jc w:val="left"/>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（1）</w:t>
            </w:r>
            <w:r>
              <w:t>粮食粉碎</w:t>
            </w:r>
            <w:r>
              <w:rPr>
                <w:rFonts w:hint="eastAsia" w:ascii="Times New Roman" w:hAnsi="Times New Roman" w:eastAsia="宋体" w:cs="Times New Roman"/>
                <w:color w:val="000000"/>
                <w:kern w:val="0"/>
                <w:sz w:val="21"/>
                <w:szCs w:val="21"/>
                <w:highlight w:val="none"/>
                <w:lang w:val="en-US" w:eastAsia="zh-CN" w:bidi="ar-SA"/>
              </w:rPr>
              <w:t>、大曲粉碎</w:t>
            </w:r>
            <w:r>
              <w:rPr>
                <w:rFonts w:hint="eastAsia" w:cs="Times New Roman"/>
                <w:color w:val="000000"/>
                <w:kern w:val="0"/>
                <w:sz w:val="21"/>
                <w:szCs w:val="21"/>
                <w:highlight w:val="none"/>
                <w:lang w:val="en-US" w:eastAsia="zh-CN" w:bidi="ar-SA"/>
              </w:rPr>
              <w:t>等</w:t>
            </w:r>
            <w:r>
              <w:rPr>
                <w:rFonts w:hint="eastAsia" w:ascii="Times New Roman" w:hAnsi="Times New Roman" w:eastAsia="宋体" w:cs="Times New Roman"/>
                <w:color w:val="000000"/>
                <w:kern w:val="0"/>
                <w:sz w:val="21"/>
                <w:szCs w:val="21"/>
                <w:highlight w:val="none"/>
                <w:lang w:val="en-US" w:eastAsia="zh-CN" w:bidi="ar-SA"/>
              </w:rPr>
              <w:t>粉尘治理措施</w:t>
            </w:r>
            <w:r>
              <w:rPr>
                <w:rFonts w:hint="eastAsia"/>
                <w:lang w:val="en-US" w:eastAsia="zh-CN"/>
              </w:rPr>
              <w:t>的</w:t>
            </w:r>
            <w:r>
              <w:rPr>
                <w:rFonts w:hint="eastAsia" w:ascii="Times New Roman" w:hAnsi="Times New Roman" w:eastAsia="宋体" w:cs="Times New Roman"/>
                <w:color w:val="000000"/>
                <w:kern w:val="0"/>
                <w:sz w:val="21"/>
                <w:szCs w:val="21"/>
                <w:highlight w:val="none"/>
                <w:lang w:val="en-US" w:eastAsia="zh-CN" w:bidi="ar-SA"/>
              </w:rPr>
              <w:t>可行性</w:t>
            </w:r>
          </w:p>
          <w:p w14:paraId="703F8606">
            <w:pPr>
              <w:keepNext w:val="0"/>
              <w:keepLines w:val="0"/>
              <w:widowControl/>
              <w:suppressLineNumbers w:val="0"/>
              <w:shd w:val="clear" w:color="auto" w:fill="auto"/>
              <w:spacing w:line="360" w:lineRule="auto"/>
              <w:ind w:firstLine="420" w:firstLineChars="200"/>
              <w:jc w:val="left"/>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根据《排污许可证申请与核发技术规范 酒、饮料制造工业》（HJ 1028-2019），本项目采用脉冲布袋除尘器处理粮食及大曲粉碎粉尘（颗粒物）的措施属于推荐可行技术。</w:t>
            </w:r>
          </w:p>
          <w:p w14:paraId="0BA34A4A">
            <w:pPr>
              <w:keepNext w:val="0"/>
              <w:keepLines w:val="0"/>
              <w:widowControl/>
              <w:suppressLineNumbers w:val="0"/>
              <w:shd w:val="clear" w:color="auto" w:fill="auto"/>
              <w:spacing w:line="360" w:lineRule="auto"/>
              <w:ind w:firstLine="420" w:firstLineChars="200"/>
              <w:jc w:val="left"/>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（2）锅炉烟气治理措施</w:t>
            </w:r>
            <w:r>
              <w:rPr>
                <w:rFonts w:hint="eastAsia" w:cs="Times New Roman"/>
                <w:color w:val="000000"/>
                <w:kern w:val="0"/>
                <w:sz w:val="21"/>
                <w:szCs w:val="21"/>
                <w:highlight w:val="none"/>
                <w:lang w:val="en-US" w:eastAsia="zh-CN" w:bidi="ar-SA"/>
              </w:rPr>
              <w:t>的</w:t>
            </w:r>
            <w:r>
              <w:rPr>
                <w:rFonts w:hint="eastAsia" w:ascii="Times New Roman" w:hAnsi="Times New Roman" w:eastAsia="宋体" w:cs="Times New Roman"/>
                <w:color w:val="000000"/>
                <w:kern w:val="0"/>
                <w:sz w:val="21"/>
                <w:szCs w:val="21"/>
                <w:highlight w:val="none"/>
                <w:lang w:val="en-US" w:eastAsia="zh-CN" w:bidi="ar-SA"/>
              </w:rPr>
              <w:t>可行性</w:t>
            </w:r>
          </w:p>
          <w:p w14:paraId="322671D3">
            <w:pPr>
              <w:keepNext w:val="0"/>
              <w:keepLines w:val="0"/>
              <w:widowControl/>
              <w:suppressLineNumbers w:val="0"/>
              <w:shd w:val="clear" w:color="auto" w:fill="auto"/>
              <w:spacing w:line="360" w:lineRule="auto"/>
              <w:ind w:firstLine="420" w:firstLineChars="200"/>
              <w:jc w:val="left"/>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经查阅《排污许可证申请与核发技术规范 锅炉》（HJ953-2018）中“表7 锅炉烟气污染防治可行技术”可知，本项目燃气锅炉采用超低氮燃烧法属于推荐的废气处理可行技术，因此，本项目废气处理措施可行。</w:t>
            </w:r>
          </w:p>
          <w:p w14:paraId="11BFEC74">
            <w:pPr>
              <w:keepNext w:val="0"/>
              <w:keepLines w:val="0"/>
              <w:widowControl/>
              <w:suppressLineNumbers w:val="0"/>
              <w:shd w:val="clear" w:color="auto" w:fill="auto"/>
              <w:spacing w:line="360" w:lineRule="auto"/>
              <w:ind w:firstLine="420" w:firstLineChars="200"/>
              <w:jc w:val="left"/>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（3）污水处理站恶臭气体治理措施</w:t>
            </w:r>
            <w:r>
              <w:rPr>
                <w:rFonts w:hint="eastAsia" w:cs="Times New Roman"/>
                <w:color w:val="000000"/>
                <w:kern w:val="0"/>
                <w:sz w:val="21"/>
                <w:szCs w:val="21"/>
                <w:highlight w:val="none"/>
                <w:lang w:val="en-US" w:eastAsia="zh-CN" w:bidi="ar-SA"/>
              </w:rPr>
              <w:t>的</w:t>
            </w:r>
            <w:r>
              <w:rPr>
                <w:rFonts w:hint="eastAsia" w:ascii="Times New Roman" w:hAnsi="Times New Roman" w:eastAsia="宋体" w:cs="Times New Roman"/>
                <w:color w:val="000000"/>
                <w:kern w:val="0"/>
                <w:sz w:val="21"/>
                <w:szCs w:val="21"/>
                <w:highlight w:val="none"/>
                <w:lang w:val="en-US" w:eastAsia="zh-CN" w:bidi="ar-SA"/>
              </w:rPr>
              <w:t>可行性</w:t>
            </w:r>
          </w:p>
          <w:p w14:paraId="1DB5F3BD">
            <w:pPr>
              <w:keepNext w:val="0"/>
              <w:keepLines w:val="0"/>
              <w:widowControl/>
              <w:suppressLineNumbers w:val="0"/>
              <w:shd w:val="clear" w:color="auto" w:fill="auto"/>
              <w:spacing w:line="360" w:lineRule="auto"/>
              <w:ind w:firstLine="420" w:firstLineChars="200"/>
              <w:jc w:val="left"/>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根据《排污许可证申请与核发技术规范水处理（试行）》（HJ 978-2018），本项目污水处理过程中产生的恶臭气体（氨、硫化氢等）采用活性炭吸附处理措施，属于推荐可行技术。</w:t>
            </w:r>
          </w:p>
          <w:p w14:paraId="7456CD81">
            <w:pPr>
              <w:keepNext w:val="0"/>
              <w:keepLines w:val="0"/>
              <w:widowControl/>
              <w:suppressLineNumbers w:val="0"/>
              <w:shd w:val="clear" w:color="auto" w:fill="auto"/>
              <w:spacing w:line="360" w:lineRule="auto"/>
              <w:ind w:firstLine="420" w:firstLineChars="200"/>
              <w:jc w:val="left"/>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（4）食堂油烟治理措施</w:t>
            </w:r>
            <w:r>
              <w:rPr>
                <w:rFonts w:hint="eastAsia" w:cs="Times New Roman"/>
                <w:color w:val="000000"/>
                <w:kern w:val="0"/>
                <w:sz w:val="21"/>
                <w:szCs w:val="21"/>
                <w:highlight w:val="none"/>
                <w:lang w:val="en-US" w:eastAsia="zh-CN" w:bidi="ar-SA"/>
              </w:rPr>
              <w:t>的</w:t>
            </w:r>
            <w:r>
              <w:rPr>
                <w:rFonts w:hint="eastAsia" w:ascii="Times New Roman" w:hAnsi="Times New Roman" w:eastAsia="宋体" w:cs="Times New Roman"/>
                <w:color w:val="000000"/>
                <w:kern w:val="0"/>
                <w:sz w:val="21"/>
                <w:szCs w:val="21"/>
                <w:highlight w:val="none"/>
                <w:lang w:val="en-US" w:eastAsia="zh-CN" w:bidi="ar-SA"/>
              </w:rPr>
              <w:t>可行性</w:t>
            </w:r>
          </w:p>
          <w:p w14:paraId="4CD3BADC">
            <w:pPr>
              <w:keepNext w:val="0"/>
              <w:keepLines w:val="0"/>
              <w:widowControl/>
              <w:suppressLineNumbers w:val="0"/>
              <w:shd w:val="clear" w:color="auto" w:fill="auto"/>
              <w:spacing w:line="360" w:lineRule="auto"/>
              <w:ind w:firstLine="420" w:firstLineChars="200"/>
              <w:jc w:val="left"/>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根据</w:t>
            </w:r>
            <w:r>
              <w:rPr>
                <w:rFonts w:hint="eastAsia" w:ascii="Times New Roman" w:hAnsi="Times New Roman" w:eastAsia="宋体" w:cs="Times New Roman"/>
                <w:color w:val="000000"/>
                <w:kern w:val="2"/>
                <w:sz w:val="21"/>
                <w:szCs w:val="21"/>
                <w:highlight w:val="none"/>
                <w:lang w:val="en-US" w:eastAsia="zh-CN" w:bidi="ar-SA"/>
              </w:rPr>
              <w:t>《饮食业油烟排放标准（试行）》（GB18483-2001）中“排放油烟的饮食业单位必须</w:t>
            </w:r>
            <w:r>
              <w:rPr>
                <w:rFonts w:hint="eastAsia" w:ascii="Times New Roman" w:hAnsi="Times New Roman" w:eastAsia="宋体" w:cs="Times New Roman"/>
                <w:color w:val="000000"/>
                <w:kern w:val="0"/>
                <w:sz w:val="21"/>
                <w:szCs w:val="21"/>
                <w:highlight w:val="none"/>
                <w:lang w:val="en-US" w:eastAsia="zh-CN" w:bidi="ar-SA"/>
              </w:rPr>
              <w:t>安装油烟净化设施，并保证操作期间按要求运行”的要求，项目食堂安装油烟净化器可行。</w:t>
            </w:r>
          </w:p>
          <w:p w14:paraId="178E8A6A">
            <w:pPr>
              <w:keepNext w:val="0"/>
              <w:keepLines w:val="0"/>
              <w:widowControl/>
              <w:suppressLineNumbers w:val="0"/>
              <w:shd w:val="clear" w:color="auto" w:fill="auto"/>
              <w:spacing w:line="360" w:lineRule="auto"/>
              <w:ind w:firstLine="420" w:firstLineChars="200"/>
              <w:jc w:val="left"/>
              <w:rPr>
                <w:rFonts w:hint="default" w:ascii="Times New Roman" w:hAnsi="Times New Roman" w:eastAsia="宋体" w:cs="Times New Roman"/>
                <w:color w:val="000000"/>
                <w:kern w:val="0"/>
                <w:sz w:val="21"/>
                <w:szCs w:val="21"/>
                <w:highlight w:val="none"/>
                <w:lang w:val="en-US" w:eastAsia="zh-CN" w:bidi="ar-SA"/>
              </w:rPr>
            </w:pPr>
            <w:r>
              <w:rPr>
                <w:rFonts w:hint="eastAsia" w:ascii="Times New Roman" w:hAnsi="Times New Roman" w:eastAsia="宋体" w:cs="Times New Roman"/>
                <w:color w:val="000000"/>
                <w:kern w:val="0"/>
                <w:sz w:val="21"/>
                <w:szCs w:val="21"/>
                <w:highlight w:val="none"/>
                <w:lang w:val="en-US" w:eastAsia="zh-CN" w:bidi="ar-SA"/>
              </w:rPr>
              <w:t>综上所述，本项目采用的废气污染治理措施均为可行技术</w:t>
            </w:r>
            <w:r>
              <w:rPr>
                <w:rFonts w:hint="eastAsia" w:cs="Times New Roman"/>
                <w:color w:val="000000"/>
                <w:kern w:val="0"/>
                <w:sz w:val="21"/>
                <w:szCs w:val="21"/>
                <w:highlight w:val="none"/>
                <w:lang w:val="en-US" w:eastAsia="zh-CN" w:bidi="ar-SA"/>
              </w:rPr>
              <w:t>措施</w:t>
            </w:r>
            <w:r>
              <w:rPr>
                <w:rFonts w:hint="eastAsia" w:ascii="Times New Roman" w:hAnsi="Times New Roman" w:eastAsia="宋体" w:cs="Times New Roman"/>
                <w:color w:val="000000"/>
                <w:kern w:val="0"/>
                <w:sz w:val="21"/>
                <w:szCs w:val="21"/>
                <w:highlight w:val="none"/>
                <w:lang w:val="en-US" w:eastAsia="zh-CN" w:bidi="ar-SA"/>
              </w:rPr>
              <w:t>。</w:t>
            </w:r>
          </w:p>
          <w:p w14:paraId="46B4C50F">
            <w:pPr>
              <w:pStyle w:val="61"/>
              <w:keepNext w:val="0"/>
              <w:keepLines w:val="0"/>
              <w:pageBreakBefore w:val="0"/>
              <w:numPr>
                <w:ilvl w:val="0"/>
                <w:numId w:val="0"/>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842" w:leftChars="200" w:right="0" w:rightChars="0" w:hanging="420"/>
              <w:textAlignment w:val="auto"/>
              <w:rPr>
                <w:rFonts w:hint="eastAsia" w:ascii="Times New Roman" w:hAnsi="Times New Roman" w:eastAsia="宋体" w:cs="Times New Roman"/>
                <w:b/>
                <w:bCs/>
                <w:color w:val="000000"/>
                <w:kern w:val="2"/>
                <w:sz w:val="21"/>
                <w:szCs w:val="21"/>
                <w:highlight w:val="none"/>
                <w:lang w:val="en-US" w:eastAsia="zh-CN" w:bidi="ar-SA"/>
              </w:rPr>
            </w:pPr>
            <w:r>
              <w:rPr>
                <w:rFonts w:hint="eastAsia" w:cs="Times New Roman"/>
                <w:b/>
                <w:bCs/>
                <w:color w:val="000000"/>
                <w:kern w:val="2"/>
                <w:sz w:val="21"/>
                <w:szCs w:val="21"/>
                <w:highlight w:val="none"/>
                <w:lang w:val="en-US" w:eastAsia="zh-CN" w:bidi="ar-SA"/>
              </w:rPr>
              <w:t>4.</w:t>
            </w:r>
            <w:r>
              <w:rPr>
                <w:rFonts w:hint="eastAsia" w:ascii="Times New Roman" w:hAnsi="Times New Roman" w:eastAsia="宋体" w:cs="Times New Roman"/>
                <w:b/>
                <w:bCs/>
                <w:color w:val="000000"/>
                <w:kern w:val="2"/>
                <w:sz w:val="21"/>
                <w:szCs w:val="21"/>
                <w:highlight w:val="none"/>
                <w:lang w:val="en-US" w:eastAsia="zh-CN" w:bidi="ar-SA"/>
              </w:rPr>
              <w:t>排气筒高度符合性分析</w:t>
            </w:r>
          </w:p>
          <w:p w14:paraId="4E6EEBCA">
            <w:pPr>
              <w:pStyle w:val="61"/>
              <w:keepNext w:val="0"/>
              <w:keepLines w:val="0"/>
              <w:pageBreakBefore w:val="0"/>
              <w:numPr>
                <w:ilvl w:val="0"/>
                <w:numId w:val="0"/>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000000"/>
                <w:sz w:val="21"/>
                <w:szCs w:val="21"/>
                <w:highlight w:val="none"/>
                <w:lang w:val="en-US" w:eastAsia="zh-CN"/>
              </w:rPr>
            </w:pPr>
            <w:r>
              <w:rPr>
                <w:rFonts w:hint="eastAsia" w:ascii="Times New Roman" w:hAnsi="Times New Roman" w:cs="Times New Roman"/>
                <w:b w:val="0"/>
                <w:bCs w:val="0"/>
                <w:color w:val="000000"/>
                <w:sz w:val="21"/>
                <w:szCs w:val="21"/>
                <w:highlight w:val="none"/>
                <w:lang w:val="en-US" w:eastAsia="zh-CN"/>
              </w:rPr>
              <w:t>本项目共设置3个排气筒，粉碎车间（大曲和粮食粉碎）设置1根排气筒DA001，排气筒高20m；锅炉房设置1根排气筒DA002，排气筒高20m；污水处理站设置1根排气筒DA003，高度15m。</w:t>
            </w:r>
          </w:p>
          <w:p w14:paraId="12822E42">
            <w:pPr>
              <w:pStyle w:val="61"/>
              <w:keepNext w:val="0"/>
              <w:keepLines w:val="0"/>
              <w:pageBreakBefore w:val="0"/>
              <w:numPr>
                <w:ilvl w:val="0"/>
                <w:numId w:val="0"/>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cs="Times New Roman"/>
                <w:b/>
                <w:bCs/>
                <w:color w:val="000000"/>
                <w:kern w:val="2"/>
                <w:sz w:val="21"/>
                <w:szCs w:val="21"/>
                <w:highlight w:val="none"/>
                <w:lang w:val="en-US" w:eastAsia="zh-CN" w:bidi="ar-SA"/>
              </w:rPr>
            </w:pPr>
            <w:r>
              <w:rPr>
                <w:rFonts w:hint="eastAsia" w:ascii="Times New Roman" w:hAnsi="Times New Roman" w:cs="Times New Roman"/>
                <w:b w:val="0"/>
                <w:bCs w:val="0"/>
                <w:color w:val="000000"/>
                <w:sz w:val="21"/>
                <w:szCs w:val="21"/>
                <w:highlight w:val="none"/>
                <w:lang w:val="en-US" w:eastAsia="zh-CN"/>
              </w:rPr>
              <w:t>DA001排气筒废气排放执行《</w:t>
            </w:r>
            <w:r>
              <w:rPr>
                <w:rFonts w:hint="default" w:ascii="Times New Roman" w:hAnsi="Times New Roman" w:cs="Times New Roman"/>
                <w:b w:val="0"/>
                <w:bCs w:val="0"/>
                <w:color w:val="000000"/>
                <w:sz w:val="21"/>
                <w:szCs w:val="21"/>
                <w:highlight w:val="none"/>
                <w:lang w:val="en-US" w:eastAsia="zh-CN"/>
              </w:rPr>
              <w:t>大气污染物综合排放标准》（GB16297-1996）</w:t>
            </w:r>
            <w:r>
              <w:rPr>
                <w:rFonts w:hint="eastAsia" w:ascii="Times New Roman" w:hAnsi="Times New Roman" w:cs="Times New Roman"/>
                <w:b w:val="0"/>
                <w:bCs w:val="0"/>
                <w:color w:val="000000"/>
                <w:sz w:val="21"/>
                <w:szCs w:val="21"/>
                <w:highlight w:val="none"/>
                <w:lang w:val="en-US" w:eastAsia="zh-CN"/>
              </w:rPr>
              <w:t>的二级标准，根据《</w:t>
            </w:r>
            <w:r>
              <w:rPr>
                <w:rFonts w:hint="default" w:ascii="Times New Roman" w:hAnsi="Times New Roman" w:cs="Times New Roman"/>
                <w:b w:val="0"/>
                <w:bCs w:val="0"/>
                <w:color w:val="000000"/>
                <w:sz w:val="21"/>
                <w:szCs w:val="21"/>
                <w:highlight w:val="none"/>
                <w:lang w:val="en-US" w:eastAsia="zh-CN"/>
              </w:rPr>
              <w:t>大气污染物综合排放标准》（GB16297-1996）中</w:t>
            </w:r>
            <w:r>
              <w:rPr>
                <w:rFonts w:hint="eastAsia" w:ascii="Times New Roman" w:hAnsi="Times New Roman" w:cs="Times New Roman"/>
                <w:b w:val="0"/>
                <w:bCs w:val="0"/>
                <w:color w:val="000000"/>
                <w:sz w:val="21"/>
                <w:szCs w:val="21"/>
                <w:highlight w:val="none"/>
                <w:lang w:val="en-US" w:eastAsia="zh-CN"/>
              </w:rPr>
              <w:t>“排气筒高度除需遵守表列排放速率标准值外，还应高出周围200m半径范围的建筑5m以上，不能达到该要求的排气筒，应按其高度对应的表列排放速率标准值严格按50%执行”的要求，本项目200m范围内尹家务中学教学楼3层，高约13.54m，设置20</w:t>
            </w:r>
            <w:r>
              <w:rPr>
                <w:rFonts w:hint="eastAsia" w:cs="Times New Roman"/>
                <w:b w:val="0"/>
                <w:bCs w:val="0"/>
                <w:color w:val="000000"/>
                <w:sz w:val="21"/>
                <w:szCs w:val="21"/>
                <w:highlight w:val="none"/>
                <w:lang w:val="en-US" w:eastAsia="zh-CN"/>
              </w:rPr>
              <w:t>m</w:t>
            </w:r>
            <w:r>
              <w:rPr>
                <w:rFonts w:hint="eastAsia" w:ascii="Times New Roman" w:hAnsi="Times New Roman" w:cs="Times New Roman"/>
                <w:b w:val="0"/>
                <w:bCs w:val="0"/>
                <w:color w:val="000000"/>
                <w:sz w:val="21"/>
                <w:szCs w:val="21"/>
                <w:highlight w:val="none"/>
                <w:lang w:val="en-US" w:eastAsia="zh-CN"/>
              </w:rPr>
              <w:t>的排气筒符合要求。</w:t>
            </w:r>
          </w:p>
          <w:p w14:paraId="04A8A34D">
            <w:pPr>
              <w:keepNext/>
              <w:keepLines/>
              <w:widowControl/>
              <w:shd w:val="clear" w:color="auto" w:fill="auto"/>
              <w:adjustRightInd w:val="0"/>
              <w:snapToGrid w:val="0"/>
              <w:spacing w:line="360" w:lineRule="auto"/>
              <w:ind w:firstLine="420" w:firstLineChars="200"/>
              <w:jc w:val="left"/>
              <w:outlineLvl w:val="1"/>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根据《锅炉大气污染物排放标准》（GB 13271-2014）中“燃油、燃气锅炉</w:t>
            </w:r>
            <w:r>
              <w:t>烟囱高度</w:t>
            </w:r>
            <w:r>
              <w:rPr>
                <w:rFonts w:hint="eastAsia" w:ascii="Times New Roman" w:hAnsi="Times New Roman" w:eastAsia="宋体" w:cs="Times New Roman"/>
                <w:b w:val="0"/>
                <w:bCs w:val="0"/>
                <w:color w:val="000000"/>
                <w:kern w:val="2"/>
                <w:sz w:val="21"/>
                <w:szCs w:val="21"/>
                <w:highlight w:val="none"/>
                <w:lang w:val="en-US" w:eastAsia="zh-CN" w:bidi="ar-SA"/>
              </w:rPr>
              <w:t>不低于8米，锅炉烟囱的具体高度按批复的环境影响评价文件确定。新建锅炉房的烟囱周围半径200m距离内有建筑物时，其烟囱应高出最高建筑物3m以上。”的要求，</w:t>
            </w:r>
            <w:r>
              <w:rPr>
                <w:rFonts w:hint="eastAsia" w:ascii="Times New Roman" w:hAnsi="Times New Roman" w:cs="Times New Roman"/>
                <w:b w:val="0"/>
                <w:bCs w:val="0"/>
                <w:color w:val="000000"/>
                <w:sz w:val="21"/>
                <w:szCs w:val="21"/>
                <w:highlight w:val="none"/>
                <w:lang w:val="en-US" w:eastAsia="zh-CN"/>
              </w:rPr>
              <w:t>本项目200m范围内尹家务中学教学楼3层，高约13.54m，锅炉设置20</w:t>
            </w:r>
            <w:r>
              <w:rPr>
                <w:rFonts w:hint="eastAsia" w:cs="Times New Roman"/>
                <w:b w:val="0"/>
                <w:bCs w:val="0"/>
                <w:color w:val="000000"/>
                <w:sz w:val="21"/>
                <w:szCs w:val="21"/>
                <w:highlight w:val="none"/>
                <w:lang w:val="en-US" w:eastAsia="zh-CN"/>
              </w:rPr>
              <w:t>m</w:t>
            </w:r>
            <w:r>
              <w:rPr>
                <w:rFonts w:hint="eastAsia" w:ascii="Times New Roman" w:hAnsi="Times New Roman" w:cs="Times New Roman"/>
                <w:b w:val="0"/>
                <w:bCs w:val="0"/>
                <w:color w:val="000000"/>
                <w:sz w:val="21"/>
                <w:szCs w:val="21"/>
                <w:highlight w:val="none"/>
                <w:lang w:val="en-US" w:eastAsia="zh-CN"/>
              </w:rPr>
              <w:t>的排气筒DA002符合要求。</w:t>
            </w:r>
          </w:p>
          <w:p w14:paraId="2D4FF811">
            <w:pPr>
              <w:keepNext/>
              <w:keepLines/>
              <w:widowControl/>
              <w:shd w:val="clear" w:color="auto" w:fill="auto"/>
              <w:adjustRightInd w:val="0"/>
              <w:snapToGrid w:val="0"/>
              <w:spacing w:line="360" w:lineRule="auto"/>
              <w:ind w:firstLine="420" w:firstLineChars="200"/>
              <w:jc w:val="left"/>
              <w:outlineLvl w:val="1"/>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DA003排气筒废气排放执行《恶臭污染物排放标准》（GB14554-93）中相关标准限值，根据《恶臭污染物排放标准》（GB14554-93）中“排气筒的最低高度不得低于15 m”的要求，DA003排气筒高度设置15</w:t>
            </w:r>
            <w:r>
              <w:rPr>
                <w:rFonts w:hint="eastAsia" w:cs="Times New Roman"/>
                <w:b w:val="0"/>
                <w:bCs w:val="0"/>
                <w:color w:val="000000"/>
                <w:kern w:val="2"/>
                <w:sz w:val="21"/>
                <w:szCs w:val="21"/>
                <w:highlight w:val="none"/>
                <w:lang w:val="en-US" w:eastAsia="zh-CN" w:bidi="ar-SA"/>
              </w:rPr>
              <w:t>m</w:t>
            </w:r>
            <w:r>
              <w:rPr>
                <w:rFonts w:hint="eastAsia" w:ascii="Times New Roman" w:hAnsi="Times New Roman" w:eastAsia="宋体" w:cs="Times New Roman"/>
                <w:b w:val="0"/>
                <w:bCs w:val="0"/>
                <w:color w:val="000000"/>
                <w:kern w:val="2"/>
                <w:sz w:val="21"/>
                <w:szCs w:val="21"/>
                <w:highlight w:val="none"/>
                <w:lang w:val="en-US" w:eastAsia="zh-CN" w:bidi="ar-SA"/>
              </w:rPr>
              <w:t>符合要求。</w:t>
            </w:r>
          </w:p>
          <w:p w14:paraId="18698B81">
            <w:pPr>
              <w:keepNext/>
              <w:keepLines/>
              <w:widowControl/>
              <w:shd w:val="clear" w:color="auto" w:fill="auto"/>
              <w:adjustRightInd w:val="0"/>
              <w:snapToGrid w:val="0"/>
              <w:spacing w:line="360" w:lineRule="auto"/>
              <w:ind w:firstLine="422" w:firstLineChars="200"/>
              <w:jc w:val="left"/>
              <w:outlineLvl w:val="1"/>
              <w:rPr>
                <w:rFonts w:hint="eastAsia" w:ascii="Times New Roman" w:hAnsi="Times New Roman" w:eastAsia="宋体" w:cs="Times New Roman"/>
                <w:b/>
                <w:bCs/>
                <w:color w:val="000000"/>
                <w:kern w:val="0"/>
                <w:sz w:val="21"/>
                <w:szCs w:val="21"/>
                <w:highlight w:val="none"/>
                <w:lang w:val="en-US" w:eastAsia="zh-CN" w:bidi="ar-SA"/>
              </w:rPr>
            </w:pPr>
            <w:r>
              <w:rPr>
                <w:rFonts w:hint="eastAsia" w:cs="Times New Roman"/>
                <w:b/>
                <w:bCs/>
                <w:color w:val="000000"/>
                <w:kern w:val="0"/>
                <w:sz w:val="21"/>
                <w:szCs w:val="21"/>
                <w:highlight w:val="none"/>
                <w:lang w:val="en-US" w:eastAsia="zh-CN" w:bidi="ar-SA"/>
              </w:rPr>
              <w:t>6.</w:t>
            </w:r>
            <w:r>
              <w:rPr>
                <w:rFonts w:hint="eastAsia" w:ascii="Times New Roman" w:hAnsi="Times New Roman" w:eastAsia="宋体" w:cs="Times New Roman"/>
                <w:b/>
                <w:bCs/>
                <w:color w:val="000000"/>
                <w:kern w:val="0"/>
                <w:sz w:val="21"/>
                <w:szCs w:val="21"/>
                <w:highlight w:val="none"/>
                <w:lang w:val="en-US" w:eastAsia="zh-CN" w:bidi="ar-SA"/>
              </w:rPr>
              <w:t>非正常工况废气</w:t>
            </w:r>
          </w:p>
          <w:p w14:paraId="5BA19BDC">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82"/>
              <w:jc w:val="both"/>
              <w:textAlignment w:val="auto"/>
              <w:rPr>
                <w:rFonts w:hint="eastAsia"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非正常</w:t>
            </w:r>
            <w:r>
              <w:t>工况是</w:t>
            </w:r>
            <w:r>
              <w:rPr>
                <w:rFonts w:hint="eastAsia" w:ascii="Times New Roman" w:hAnsi="Times New Roman" w:eastAsia="宋体" w:cs="Times New Roman"/>
                <w:b w:val="0"/>
                <w:bCs/>
                <w:color w:val="000000"/>
                <w:kern w:val="0"/>
                <w:sz w:val="21"/>
                <w:szCs w:val="21"/>
                <w:highlight w:val="none"/>
                <w:lang w:val="en-US" w:eastAsia="zh-CN" w:bidi="ar-SA"/>
              </w:rPr>
              <w:t>指生产系统开停车、设备检修停车、设备故障、环保设施达不到要求等情况，由于本项目环保设施先于主体设备开车，后于主体设备停车；主体设备故障时停车检修，检修合格后再开车，故本次环评不考虑开停车、主体设备检修、故障等非正常工况，只考虑环保设施达不到要求的情况。</w:t>
            </w:r>
          </w:p>
          <w:p w14:paraId="67095099">
            <w:pPr>
              <w:pStyle w:val="61"/>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本项目</w:t>
            </w:r>
            <w:r>
              <w:rPr>
                <w:rFonts w:hint="default" w:ascii="Times New Roman" w:hAnsi="Times New Roman" w:eastAsia="宋体" w:cs="Times New Roman"/>
                <w:b w:val="0"/>
                <w:bCs/>
                <w:color w:val="000000"/>
                <w:kern w:val="0"/>
                <w:sz w:val="21"/>
                <w:szCs w:val="21"/>
                <w:highlight w:val="none"/>
                <w:lang w:val="en-US" w:eastAsia="zh-CN" w:bidi="ar-SA"/>
              </w:rPr>
              <w:t>非正常</w:t>
            </w:r>
            <w:r>
              <w:rPr>
                <w:rFonts w:hint="eastAsia" w:ascii="Times New Roman" w:hAnsi="Times New Roman" w:eastAsia="宋体" w:cs="Times New Roman"/>
                <w:b w:val="0"/>
                <w:bCs/>
                <w:color w:val="000000"/>
                <w:kern w:val="0"/>
                <w:sz w:val="21"/>
                <w:szCs w:val="21"/>
                <w:highlight w:val="none"/>
                <w:lang w:val="en-US" w:eastAsia="zh-CN" w:bidi="ar-SA"/>
              </w:rPr>
              <w:t>工况</w:t>
            </w:r>
            <w:r>
              <w:rPr>
                <w:rFonts w:hint="default" w:ascii="Times New Roman" w:hAnsi="Times New Roman" w:eastAsia="宋体" w:cs="Times New Roman"/>
                <w:b w:val="0"/>
                <w:bCs/>
                <w:color w:val="000000"/>
                <w:kern w:val="0"/>
                <w:sz w:val="21"/>
                <w:szCs w:val="21"/>
                <w:highlight w:val="none"/>
                <w:lang w:val="en-US" w:eastAsia="zh-CN" w:bidi="ar-SA"/>
              </w:rPr>
              <w:t>主要是</w:t>
            </w:r>
            <w:r>
              <w:rPr>
                <w:rFonts w:hint="eastAsia" w:ascii="Times New Roman" w:hAnsi="Times New Roman" w:eastAsia="宋体" w:cs="Times New Roman"/>
                <w:b w:val="0"/>
                <w:bCs/>
                <w:color w:val="000000"/>
                <w:kern w:val="0"/>
                <w:sz w:val="21"/>
                <w:szCs w:val="21"/>
                <w:highlight w:val="none"/>
                <w:lang w:val="en-US" w:eastAsia="zh-CN" w:bidi="ar-SA"/>
              </w:rPr>
              <w:t>除尘器、活性炭吸附设施失效，当环保设施发生故障时，</w:t>
            </w:r>
            <w:r>
              <w:rPr>
                <w:rFonts w:hint="default" w:ascii="Times New Roman" w:hAnsi="Times New Roman" w:eastAsia="宋体" w:cs="Times New Roman"/>
                <w:b w:val="0"/>
                <w:bCs/>
                <w:color w:val="000000"/>
                <w:kern w:val="0"/>
                <w:sz w:val="21"/>
                <w:szCs w:val="21"/>
                <w:highlight w:val="none"/>
                <w:lang w:val="en-US" w:eastAsia="zh-CN" w:bidi="ar-SA"/>
              </w:rPr>
              <w:t>产生的废气超标排放，以最不利情况下</w:t>
            </w:r>
            <w:r>
              <w:rPr>
                <w:rFonts w:hint="eastAsia" w:ascii="Times New Roman" w:hAnsi="Times New Roman" w:eastAsia="宋体" w:cs="Times New Roman"/>
                <w:b w:val="0"/>
                <w:bCs/>
                <w:color w:val="000000"/>
                <w:kern w:val="0"/>
                <w:sz w:val="21"/>
                <w:szCs w:val="21"/>
                <w:highlight w:val="none"/>
                <w:lang w:val="en-US" w:eastAsia="zh-CN" w:bidi="ar-SA"/>
              </w:rPr>
              <w:t>布袋除尘器全部失效处理效率为0且无法正常</w:t>
            </w:r>
            <w:r>
              <w:rPr>
                <w:rFonts w:hint="default" w:ascii="Times New Roman" w:hAnsi="Times New Roman" w:eastAsia="宋体" w:cs="Times New Roman"/>
                <w:b w:val="0"/>
                <w:bCs/>
                <w:color w:val="000000"/>
                <w:kern w:val="0"/>
                <w:sz w:val="21"/>
                <w:szCs w:val="21"/>
                <w:highlight w:val="none"/>
                <w:lang w:val="en-US" w:eastAsia="zh-CN" w:bidi="ar-SA"/>
              </w:rPr>
              <w:t>运行时考虑，</w:t>
            </w:r>
            <w:r>
              <w:rPr>
                <w:rFonts w:hint="eastAsia" w:cs="Times New Roman"/>
                <w:b w:val="0"/>
                <w:bCs/>
                <w:color w:val="000000"/>
                <w:kern w:val="0"/>
                <w:sz w:val="21"/>
                <w:szCs w:val="21"/>
                <w:highlight w:val="none"/>
                <w:lang w:val="en-US" w:eastAsia="zh-CN" w:bidi="ar-SA"/>
              </w:rPr>
              <w:t>锅炉</w:t>
            </w:r>
            <w:r>
              <w:rPr>
                <w:rFonts w:hint="default" w:ascii="Times New Roman" w:hAnsi="Times New Roman" w:eastAsia="宋体" w:cs="Times New Roman"/>
                <w:b w:val="0"/>
                <w:bCs/>
                <w:color w:val="000000"/>
                <w:kern w:val="0"/>
                <w:sz w:val="21"/>
                <w:szCs w:val="21"/>
                <w:highlight w:val="none"/>
                <w:lang w:val="en-US" w:eastAsia="zh-CN" w:bidi="ar-SA"/>
              </w:rPr>
              <w:t>非正常工况为低氮燃烧机故障时，此时锅炉</w:t>
            </w:r>
            <w:r>
              <w:rPr>
                <w:rFonts w:hint="eastAsia" w:ascii="Times New Roman" w:hAnsi="Times New Roman" w:eastAsia="宋体" w:cs="Times New Roman"/>
                <w:b w:val="0"/>
                <w:bCs/>
                <w:color w:val="000000"/>
                <w:kern w:val="0"/>
                <w:sz w:val="21"/>
                <w:szCs w:val="21"/>
                <w:highlight w:val="none"/>
                <w:lang w:val="en-US" w:eastAsia="zh-CN" w:bidi="ar-SA"/>
              </w:rPr>
              <w:t>将采用备用设备进行处理，</w:t>
            </w:r>
            <w:r>
              <w:rPr>
                <w:rFonts w:hint="default" w:ascii="Times New Roman" w:hAnsi="Times New Roman" w:eastAsia="宋体" w:cs="Times New Roman"/>
                <w:b w:val="0"/>
                <w:bCs/>
                <w:color w:val="000000"/>
                <w:kern w:val="0"/>
                <w:sz w:val="21"/>
                <w:szCs w:val="21"/>
                <w:highlight w:val="none"/>
                <w:lang w:val="en-US" w:eastAsia="zh-CN" w:bidi="ar-SA"/>
              </w:rPr>
              <w:t>源强最大的时段废气排放</w:t>
            </w:r>
            <w:r>
              <w:rPr>
                <w:rFonts w:hint="eastAsia" w:ascii="Times New Roman" w:hAnsi="Times New Roman" w:eastAsia="宋体" w:cs="Times New Roman"/>
                <w:b w:val="0"/>
                <w:bCs/>
                <w:color w:val="000000"/>
                <w:kern w:val="0"/>
                <w:sz w:val="21"/>
                <w:szCs w:val="21"/>
                <w:highlight w:val="none"/>
                <w:lang w:val="en-US" w:eastAsia="zh-CN" w:bidi="ar-SA"/>
              </w:rPr>
              <w:t>1h</w:t>
            </w:r>
            <w:r>
              <w:rPr>
                <w:rFonts w:hint="default" w:ascii="Times New Roman" w:hAnsi="Times New Roman" w:eastAsia="宋体" w:cs="Times New Roman"/>
                <w:b w:val="0"/>
                <w:bCs/>
                <w:color w:val="000000"/>
                <w:kern w:val="0"/>
                <w:sz w:val="21"/>
                <w:szCs w:val="21"/>
                <w:highlight w:val="none"/>
                <w:lang w:val="en-US" w:eastAsia="zh-CN" w:bidi="ar-SA"/>
              </w:rPr>
              <w:t>对周围环境的影响。</w:t>
            </w:r>
          </w:p>
          <w:p w14:paraId="55DFFF19">
            <w:pPr>
              <w:pageBreakBefore w:val="0"/>
              <w:widowControl/>
              <w:shd w:val="clear" w:color="auto" w:fill="auto"/>
              <w:kinsoku/>
              <w:wordWrap/>
              <w:overflowPunct/>
              <w:topLinePunct w:val="0"/>
              <w:autoSpaceDE/>
              <w:autoSpaceDN/>
              <w:bidi w:val="0"/>
              <w:adjustRightInd w:val="0"/>
              <w:snapToGrid w:val="0"/>
              <w:spacing w:line="240" w:lineRule="auto"/>
              <w:jc w:val="center"/>
              <w:textAlignment w:val="auto"/>
              <w:rPr>
                <w:b/>
                <w:color w:val="000000"/>
                <w:sz w:val="21"/>
                <w:szCs w:val="21"/>
                <w:highlight w:val="none"/>
              </w:rPr>
            </w:pPr>
            <w:r>
              <w:rPr>
                <w:b/>
                <w:color w:val="000000"/>
                <w:sz w:val="21"/>
                <w:szCs w:val="21"/>
                <w:highlight w:val="none"/>
              </w:rPr>
              <w:t>表4-</w:t>
            </w:r>
            <w:r>
              <w:rPr>
                <w:rFonts w:hint="eastAsia"/>
                <w:b/>
                <w:color w:val="000000"/>
                <w:sz w:val="21"/>
                <w:szCs w:val="21"/>
                <w:highlight w:val="none"/>
                <w:lang w:val="en-US" w:eastAsia="zh-CN"/>
              </w:rPr>
              <w:t>5</w:t>
            </w:r>
            <w:r>
              <w:rPr>
                <w:b/>
                <w:color w:val="000000"/>
                <w:sz w:val="21"/>
                <w:szCs w:val="21"/>
                <w:highlight w:val="none"/>
              </w:rPr>
              <w:t xml:space="preserve">   非正常工况废气排放情况一览表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509"/>
              <w:gridCol w:w="1856"/>
              <w:gridCol w:w="1760"/>
              <w:gridCol w:w="2011"/>
            </w:tblGrid>
            <w:tr w14:paraId="780D7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541" w:type="pct"/>
                  <w:tcBorders>
                    <w:tl2br w:val="nil"/>
                    <w:tr2bl w:val="nil"/>
                  </w:tcBorders>
                  <w:shd w:val="clear" w:color="auto" w:fill="auto"/>
                  <w:noWrap w:val="0"/>
                  <w:vAlign w:val="center"/>
                </w:tcPr>
                <w:p w14:paraId="26B77D55">
                  <w:pPr>
                    <w:shd w:val="clear" w:color="auto" w:fill="auto"/>
                    <w:jc w:val="center"/>
                    <w:rPr>
                      <w:rFonts w:hint="default" w:eastAsia="宋体"/>
                      <w:b/>
                      <w:bCs/>
                      <w:color w:val="000000"/>
                      <w:spacing w:val="-10"/>
                      <w:sz w:val="21"/>
                      <w:szCs w:val="21"/>
                      <w:highlight w:val="none"/>
                      <w:lang w:val="en-US" w:eastAsia="zh-CN"/>
                    </w:rPr>
                  </w:pPr>
                  <w:r>
                    <w:rPr>
                      <w:rFonts w:hint="eastAsia"/>
                      <w:b/>
                      <w:bCs/>
                      <w:color w:val="000000"/>
                      <w:spacing w:val="-10"/>
                      <w:sz w:val="21"/>
                      <w:szCs w:val="21"/>
                      <w:highlight w:val="none"/>
                      <w:lang w:val="en-US" w:eastAsia="zh-CN"/>
                    </w:rPr>
                    <w:t>生产工序</w:t>
                  </w:r>
                </w:p>
              </w:tc>
              <w:tc>
                <w:tcPr>
                  <w:tcW w:w="1140" w:type="pct"/>
                  <w:tcBorders>
                    <w:tl2br w:val="nil"/>
                    <w:tr2bl w:val="nil"/>
                  </w:tcBorders>
                  <w:shd w:val="clear" w:color="auto" w:fill="auto"/>
                  <w:noWrap w:val="0"/>
                  <w:vAlign w:val="center"/>
                </w:tcPr>
                <w:p w14:paraId="04D1458B">
                  <w:pPr>
                    <w:shd w:val="clear" w:color="auto" w:fill="auto"/>
                    <w:jc w:val="center"/>
                    <w:rPr>
                      <w:rFonts w:hint="eastAsia"/>
                      <w:b/>
                      <w:bCs/>
                      <w:color w:val="000000"/>
                      <w:spacing w:val="-10"/>
                      <w:sz w:val="21"/>
                      <w:szCs w:val="21"/>
                      <w:highlight w:val="none"/>
                    </w:rPr>
                  </w:pPr>
                  <w:r>
                    <w:rPr>
                      <w:rFonts w:hint="eastAsia"/>
                      <w:b/>
                      <w:bCs/>
                      <w:color w:val="000000"/>
                      <w:spacing w:val="-10"/>
                      <w:sz w:val="21"/>
                      <w:szCs w:val="21"/>
                      <w:highlight w:val="none"/>
                    </w:rPr>
                    <w:t>污染物种类</w:t>
                  </w:r>
                </w:p>
              </w:tc>
              <w:tc>
                <w:tcPr>
                  <w:tcW w:w="1081" w:type="pct"/>
                  <w:tcBorders>
                    <w:tl2br w:val="nil"/>
                    <w:tr2bl w:val="nil"/>
                  </w:tcBorders>
                  <w:shd w:val="clear" w:color="auto" w:fill="auto"/>
                  <w:noWrap w:val="0"/>
                  <w:vAlign w:val="center"/>
                </w:tcPr>
                <w:p w14:paraId="2207C0CE">
                  <w:pPr>
                    <w:shd w:val="clear" w:color="auto" w:fill="auto"/>
                    <w:jc w:val="center"/>
                    <w:rPr>
                      <w:b/>
                      <w:bCs/>
                      <w:color w:val="000000"/>
                      <w:spacing w:val="-10"/>
                      <w:sz w:val="21"/>
                      <w:szCs w:val="21"/>
                      <w:highlight w:val="none"/>
                    </w:rPr>
                  </w:pPr>
                  <w:r>
                    <w:rPr>
                      <w:rFonts w:hint="eastAsia"/>
                      <w:b/>
                      <w:bCs/>
                      <w:color w:val="000000"/>
                      <w:spacing w:val="-10"/>
                      <w:sz w:val="21"/>
                      <w:szCs w:val="21"/>
                      <w:highlight w:val="none"/>
                    </w:rPr>
                    <w:t>持续时间</w:t>
                  </w:r>
                </w:p>
              </w:tc>
              <w:tc>
                <w:tcPr>
                  <w:tcW w:w="1235" w:type="pct"/>
                  <w:tcBorders>
                    <w:tl2br w:val="nil"/>
                    <w:tr2bl w:val="nil"/>
                  </w:tcBorders>
                  <w:shd w:val="clear" w:color="auto" w:fill="auto"/>
                  <w:noWrap w:val="0"/>
                  <w:vAlign w:val="center"/>
                </w:tcPr>
                <w:p w14:paraId="5F4AA943">
                  <w:pPr>
                    <w:shd w:val="clear" w:color="auto" w:fill="auto"/>
                    <w:jc w:val="center"/>
                    <w:rPr>
                      <w:rFonts w:hint="default" w:eastAsia="宋体"/>
                      <w:b/>
                      <w:bCs/>
                      <w:color w:val="000000"/>
                      <w:spacing w:val="-10"/>
                      <w:sz w:val="21"/>
                      <w:szCs w:val="21"/>
                      <w:highlight w:val="none"/>
                      <w:lang w:val="en-US" w:eastAsia="zh-CN"/>
                    </w:rPr>
                  </w:pPr>
                  <w:r>
                    <w:rPr>
                      <w:rFonts w:hint="eastAsia"/>
                      <w:b/>
                      <w:bCs/>
                      <w:color w:val="000000"/>
                      <w:spacing w:val="-10"/>
                      <w:sz w:val="21"/>
                      <w:szCs w:val="21"/>
                      <w:highlight w:val="none"/>
                    </w:rPr>
                    <w:t>排放量</w:t>
                  </w:r>
                  <w:r>
                    <w:rPr>
                      <w:rFonts w:hint="eastAsia"/>
                      <w:b/>
                      <w:bCs/>
                      <w:color w:val="000000"/>
                      <w:spacing w:val="-10"/>
                      <w:sz w:val="21"/>
                      <w:szCs w:val="21"/>
                      <w:highlight w:val="none"/>
                      <w:lang w:val="en-US" w:eastAsia="zh-CN"/>
                    </w:rPr>
                    <w:t>/kg</w:t>
                  </w:r>
                </w:p>
              </w:tc>
            </w:tr>
            <w:tr w14:paraId="228B7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541" w:type="pct"/>
                  <w:tcBorders>
                    <w:tl2br w:val="nil"/>
                    <w:tr2bl w:val="nil"/>
                  </w:tcBorders>
                  <w:shd w:val="clear" w:color="auto" w:fill="auto"/>
                  <w:noWrap w:val="0"/>
                  <w:vAlign w:val="center"/>
                </w:tcPr>
                <w:p w14:paraId="1204E1BE">
                  <w:pPr>
                    <w:shd w:val="clear" w:color="auto" w:fill="auto"/>
                    <w:jc w:val="center"/>
                    <w:rPr>
                      <w:rFonts w:hint="default" w:eastAsia="宋体"/>
                      <w:color w:val="000000"/>
                      <w:spacing w:val="-10"/>
                      <w:sz w:val="21"/>
                      <w:szCs w:val="21"/>
                      <w:highlight w:val="none"/>
                      <w:lang w:val="en-US" w:eastAsia="zh-CN"/>
                    </w:rPr>
                  </w:pPr>
                  <w:r>
                    <w:rPr>
                      <w:rFonts w:hint="eastAsia" w:eastAsia="宋体"/>
                      <w:color w:val="000000"/>
                      <w:spacing w:val="-10"/>
                      <w:sz w:val="21"/>
                      <w:szCs w:val="21"/>
                      <w:highlight w:val="none"/>
                      <w:lang w:val="en-US" w:eastAsia="zh-CN"/>
                    </w:rPr>
                    <w:t>粮食、大曲粉碎</w:t>
                  </w:r>
                </w:p>
              </w:tc>
              <w:tc>
                <w:tcPr>
                  <w:tcW w:w="1140" w:type="pct"/>
                  <w:tcBorders>
                    <w:tl2br w:val="nil"/>
                    <w:tr2bl w:val="nil"/>
                  </w:tcBorders>
                  <w:shd w:val="clear" w:color="auto" w:fill="auto"/>
                  <w:noWrap w:val="0"/>
                  <w:vAlign w:val="center"/>
                </w:tcPr>
                <w:p w14:paraId="53F81F34">
                  <w:pPr>
                    <w:shd w:val="clear" w:color="auto" w:fill="auto"/>
                    <w:jc w:val="center"/>
                    <w:rPr>
                      <w:rFonts w:hint="default"/>
                      <w:color w:val="000000"/>
                      <w:spacing w:val="-10"/>
                      <w:sz w:val="21"/>
                      <w:szCs w:val="21"/>
                      <w:highlight w:val="none"/>
                      <w:lang w:val="en-US" w:eastAsia="zh-CN"/>
                    </w:rPr>
                  </w:pPr>
                  <w:r>
                    <w:rPr>
                      <w:rFonts w:hint="eastAsia"/>
                      <w:color w:val="000000"/>
                      <w:spacing w:val="-10"/>
                      <w:sz w:val="21"/>
                      <w:szCs w:val="21"/>
                      <w:highlight w:val="none"/>
                      <w:lang w:val="en-US" w:eastAsia="zh-CN"/>
                    </w:rPr>
                    <w:t>颗粒物</w:t>
                  </w:r>
                </w:p>
              </w:tc>
              <w:tc>
                <w:tcPr>
                  <w:tcW w:w="1081" w:type="pct"/>
                  <w:tcBorders>
                    <w:tl2br w:val="nil"/>
                    <w:tr2bl w:val="nil"/>
                  </w:tcBorders>
                  <w:shd w:val="clear" w:color="auto" w:fill="auto"/>
                  <w:noWrap w:val="0"/>
                  <w:vAlign w:val="center"/>
                </w:tcPr>
                <w:p w14:paraId="1A138BA5">
                  <w:pPr>
                    <w:shd w:val="clear" w:color="auto" w:fill="auto"/>
                    <w:jc w:val="center"/>
                    <w:rPr>
                      <w:rFonts w:hint="default"/>
                      <w:color w:val="000000"/>
                      <w:spacing w:val="-10"/>
                      <w:sz w:val="21"/>
                      <w:szCs w:val="21"/>
                      <w:highlight w:val="none"/>
                      <w:lang w:val="en-US"/>
                    </w:rPr>
                  </w:pPr>
                  <w:r>
                    <w:rPr>
                      <w:rFonts w:hint="eastAsia" w:ascii="Times New Roman" w:hAnsi="Times New Roman" w:eastAsia="宋体" w:cs="Times New Roman"/>
                      <w:b w:val="0"/>
                      <w:bCs/>
                      <w:color w:val="000000"/>
                      <w:kern w:val="0"/>
                      <w:sz w:val="21"/>
                      <w:szCs w:val="21"/>
                      <w:highlight w:val="none"/>
                      <w:lang w:val="en-US" w:eastAsia="zh-CN" w:bidi="ar-SA"/>
                    </w:rPr>
                    <w:t>1h</w:t>
                  </w:r>
                </w:p>
              </w:tc>
              <w:tc>
                <w:tcPr>
                  <w:tcW w:w="1235" w:type="pct"/>
                  <w:tcBorders>
                    <w:tl2br w:val="nil"/>
                    <w:tr2bl w:val="nil"/>
                  </w:tcBorders>
                  <w:shd w:val="clear" w:color="auto" w:fill="auto"/>
                  <w:noWrap w:val="0"/>
                  <w:vAlign w:val="center"/>
                </w:tcPr>
                <w:p w14:paraId="0A6D7A9F">
                  <w:pPr>
                    <w:shd w:val="clear" w:color="auto" w:fill="auto"/>
                    <w:jc w:val="center"/>
                    <w:rPr>
                      <w:rFonts w:hint="default" w:eastAsia="宋体"/>
                      <w:color w:val="000000"/>
                      <w:spacing w:val="-10"/>
                      <w:sz w:val="21"/>
                      <w:szCs w:val="21"/>
                      <w:highlight w:val="none"/>
                      <w:lang w:val="en-US" w:eastAsia="zh-CN"/>
                    </w:rPr>
                  </w:pPr>
                  <w:r>
                    <w:rPr>
                      <w:rFonts w:hint="eastAsia"/>
                      <w:color w:val="000000"/>
                      <w:spacing w:val="-10"/>
                      <w:sz w:val="21"/>
                      <w:szCs w:val="21"/>
                      <w:highlight w:val="none"/>
                      <w:lang w:val="en-US" w:eastAsia="zh-CN"/>
                    </w:rPr>
                    <w:t>3.93</w:t>
                  </w:r>
                </w:p>
              </w:tc>
            </w:tr>
            <w:tr w14:paraId="7A0D3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541" w:type="pct"/>
                  <w:vMerge w:val="restart"/>
                  <w:tcBorders>
                    <w:tl2br w:val="nil"/>
                    <w:tr2bl w:val="nil"/>
                  </w:tcBorders>
                  <w:shd w:val="clear" w:color="auto" w:fill="auto"/>
                  <w:noWrap w:val="0"/>
                  <w:vAlign w:val="center"/>
                </w:tcPr>
                <w:p w14:paraId="56362561">
                  <w:pPr>
                    <w:shd w:val="clear" w:color="auto" w:fill="auto"/>
                    <w:jc w:val="center"/>
                    <w:rPr>
                      <w:rFonts w:hint="default"/>
                      <w:color w:val="000000"/>
                      <w:spacing w:val="-10"/>
                      <w:sz w:val="21"/>
                      <w:szCs w:val="21"/>
                      <w:highlight w:val="none"/>
                      <w:lang w:val="en-US" w:eastAsia="zh-CN"/>
                    </w:rPr>
                  </w:pPr>
                  <w:r>
                    <w:rPr>
                      <w:rFonts w:hint="eastAsia"/>
                      <w:color w:val="000000"/>
                      <w:spacing w:val="-10"/>
                      <w:sz w:val="21"/>
                      <w:szCs w:val="21"/>
                      <w:highlight w:val="none"/>
                      <w:lang w:val="en-US" w:eastAsia="zh-CN"/>
                    </w:rPr>
                    <w:t>污水处理</w:t>
                  </w:r>
                </w:p>
              </w:tc>
              <w:tc>
                <w:tcPr>
                  <w:tcW w:w="1140" w:type="pct"/>
                  <w:tcBorders>
                    <w:tl2br w:val="nil"/>
                    <w:tr2bl w:val="nil"/>
                  </w:tcBorders>
                  <w:shd w:val="clear" w:color="auto" w:fill="auto"/>
                  <w:noWrap w:val="0"/>
                  <w:vAlign w:val="center"/>
                </w:tcPr>
                <w:p w14:paraId="7D6B16AF">
                  <w:pPr>
                    <w:shd w:val="clear" w:color="auto" w:fill="auto"/>
                    <w:jc w:val="center"/>
                    <w:rPr>
                      <w:rFonts w:hint="default"/>
                      <w:color w:val="000000"/>
                      <w:spacing w:val="-10"/>
                      <w:sz w:val="21"/>
                      <w:szCs w:val="21"/>
                      <w:highlight w:val="none"/>
                      <w:lang w:val="en-US" w:eastAsia="zh-CN"/>
                    </w:rPr>
                  </w:pPr>
                  <w:r>
                    <w:rPr>
                      <w:rFonts w:hint="eastAsia"/>
                      <w:color w:val="000000"/>
                      <w:spacing w:val="-10"/>
                      <w:sz w:val="21"/>
                      <w:szCs w:val="21"/>
                      <w:highlight w:val="none"/>
                      <w:lang w:val="en-US" w:eastAsia="zh-CN"/>
                    </w:rPr>
                    <w:t>氨</w:t>
                  </w:r>
                </w:p>
              </w:tc>
              <w:tc>
                <w:tcPr>
                  <w:tcW w:w="1081" w:type="pct"/>
                  <w:tcBorders>
                    <w:tl2br w:val="nil"/>
                    <w:tr2bl w:val="nil"/>
                  </w:tcBorders>
                  <w:shd w:val="clear" w:color="auto" w:fill="auto"/>
                  <w:noWrap w:val="0"/>
                  <w:vAlign w:val="center"/>
                </w:tcPr>
                <w:p w14:paraId="4819A8F4">
                  <w:pPr>
                    <w:shd w:val="clear" w:color="auto" w:fill="auto"/>
                    <w:jc w:val="center"/>
                    <w:rPr>
                      <w:rFonts w:hint="eastAsia"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1h</w:t>
                  </w:r>
                </w:p>
              </w:tc>
              <w:tc>
                <w:tcPr>
                  <w:tcW w:w="1235" w:type="pct"/>
                  <w:tcBorders>
                    <w:tl2br w:val="nil"/>
                    <w:tr2bl w:val="nil"/>
                  </w:tcBorders>
                  <w:shd w:val="clear" w:color="auto" w:fill="auto"/>
                  <w:noWrap w:val="0"/>
                  <w:vAlign w:val="center"/>
                </w:tcPr>
                <w:p w14:paraId="5C139FB3">
                  <w:pPr>
                    <w:shd w:val="clear" w:color="auto" w:fill="auto"/>
                    <w:jc w:val="center"/>
                    <w:rPr>
                      <w:rFonts w:hint="default"/>
                      <w:color w:val="000000"/>
                      <w:spacing w:val="-10"/>
                      <w:sz w:val="21"/>
                      <w:szCs w:val="21"/>
                      <w:highlight w:val="none"/>
                      <w:lang w:val="en-US" w:eastAsia="zh-CN"/>
                    </w:rPr>
                  </w:pPr>
                  <w:r>
                    <w:rPr>
                      <w:rFonts w:hint="eastAsia"/>
                      <w:color w:val="000000"/>
                      <w:sz w:val="21"/>
                      <w:szCs w:val="21"/>
                      <w:highlight w:val="none"/>
                      <w:lang w:val="en-US" w:eastAsia="zh-CN"/>
                    </w:rPr>
                    <w:t>0.122</w:t>
                  </w:r>
                </w:p>
              </w:tc>
            </w:tr>
            <w:tr w14:paraId="7FAA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1" w:type="pct"/>
                  <w:vMerge w:val="continue"/>
                  <w:tcBorders>
                    <w:tl2br w:val="nil"/>
                    <w:tr2bl w:val="nil"/>
                  </w:tcBorders>
                  <w:shd w:val="clear" w:color="auto" w:fill="auto"/>
                  <w:noWrap w:val="0"/>
                  <w:vAlign w:val="center"/>
                </w:tcPr>
                <w:p w14:paraId="32EA3ED8">
                  <w:pPr>
                    <w:shd w:val="clear" w:color="auto" w:fill="auto"/>
                    <w:jc w:val="center"/>
                    <w:rPr>
                      <w:rFonts w:hint="eastAsia"/>
                      <w:color w:val="000000"/>
                      <w:spacing w:val="-10"/>
                      <w:sz w:val="21"/>
                      <w:szCs w:val="21"/>
                      <w:highlight w:val="none"/>
                      <w:lang w:val="en-US" w:eastAsia="zh-CN"/>
                    </w:rPr>
                  </w:pPr>
                </w:p>
              </w:tc>
              <w:tc>
                <w:tcPr>
                  <w:tcW w:w="1140" w:type="pct"/>
                  <w:tcBorders>
                    <w:tl2br w:val="nil"/>
                    <w:tr2bl w:val="nil"/>
                  </w:tcBorders>
                  <w:shd w:val="clear" w:color="auto" w:fill="auto"/>
                  <w:noWrap w:val="0"/>
                  <w:vAlign w:val="center"/>
                </w:tcPr>
                <w:p w14:paraId="716F2499">
                  <w:pPr>
                    <w:shd w:val="clear" w:color="auto" w:fill="auto"/>
                    <w:jc w:val="center"/>
                    <w:rPr>
                      <w:rFonts w:hint="default"/>
                      <w:color w:val="000000"/>
                      <w:spacing w:val="-10"/>
                      <w:sz w:val="21"/>
                      <w:szCs w:val="21"/>
                      <w:highlight w:val="none"/>
                      <w:lang w:val="en-US" w:eastAsia="zh-CN"/>
                    </w:rPr>
                  </w:pPr>
                  <w:r>
                    <w:rPr>
                      <w:rFonts w:hint="eastAsia"/>
                      <w:color w:val="000000"/>
                      <w:spacing w:val="-10"/>
                      <w:sz w:val="21"/>
                      <w:szCs w:val="21"/>
                      <w:highlight w:val="none"/>
                      <w:lang w:val="en-US" w:eastAsia="zh-CN"/>
                    </w:rPr>
                    <w:t>硫化氢</w:t>
                  </w:r>
                </w:p>
              </w:tc>
              <w:tc>
                <w:tcPr>
                  <w:tcW w:w="1081" w:type="pct"/>
                  <w:tcBorders>
                    <w:tl2br w:val="nil"/>
                    <w:tr2bl w:val="nil"/>
                  </w:tcBorders>
                  <w:shd w:val="clear" w:color="auto" w:fill="auto"/>
                  <w:noWrap w:val="0"/>
                  <w:vAlign w:val="center"/>
                </w:tcPr>
                <w:p w14:paraId="6F0CBF8F">
                  <w:pPr>
                    <w:shd w:val="clear" w:color="auto" w:fill="auto"/>
                    <w:jc w:val="center"/>
                    <w:rPr>
                      <w:rFonts w:hint="eastAsia"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1h</w:t>
                  </w:r>
                </w:p>
              </w:tc>
              <w:tc>
                <w:tcPr>
                  <w:tcW w:w="1235" w:type="pct"/>
                  <w:tcBorders>
                    <w:tl2br w:val="nil"/>
                    <w:tr2bl w:val="nil"/>
                  </w:tcBorders>
                  <w:shd w:val="clear" w:color="auto" w:fill="auto"/>
                  <w:noWrap w:val="0"/>
                  <w:vAlign w:val="center"/>
                </w:tcPr>
                <w:p w14:paraId="66274351">
                  <w:pPr>
                    <w:shd w:val="clear" w:color="auto" w:fill="auto"/>
                    <w:jc w:val="center"/>
                    <w:rPr>
                      <w:rFonts w:hint="default"/>
                      <w:color w:val="000000"/>
                      <w:spacing w:val="-10"/>
                      <w:sz w:val="21"/>
                      <w:szCs w:val="21"/>
                      <w:highlight w:val="none"/>
                      <w:lang w:val="en-US" w:eastAsia="zh-CN"/>
                    </w:rPr>
                  </w:pPr>
                  <w:r>
                    <w:rPr>
                      <w:rFonts w:hint="eastAsia"/>
                      <w:color w:val="000000"/>
                      <w:sz w:val="21"/>
                      <w:szCs w:val="21"/>
                      <w:highlight w:val="none"/>
                      <w:lang w:val="en-US" w:eastAsia="zh-CN"/>
                    </w:rPr>
                    <w:t>0.0047</w:t>
                  </w:r>
                </w:p>
              </w:tc>
            </w:tr>
          </w:tbl>
          <w:p w14:paraId="64D0A598">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为防止生产废气非正常情况排放，企业必须加强废气处理设施的管理，定期检修，确保废气处理设施正常运行</w:t>
            </w:r>
            <w:r>
              <w:rPr>
                <w:rFonts w:hint="eastAsia" w:cs="Times New Roman"/>
                <w:color w:val="000000"/>
                <w:highlight w:val="none"/>
                <w:lang w:val="en-US" w:eastAsia="zh-CN"/>
              </w:rPr>
              <w:t>。</w:t>
            </w:r>
            <w:r>
              <w:rPr>
                <w:rFonts w:hint="default" w:ascii="Times New Roman" w:hAnsi="Times New Roman" w:cs="Times New Roman"/>
                <w:color w:val="000000"/>
                <w:highlight w:val="none"/>
                <w:lang w:val="en-US" w:eastAsia="zh-CN"/>
              </w:rPr>
              <w:t>在废气处理设备停止运行或出现故障时，产生废气的各工序也必须相应停止生产。为杜绝废气非正常排放，要求</w:t>
            </w:r>
            <w:r>
              <w:rPr>
                <w:rFonts w:hint="eastAsia" w:ascii="Times New Roman" w:hAnsi="Times New Roman" w:cs="Times New Roman"/>
                <w:color w:val="000000"/>
                <w:highlight w:val="none"/>
                <w:lang w:val="en-US" w:eastAsia="zh-CN"/>
              </w:rPr>
              <w:t>建设单位</w:t>
            </w:r>
            <w:r>
              <w:rPr>
                <w:rFonts w:hint="default" w:ascii="Times New Roman" w:hAnsi="Times New Roman" w:cs="Times New Roman"/>
                <w:color w:val="000000"/>
                <w:highlight w:val="none"/>
                <w:lang w:val="en-US" w:eastAsia="zh-CN"/>
              </w:rPr>
              <w:t>做好以下措施：</w:t>
            </w:r>
          </w:p>
          <w:p w14:paraId="444F91E4">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①安排专人负责环保设备的日常维护和管理，每隔固定时间检查、汇报情况，及时发现废气处理设备的隐患，确保废气处理系统正常运行；</w:t>
            </w:r>
          </w:p>
          <w:p w14:paraId="797773A1">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②严格按照环保设备使用手册，定期对</w:t>
            </w:r>
            <w:r>
              <w:rPr>
                <w:rFonts w:hint="eastAsia" w:ascii="Times New Roman" w:hAnsi="Times New Roman" w:eastAsia="宋体" w:cs="Times New Roman"/>
                <w:color w:val="000000"/>
                <w:highlight w:val="none"/>
                <w:lang w:val="en-US" w:eastAsia="zh-CN"/>
              </w:rPr>
              <w:t>除尘器进行清灰</w:t>
            </w:r>
            <w:r>
              <w:rPr>
                <w:rFonts w:hint="default" w:ascii="Times New Roman" w:hAnsi="Times New Roman" w:eastAsia="宋体" w:cs="Times New Roman"/>
                <w:color w:val="000000"/>
                <w:highlight w:val="none"/>
                <w:lang w:val="en-US" w:eastAsia="zh-CN"/>
              </w:rPr>
              <w:t>；</w:t>
            </w:r>
          </w:p>
          <w:p w14:paraId="6FA1CE19">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③建立健全的环保管理机构，对环保管理人员和技术人员进行岗位培训，委托具有专业资质的环境检测单位对项目排放的各类污染物进行定期检测；</w:t>
            </w:r>
          </w:p>
          <w:p w14:paraId="097810B0">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④应定期维护、检修</w:t>
            </w:r>
            <w:r>
              <w:rPr>
                <w:rFonts w:hint="eastAsia" w:ascii="Times New Roman" w:hAnsi="Times New Roman" w:eastAsia="宋体" w:cs="Times New Roman"/>
                <w:color w:val="000000"/>
                <w:highlight w:val="none"/>
                <w:lang w:val="en-US" w:eastAsia="zh-CN"/>
              </w:rPr>
              <w:t>除尘</w:t>
            </w:r>
            <w:r>
              <w:rPr>
                <w:rFonts w:hint="default" w:ascii="Times New Roman" w:hAnsi="Times New Roman" w:eastAsia="宋体" w:cs="Times New Roman"/>
                <w:color w:val="000000"/>
                <w:highlight w:val="none"/>
                <w:lang w:val="en-US" w:eastAsia="zh-CN"/>
              </w:rPr>
              <w:t>装置，以保持废气处理装置的</w:t>
            </w:r>
            <w:r>
              <w:rPr>
                <w:rFonts w:hint="eastAsia" w:ascii="Times New Roman" w:hAnsi="Times New Roman" w:eastAsia="宋体" w:cs="Times New Roman"/>
                <w:color w:val="000000"/>
                <w:highlight w:val="none"/>
                <w:lang w:val="en-US" w:eastAsia="zh-CN"/>
              </w:rPr>
              <w:t>除尘</w:t>
            </w:r>
            <w:r>
              <w:rPr>
                <w:rFonts w:hint="default" w:ascii="Times New Roman" w:hAnsi="Times New Roman" w:eastAsia="宋体" w:cs="Times New Roman"/>
                <w:color w:val="000000"/>
                <w:highlight w:val="none"/>
                <w:lang w:val="en-US" w:eastAsia="zh-CN"/>
              </w:rPr>
              <w:t>能力。</w:t>
            </w:r>
          </w:p>
          <w:p w14:paraId="1EF1FCC0">
            <w:pPr>
              <w:keepNext/>
              <w:keepLines/>
              <w:widowControl/>
              <w:shd w:val="clear" w:color="auto" w:fill="auto"/>
              <w:adjustRightInd w:val="0"/>
              <w:snapToGrid w:val="0"/>
              <w:spacing w:line="360" w:lineRule="auto"/>
              <w:ind w:firstLine="422" w:firstLineChars="200"/>
              <w:jc w:val="left"/>
              <w:outlineLvl w:val="1"/>
              <w:rPr>
                <w:rFonts w:hint="default" w:ascii="Times New Roman" w:hAnsi="Times New Roman" w:eastAsia="宋体" w:cs="Times New Roman"/>
                <w:b/>
                <w:bCs/>
                <w:color w:val="000000"/>
                <w:kern w:val="0"/>
                <w:sz w:val="21"/>
                <w:szCs w:val="21"/>
                <w:highlight w:val="none"/>
                <w:lang w:val="en-US" w:eastAsia="zh-CN" w:bidi="ar-SA"/>
              </w:rPr>
            </w:pPr>
            <w:r>
              <w:rPr>
                <w:rFonts w:hint="eastAsia" w:cs="Times New Roman"/>
                <w:b/>
                <w:bCs/>
                <w:color w:val="000000"/>
                <w:kern w:val="0"/>
                <w:sz w:val="21"/>
                <w:szCs w:val="21"/>
                <w:highlight w:val="none"/>
                <w:lang w:val="en-US" w:eastAsia="zh-CN" w:bidi="ar-SA"/>
              </w:rPr>
              <w:t>7.</w:t>
            </w:r>
            <w:r>
              <w:rPr>
                <w:rFonts w:hint="eastAsia" w:ascii="Times New Roman" w:hAnsi="Times New Roman" w:eastAsia="宋体" w:cs="Times New Roman"/>
                <w:b/>
                <w:bCs/>
                <w:color w:val="000000"/>
                <w:kern w:val="0"/>
                <w:sz w:val="21"/>
                <w:szCs w:val="21"/>
                <w:highlight w:val="none"/>
                <w:lang w:val="en-US" w:eastAsia="zh-CN" w:bidi="ar-SA"/>
              </w:rPr>
              <w:t>废气自行监测方案</w:t>
            </w:r>
          </w:p>
          <w:p w14:paraId="5C25E334">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auto"/>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根据</w:t>
            </w:r>
            <w:r>
              <w:rPr>
                <w:rFonts w:hint="eastAsia" w:ascii="Times New Roman" w:hAnsi="Times New Roman" w:eastAsia="宋体" w:cs="Times New Roman"/>
                <w:color w:val="000000"/>
                <w:kern w:val="0"/>
                <w:sz w:val="21"/>
                <w:szCs w:val="21"/>
                <w:highlight w:val="none"/>
                <w:lang w:val="en-US" w:eastAsia="zh-CN" w:bidi="ar-SA"/>
              </w:rPr>
              <w:t>《排污单位自行监测技术指南酒、饮料制造》（HJ1085-2020）、《排污单位自行监测技术指南 火力发电及锅炉》（HJ820-2017）</w:t>
            </w:r>
            <w:r>
              <w:rPr>
                <w:rFonts w:hint="eastAsia" w:ascii="Times New Roman" w:hAnsi="Times New Roman" w:eastAsia="宋体" w:cs="Times New Roman"/>
                <w:color w:val="000000"/>
                <w:highlight w:val="none"/>
                <w:lang w:val="en-US" w:eastAsia="zh-CN"/>
              </w:rPr>
              <w:t>中的相关规定要求，制定企业废气自行监测方案。</w:t>
            </w:r>
          </w:p>
          <w:p w14:paraId="7701F986">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auto"/>
              <w:rPr>
                <w:rFonts w:hint="eastAsia" w:eastAsia="黑体"/>
                <w:bCs/>
                <w:color w:val="000000"/>
                <w:sz w:val="21"/>
                <w:szCs w:val="21"/>
                <w:highlight w:val="none"/>
              </w:rPr>
            </w:pPr>
            <w:r>
              <w:rPr>
                <w:rFonts w:hint="eastAsia" w:ascii="Times New Roman" w:hAnsi="Times New Roman" w:eastAsia="宋体" w:cs="Times New Roman"/>
                <w:color w:val="000000"/>
                <w:highlight w:val="none"/>
                <w:lang w:val="en-US" w:eastAsia="zh-CN"/>
              </w:rPr>
              <w:t>运营期自行监测方案详见下表。</w:t>
            </w:r>
          </w:p>
          <w:p w14:paraId="62A81E10">
            <w:pPr>
              <w:pageBreakBefore w:val="0"/>
              <w:widowControl/>
              <w:shd w:val="clear" w:color="auto" w:fill="auto"/>
              <w:kinsoku/>
              <w:wordWrap/>
              <w:overflowPunct/>
              <w:topLinePunct w:val="0"/>
              <w:autoSpaceDE/>
              <w:autoSpaceDN/>
              <w:bidi w:val="0"/>
              <w:adjustRightInd w:val="0"/>
              <w:snapToGrid w:val="0"/>
              <w:spacing w:line="240" w:lineRule="auto"/>
              <w:jc w:val="center"/>
              <w:textAlignment w:val="auto"/>
              <w:rPr>
                <w:rFonts w:hint="default" w:eastAsia="宋体"/>
                <w:b/>
                <w:color w:val="000000"/>
                <w:sz w:val="21"/>
                <w:szCs w:val="21"/>
                <w:highlight w:val="none"/>
                <w:lang w:val="en-US" w:eastAsia="zh-CN"/>
              </w:rPr>
            </w:pPr>
            <w:r>
              <w:rPr>
                <w:b/>
                <w:color w:val="000000"/>
                <w:sz w:val="21"/>
                <w:szCs w:val="21"/>
                <w:highlight w:val="none"/>
              </w:rPr>
              <w:t>表4-</w:t>
            </w:r>
            <w:r>
              <w:rPr>
                <w:rFonts w:hint="eastAsia"/>
                <w:b/>
                <w:color w:val="000000"/>
                <w:sz w:val="21"/>
                <w:szCs w:val="21"/>
                <w:highlight w:val="none"/>
                <w:lang w:val="en-US" w:eastAsia="zh-CN"/>
              </w:rPr>
              <w:t>6</w:t>
            </w:r>
            <w:r>
              <w:rPr>
                <w:b/>
                <w:color w:val="000000"/>
                <w:sz w:val="21"/>
                <w:szCs w:val="21"/>
                <w:highlight w:val="none"/>
              </w:rPr>
              <w:t xml:space="preserve">  </w:t>
            </w:r>
            <w:r>
              <w:rPr>
                <w:rFonts w:hint="eastAsia"/>
                <w:b/>
                <w:color w:val="000000"/>
                <w:sz w:val="21"/>
                <w:szCs w:val="21"/>
                <w:highlight w:val="none"/>
              </w:rPr>
              <w:t>运营期</w:t>
            </w:r>
            <w:r>
              <w:rPr>
                <w:rFonts w:hint="eastAsia"/>
                <w:b/>
                <w:color w:val="000000"/>
                <w:sz w:val="21"/>
                <w:szCs w:val="21"/>
                <w:highlight w:val="none"/>
                <w:lang w:val="en-US" w:eastAsia="zh-CN"/>
              </w:rPr>
              <w:t>废气自行监测方案</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06"/>
              <w:gridCol w:w="1616"/>
              <w:gridCol w:w="1717"/>
              <w:gridCol w:w="1232"/>
              <w:gridCol w:w="2764"/>
            </w:tblGrid>
            <w:tr w14:paraId="1DA6B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8" w:hRule="atLeast"/>
                <w:jc w:val="center"/>
              </w:trPr>
              <w:tc>
                <w:tcPr>
                  <w:tcW w:w="495" w:type="pct"/>
                  <w:tcBorders>
                    <w:tl2br w:val="nil"/>
                    <w:tr2bl w:val="nil"/>
                  </w:tcBorders>
                  <w:shd w:val="clear" w:color="auto" w:fill="auto"/>
                  <w:noWrap w:val="0"/>
                  <w:vAlign w:val="center"/>
                </w:tcPr>
                <w:p w14:paraId="237CA0EA">
                  <w:pPr>
                    <w:shd w:val="clear" w:color="auto" w:fill="auto"/>
                    <w:adjustRightInd w:val="0"/>
                    <w:snapToGrid w:val="0"/>
                    <w:jc w:val="center"/>
                    <w:rPr>
                      <w:rFonts w:hint="default" w:eastAsia="宋体"/>
                      <w:b/>
                      <w:bCs/>
                      <w:color w:val="000000"/>
                      <w:sz w:val="21"/>
                      <w:szCs w:val="21"/>
                      <w:highlight w:val="none"/>
                      <w:lang w:val="en-US" w:eastAsia="zh-CN"/>
                    </w:rPr>
                  </w:pPr>
                  <w:r>
                    <w:rPr>
                      <w:rFonts w:hint="eastAsia"/>
                      <w:b/>
                      <w:bCs/>
                      <w:color w:val="000000"/>
                      <w:sz w:val="21"/>
                      <w:szCs w:val="21"/>
                      <w:highlight w:val="none"/>
                      <w:lang w:val="en-US" w:eastAsia="zh-CN"/>
                    </w:rPr>
                    <w:t>序号</w:t>
                  </w:r>
                </w:p>
              </w:tc>
              <w:tc>
                <w:tcPr>
                  <w:tcW w:w="993" w:type="pct"/>
                  <w:tcBorders>
                    <w:tl2br w:val="nil"/>
                    <w:tr2bl w:val="nil"/>
                  </w:tcBorders>
                  <w:shd w:val="clear" w:color="auto" w:fill="auto"/>
                  <w:noWrap w:val="0"/>
                  <w:vAlign w:val="center"/>
                </w:tcPr>
                <w:p w14:paraId="2D2540E9">
                  <w:pPr>
                    <w:shd w:val="clear" w:color="auto" w:fill="auto"/>
                    <w:adjustRightInd w:val="0"/>
                    <w:snapToGrid w:val="0"/>
                    <w:jc w:val="center"/>
                    <w:rPr>
                      <w:b/>
                      <w:bCs/>
                      <w:color w:val="000000"/>
                      <w:sz w:val="21"/>
                      <w:szCs w:val="21"/>
                      <w:highlight w:val="none"/>
                    </w:rPr>
                  </w:pPr>
                  <w:r>
                    <w:rPr>
                      <w:b/>
                      <w:bCs/>
                      <w:color w:val="000000"/>
                      <w:sz w:val="21"/>
                      <w:szCs w:val="21"/>
                      <w:highlight w:val="none"/>
                    </w:rPr>
                    <w:t>监测点位</w:t>
                  </w:r>
                </w:p>
              </w:tc>
              <w:tc>
                <w:tcPr>
                  <w:tcW w:w="1055" w:type="pct"/>
                  <w:tcBorders>
                    <w:tl2br w:val="nil"/>
                    <w:tr2bl w:val="nil"/>
                  </w:tcBorders>
                  <w:shd w:val="clear" w:color="auto" w:fill="auto"/>
                  <w:noWrap w:val="0"/>
                  <w:vAlign w:val="center"/>
                </w:tcPr>
                <w:p w14:paraId="1B2CF2ED">
                  <w:pPr>
                    <w:shd w:val="clear" w:color="auto" w:fill="auto"/>
                    <w:adjustRightInd w:val="0"/>
                    <w:snapToGrid w:val="0"/>
                    <w:jc w:val="center"/>
                    <w:rPr>
                      <w:b/>
                      <w:bCs/>
                      <w:color w:val="000000"/>
                      <w:sz w:val="21"/>
                      <w:szCs w:val="21"/>
                      <w:highlight w:val="none"/>
                    </w:rPr>
                  </w:pPr>
                  <w:r>
                    <w:rPr>
                      <w:b/>
                      <w:bCs/>
                      <w:color w:val="000000"/>
                      <w:sz w:val="21"/>
                      <w:szCs w:val="21"/>
                      <w:highlight w:val="none"/>
                    </w:rPr>
                    <w:t>监测项目</w:t>
                  </w:r>
                </w:p>
              </w:tc>
              <w:tc>
                <w:tcPr>
                  <w:tcW w:w="757" w:type="pct"/>
                  <w:tcBorders>
                    <w:tl2br w:val="nil"/>
                    <w:tr2bl w:val="nil"/>
                  </w:tcBorders>
                  <w:shd w:val="clear" w:color="auto" w:fill="auto"/>
                  <w:noWrap w:val="0"/>
                  <w:vAlign w:val="center"/>
                </w:tcPr>
                <w:p w14:paraId="4DBACF16">
                  <w:pPr>
                    <w:shd w:val="clear" w:color="auto" w:fill="auto"/>
                    <w:adjustRightInd w:val="0"/>
                    <w:snapToGrid w:val="0"/>
                    <w:jc w:val="center"/>
                    <w:rPr>
                      <w:b/>
                      <w:bCs/>
                      <w:color w:val="000000"/>
                      <w:sz w:val="21"/>
                      <w:szCs w:val="21"/>
                      <w:highlight w:val="none"/>
                    </w:rPr>
                  </w:pPr>
                  <w:r>
                    <w:rPr>
                      <w:b/>
                      <w:bCs/>
                      <w:color w:val="000000"/>
                      <w:sz w:val="21"/>
                      <w:szCs w:val="21"/>
                      <w:highlight w:val="none"/>
                    </w:rPr>
                    <w:t>监测频次</w:t>
                  </w:r>
                </w:p>
              </w:tc>
              <w:tc>
                <w:tcPr>
                  <w:tcW w:w="1698" w:type="pct"/>
                  <w:tcBorders>
                    <w:tl2br w:val="nil"/>
                    <w:tr2bl w:val="nil"/>
                  </w:tcBorders>
                  <w:shd w:val="clear" w:color="auto" w:fill="auto"/>
                  <w:noWrap w:val="0"/>
                  <w:vAlign w:val="center"/>
                </w:tcPr>
                <w:p w14:paraId="2016DE09">
                  <w:pPr>
                    <w:shd w:val="clear" w:color="auto" w:fill="auto"/>
                    <w:jc w:val="center"/>
                    <w:rPr>
                      <w:b/>
                      <w:bCs/>
                      <w:color w:val="000000"/>
                      <w:sz w:val="21"/>
                      <w:szCs w:val="21"/>
                      <w:highlight w:val="none"/>
                    </w:rPr>
                  </w:pPr>
                  <w:r>
                    <w:rPr>
                      <w:rFonts w:hint="eastAsia"/>
                      <w:b/>
                      <w:bCs/>
                      <w:color w:val="000000"/>
                      <w:sz w:val="21"/>
                      <w:szCs w:val="21"/>
                      <w:highlight w:val="none"/>
                    </w:rPr>
                    <w:t>执行标准</w:t>
                  </w:r>
                </w:p>
              </w:tc>
            </w:tr>
            <w:tr w14:paraId="49FC9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495" w:type="pct"/>
                  <w:tcBorders>
                    <w:tl2br w:val="nil"/>
                    <w:tr2bl w:val="nil"/>
                  </w:tcBorders>
                  <w:shd w:val="clear" w:color="auto" w:fill="auto"/>
                  <w:noWrap w:val="0"/>
                  <w:vAlign w:val="center"/>
                </w:tcPr>
                <w:p w14:paraId="25203891">
                  <w:pPr>
                    <w:shd w:val="clear" w:color="auto" w:fill="auto"/>
                    <w:adjustRightInd w:val="0"/>
                    <w:snapToGrid w:val="0"/>
                    <w:jc w:val="center"/>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1</w:t>
                  </w:r>
                </w:p>
              </w:tc>
              <w:tc>
                <w:tcPr>
                  <w:tcW w:w="993" w:type="pct"/>
                  <w:tcBorders>
                    <w:tl2br w:val="nil"/>
                    <w:tr2bl w:val="nil"/>
                  </w:tcBorders>
                  <w:shd w:val="clear" w:color="auto" w:fill="auto"/>
                  <w:noWrap w:val="0"/>
                  <w:vAlign w:val="center"/>
                </w:tcPr>
                <w:p w14:paraId="6D4EE752">
                  <w:pPr>
                    <w:shd w:val="clear" w:color="auto" w:fill="auto"/>
                    <w:adjustRightInd w:val="0"/>
                    <w:snapToGrid w:val="0"/>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DA001粉碎粉尘</w:t>
                  </w:r>
                  <w:r>
                    <w:rPr>
                      <w:rFonts w:hint="eastAsia"/>
                      <w:color w:val="000000"/>
                      <w:sz w:val="21"/>
                      <w:szCs w:val="21"/>
                      <w:highlight w:val="none"/>
                    </w:rPr>
                    <w:t>排气筒</w:t>
                  </w:r>
                  <w:r>
                    <w:rPr>
                      <w:rFonts w:hint="eastAsia"/>
                      <w:color w:val="000000"/>
                      <w:sz w:val="21"/>
                      <w:szCs w:val="21"/>
                      <w:highlight w:val="none"/>
                      <w:lang w:val="en-US" w:eastAsia="zh-CN"/>
                    </w:rPr>
                    <w:t>出口</w:t>
                  </w:r>
                </w:p>
              </w:tc>
              <w:tc>
                <w:tcPr>
                  <w:tcW w:w="1055" w:type="pct"/>
                  <w:tcBorders>
                    <w:tl2br w:val="nil"/>
                    <w:tr2bl w:val="nil"/>
                  </w:tcBorders>
                  <w:shd w:val="clear" w:color="auto" w:fill="auto"/>
                  <w:noWrap w:val="0"/>
                  <w:vAlign w:val="center"/>
                </w:tcPr>
                <w:p w14:paraId="0E84A3B8">
                  <w:pPr>
                    <w:shd w:val="clear" w:color="auto" w:fill="auto"/>
                    <w:adjustRightInd w:val="0"/>
                    <w:snapToGrid w:val="0"/>
                    <w:jc w:val="center"/>
                    <w:rPr>
                      <w:rFonts w:hint="eastAsia" w:eastAsia="宋体"/>
                      <w:color w:val="000000"/>
                      <w:sz w:val="21"/>
                      <w:szCs w:val="21"/>
                      <w:highlight w:val="none"/>
                      <w:lang w:val="en-US" w:eastAsia="zh-CN"/>
                    </w:rPr>
                  </w:pPr>
                  <w:r>
                    <w:rPr>
                      <w:rFonts w:hint="eastAsia"/>
                      <w:color w:val="000000"/>
                      <w:sz w:val="21"/>
                      <w:szCs w:val="21"/>
                      <w:highlight w:val="none"/>
                      <w:lang w:val="en-US" w:eastAsia="zh-CN"/>
                    </w:rPr>
                    <w:t>颗粒物</w:t>
                  </w:r>
                </w:p>
              </w:tc>
              <w:tc>
                <w:tcPr>
                  <w:tcW w:w="757" w:type="pct"/>
                  <w:tcBorders>
                    <w:tl2br w:val="nil"/>
                    <w:tr2bl w:val="nil"/>
                  </w:tcBorders>
                  <w:shd w:val="clear" w:color="auto" w:fill="auto"/>
                  <w:noWrap w:val="0"/>
                  <w:vAlign w:val="center"/>
                </w:tcPr>
                <w:p w14:paraId="1062A391">
                  <w:pPr>
                    <w:shd w:val="clear" w:color="auto" w:fill="auto"/>
                    <w:adjustRightInd w:val="0"/>
                    <w:snapToGrid w:val="0"/>
                    <w:jc w:val="center"/>
                    <w:rPr>
                      <w:color w:val="000000"/>
                      <w:sz w:val="21"/>
                      <w:szCs w:val="21"/>
                      <w:highlight w:val="none"/>
                    </w:rPr>
                  </w:pPr>
                  <w:r>
                    <w:rPr>
                      <w:rFonts w:hint="eastAsia"/>
                      <w:color w:val="000000"/>
                      <w:sz w:val="21"/>
                      <w:szCs w:val="21"/>
                      <w:highlight w:val="none"/>
                    </w:rPr>
                    <w:t>1</w:t>
                  </w:r>
                  <w:r>
                    <w:rPr>
                      <w:color w:val="000000"/>
                      <w:sz w:val="21"/>
                      <w:szCs w:val="21"/>
                      <w:highlight w:val="none"/>
                    </w:rPr>
                    <w:t>次/</w:t>
                  </w:r>
                  <w:r>
                    <w:rPr>
                      <w:rFonts w:hint="eastAsia"/>
                      <w:color w:val="000000"/>
                      <w:sz w:val="21"/>
                      <w:szCs w:val="21"/>
                      <w:highlight w:val="none"/>
                      <w:lang w:val="en-US" w:eastAsia="zh-CN"/>
                    </w:rPr>
                    <w:t>半年</w:t>
                  </w:r>
                </w:p>
              </w:tc>
              <w:tc>
                <w:tcPr>
                  <w:tcW w:w="1698" w:type="pct"/>
                  <w:tcBorders>
                    <w:tl2br w:val="nil"/>
                    <w:tr2bl w:val="nil"/>
                  </w:tcBorders>
                  <w:shd w:val="clear" w:color="auto" w:fill="auto"/>
                  <w:noWrap w:val="0"/>
                  <w:vAlign w:val="center"/>
                </w:tcPr>
                <w:p w14:paraId="06E1AD06">
                  <w:pPr>
                    <w:shd w:val="clear" w:color="auto" w:fill="auto"/>
                    <w:bidi w:val="0"/>
                    <w:jc w:val="center"/>
                    <w:rPr>
                      <w:rFonts w:hint="default"/>
                      <w:color w:val="000000"/>
                      <w:kern w:val="2"/>
                      <w:sz w:val="21"/>
                      <w:szCs w:val="21"/>
                      <w:highlight w:val="none"/>
                      <w:lang w:val="en-US" w:eastAsia="zh-CN" w:bidi="ar-SA"/>
                    </w:rPr>
                  </w:pPr>
                  <w:r>
                    <w:rPr>
                      <w:rFonts w:hint="default" w:ascii="Times New Roman" w:hAnsi="Times New Roman" w:cs="Times New Roman"/>
                      <w:color w:val="000000"/>
                      <w:kern w:val="0"/>
                      <w:sz w:val="21"/>
                      <w:szCs w:val="21"/>
                      <w:highlight w:val="none"/>
                    </w:rPr>
                    <w:t>《</w:t>
                  </w:r>
                  <w:r>
                    <w:rPr>
                      <w:rFonts w:hint="default" w:ascii="Times New Roman" w:hAnsi="Times New Roman" w:eastAsia="宋体" w:cs="Times New Roman"/>
                      <w:color w:val="000000"/>
                      <w:kern w:val="2"/>
                      <w:sz w:val="21"/>
                      <w:szCs w:val="21"/>
                      <w:highlight w:val="none"/>
                      <w:lang w:val="en-US" w:eastAsia="zh-CN" w:bidi="ar-SA"/>
                    </w:rPr>
                    <w:t>大气污染物综合排放标准》（GB16297-1996）</w:t>
                  </w:r>
                </w:p>
              </w:tc>
            </w:tr>
            <w:tr w14:paraId="0F9A3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495" w:type="pct"/>
                  <w:vMerge w:val="restart"/>
                  <w:tcBorders>
                    <w:tl2br w:val="nil"/>
                    <w:tr2bl w:val="nil"/>
                  </w:tcBorders>
                  <w:shd w:val="clear" w:color="auto" w:fill="auto"/>
                  <w:noWrap w:val="0"/>
                  <w:vAlign w:val="center"/>
                </w:tcPr>
                <w:p w14:paraId="3A87F32D">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2</w:t>
                  </w:r>
                </w:p>
              </w:tc>
              <w:tc>
                <w:tcPr>
                  <w:tcW w:w="993" w:type="pct"/>
                  <w:vMerge w:val="restart"/>
                  <w:tcBorders>
                    <w:tl2br w:val="nil"/>
                    <w:tr2bl w:val="nil"/>
                  </w:tcBorders>
                  <w:shd w:val="clear" w:color="auto" w:fill="auto"/>
                  <w:noWrap w:val="0"/>
                  <w:vAlign w:val="center"/>
                </w:tcPr>
                <w:p w14:paraId="1B38B857">
                  <w:pPr>
                    <w:shd w:val="clear" w:color="auto" w:fill="auto"/>
                    <w:adjustRightInd w:val="0"/>
                    <w:snapToGrid w:val="0"/>
                    <w:jc w:val="center"/>
                    <w:rPr>
                      <w:rFonts w:hint="eastAsia"/>
                      <w:color w:val="000000"/>
                      <w:sz w:val="21"/>
                      <w:szCs w:val="21"/>
                      <w:highlight w:val="none"/>
                      <w:lang w:val="en-US" w:eastAsia="zh-CN"/>
                    </w:rPr>
                  </w:pPr>
                  <w:r>
                    <w:rPr>
                      <w:rFonts w:hint="eastAsia"/>
                      <w:color w:val="000000"/>
                      <w:sz w:val="21"/>
                      <w:szCs w:val="21"/>
                      <w:highlight w:val="none"/>
                      <w:lang w:val="en-US" w:eastAsia="zh-CN"/>
                    </w:rPr>
                    <w:t>DA002锅炉烟气</w:t>
                  </w:r>
                  <w:r>
                    <w:rPr>
                      <w:rFonts w:hint="eastAsia"/>
                      <w:color w:val="000000"/>
                      <w:sz w:val="21"/>
                      <w:szCs w:val="21"/>
                      <w:highlight w:val="none"/>
                    </w:rPr>
                    <w:t>排气筒</w:t>
                  </w:r>
                  <w:r>
                    <w:rPr>
                      <w:rFonts w:hint="eastAsia"/>
                      <w:color w:val="000000"/>
                      <w:sz w:val="21"/>
                      <w:szCs w:val="21"/>
                      <w:highlight w:val="none"/>
                      <w:lang w:val="en-US" w:eastAsia="zh-CN"/>
                    </w:rPr>
                    <w:t>出口</w:t>
                  </w:r>
                </w:p>
              </w:tc>
              <w:tc>
                <w:tcPr>
                  <w:tcW w:w="1055" w:type="pct"/>
                  <w:tcBorders>
                    <w:tl2br w:val="nil"/>
                    <w:tr2bl w:val="nil"/>
                  </w:tcBorders>
                  <w:shd w:val="clear" w:color="auto" w:fill="auto"/>
                  <w:noWrap w:val="0"/>
                  <w:vAlign w:val="center"/>
                </w:tcPr>
                <w:p w14:paraId="35818823">
                  <w:pPr>
                    <w:shd w:val="clear" w:color="auto" w:fill="auto"/>
                    <w:adjustRightInd w:val="0"/>
                    <w:snapToGrid w:val="0"/>
                    <w:jc w:val="center"/>
                    <w:rPr>
                      <w:rFonts w:hint="eastAsia"/>
                      <w:color w:val="000000"/>
                      <w:sz w:val="21"/>
                      <w:szCs w:val="21"/>
                      <w:highlight w:val="none"/>
                      <w:lang w:val="en-US" w:eastAsia="zh-CN"/>
                    </w:rPr>
                  </w:pPr>
                  <w:r>
                    <w:rPr>
                      <w:rFonts w:hint="eastAsia"/>
                      <w:color w:val="000000"/>
                      <w:sz w:val="21"/>
                      <w:szCs w:val="21"/>
                      <w:highlight w:val="none"/>
                      <w:lang w:val="en-US" w:eastAsia="zh-CN"/>
                    </w:rPr>
                    <w:t>氮氧化物</w:t>
                  </w:r>
                </w:p>
              </w:tc>
              <w:tc>
                <w:tcPr>
                  <w:tcW w:w="757" w:type="pct"/>
                  <w:tcBorders>
                    <w:tl2br w:val="nil"/>
                    <w:tr2bl w:val="nil"/>
                  </w:tcBorders>
                  <w:shd w:val="clear" w:color="auto" w:fill="auto"/>
                  <w:noWrap w:val="0"/>
                  <w:vAlign w:val="center"/>
                </w:tcPr>
                <w:p w14:paraId="411E6C01">
                  <w:pPr>
                    <w:shd w:val="clear" w:color="auto" w:fill="auto"/>
                    <w:adjustRightInd w:val="0"/>
                    <w:snapToGrid w:val="0"/>
                    <w:jc w:val="center"/>
                    <w:rPr>
                      <w:rFonts w:hint="eastAsia" w:eastAsia="宋体"/>
                      <w:color w:val="000000"/>
                      <w:sz w:val="21"/>
                      <w:szCs w:val="21"/>
                      <w:highlight w:val="none"/>
                      <w:lang w:val="en-US" w:eastAsia="zh-CN"/>
                    </w:rPr>
                  </w:pPr>
                  <w:r>
                    <w:rPr>
                      <w:rFonts w:hint="eastAsia"/>
                      <w:color w:val="000000"/>
                      <w:sz w:val="21"/>
                      <w:szCs w:val="21"/>
                      <w:highlight w:val="none"/>
                    </w:rPr>
                    <w:t>1</w:t>
                  </w:r>
                  <w:r>
                    <w:rPr>
                      <w:color w:val="000000"/>
                      <w:sz w:val="21"/>
                      <w:szCs w:val="21"/>
                      <w:highlight w:val="none"/>
                    </w:rPr>
                    <w:t>次/</w:t>
                  </w:r>
                  <w:r>
                    <w:rPr>
                      <w:rFonts w:hint="eastAsia"/>
                      <w:color w:val="000000"/>
                      <w:sz w:val="21"/>
                      <w:szCs w:val="21"/>
                      <w:highlight w:val="none"/>
                      <w:lang w:val="en-US" w:eastAsia="zh-CN"/>
                    </w:rPr>
                    <w:t>月</w:t>
                  </w:r>
                </w:p>
              </w:tc>
              <w:tc>
                <w:tcPr>
                  <w:tcW w:w="1698" w:type="pct"/>
                  <w:tcBorders>
                    <w:tl2br w:val="nil"/>
                    <w:tr2bl w:val="nil"/>
                  </w:tcBorders>
                  <w:shd w:val="clear" w:color="auto" w:fill="auto"/>
                  <w:noWrap w:val="0"/>
                  <w:vAlign w:val="center"/>
                </w:tcPr>
                <w:p w14:paraId="6312D9F4">
                  <w:pPr>
                    <w:shd w:val="clear" w:color="auto" w:fill="auto"/>
                    <w:bidi w:val="0"/>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val="en-US" w:eastAsia="zh-CN"/>
                    </w:rPr>
                    <w:t>宝鸡市</w:t>
                  </w:r>
                  <w:r>
                    <w:rPr>
                      <w:rFonts w:hint="default" w:ascii="Times New Roman" w:hAnsi="Times New Roman" w:eastAsia="宋体" w:cs="Times New Roman"/>
                      <w:color w:val="auto"/>
                      <w:szCs w:val="21"/>
                    </w:rPr>
                    <w:t>锅炉大气污染</w:t>
                  </w:r>
                  <w:r>
                    <w:rPr>
                      <w:rFonts w:hint="default" w:ascii="Times New Roman" w:hAnsi="Times New Roman" w:eastAsia="宋体" w:cs="Times New Roman"/>
                      <w:color w:val="auto"/>
                      <w:szCs w:val="21"/>
                      <w:lang w:val="en-US" w:eastAsia="zh-CN"/>
                    </w:rPr>
                    <w:t>专项整治行动方案</w:t>
                  </w:r>
                  <w:r>
                    <w:rPr>
                      <w:rFonts w:hint="default"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中</w:t>
                  </w:r>
                  <w:r>
                    <w:rPr>
                      <w:rFonts w:hint="eastAsia"/>
                      <w:lang w:val="en-US" w:eastAsia="zh-CN"/>
                    </w:rPr>
                    <w:t>的</w:t>
                  </w:r>
                  <w:r>
                    <w:rPr>
                      <w:rFonts w:hint="eastAsia" w:ascii="Times New Roman" w:hAnsi="Times New Roman" w:eastAsia="宋体" w:cs="Times New Roman"/>
                      <w:color w:val="auto"/>
                      <w:szCs w:val="21"/>
                      <w:lang w:val="en-US" w:eastAsia="zh-CN"/>
                    </w:rPr>
                    <w:t>限值要求</w:t>
                  </w:r>
                </w:p>
              </w:tc>
            </w:tr>
            <w:tr w14:paraId="251D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6" w:hRule="atLeast"/>
                <w:jc w:val="center"/>
              </w:trPr>
              <w:tc>
                <w:tcPr>
                  <w:tcW w:w="495" w:type="pct"/>
                  <w:vMerge w:val="continue"/>
                  <w:tcBorders>
                    <w:tl2br w:val="nil"/>
                    <w:tr2bl w:val="nil"/>
                  </w:tcBorders>
                  <w:shd w:val="clear" w:color="auto" w:fill="auto"/>
                  <w:noWrap w:val="0"/>
                  <w:vAlign w:val="center"/>
                </w:tcPr>
                <w:p w14:paraId="176F32D3">
                  <w:pPr>
                    <w:shd w:val="clear" w:color="auto" w:fill="auto"/>
                    <w:adjustRightInd w:val="0"/>
                    <w:snapToGrid w:val="0"/>
                    <w:jc w:val="center"/>
                  </w:pPr>
                </w:p>
              </w:tc>
              <w:tc>
                <w:tcPr>
                  <w:tcW w:w="993" w:type="pct"/>
                  <w:vMerge w:val="continue"/>
                  <w:tcBorders>
                    <w:tl2br w:val="nil"/>
                    <w:tr2bl w:val="nil"/>
                  </w:tcBorders>
                  <w:shd w:val="clear" w:color="auto" w:fill="auto"/>
                  <w:noWrap w:val="0"/>
                  <w:vAlign w:val="center"/>
                </w:tcPr>
                <w:p w14:paraId="3B733D0C">
                  <w:pPr>
                    <w:shd w:val="clear" w:color="auto" w:fill="auto"/>
                    <w:adjustRightInd w:val="0"/>
                    <w:snapToGrid w:val="0"/>
                    <w:jc w:val="center"/>
                  </w:pPr>
                </w:p>
              </w:tc>
              <w:tc>
                <w:tcPr>
                  <w:tcW w:w="1055" w:type="pct"/>
                  <w:tcBorders>
                    <w:tl2br w:val="nil"/>
                    <w:tr2bl w:val="nil"/>
                  </w:tcBorders>
                  <w:shd w:val="clear" w:color="auto" w:fill="auto"/>
                  <w:noWrap w:val="0"/>
                  <w:vAlign w:val="center"/>
                </w:tcPr>
                <w:p w14:paraId="5B6253B7">
                  <w:pPr>
                    <w:shd w:val="clear" w:color="auto" w:fill="auto"/>
                    <w:adjustRightInd w:val="0"/>
                    <w:snapToGrid w:val="0"/>
                    <w:jc w:val="center"/>
                    <w:rPr>
                      <w:rFonts w:hint="eastAsia"/>
                      <w:color w:val="000000"/>
                      <w:sz w:val="21"/>
                      <w:szCs w:val="21"/>
                      <w:highlight w:val="none"/>
                      <w:lang w:val="en-US" w:eastAsia="zh-CN"/>
                    </w:rPr>
                  </w:pPr>
                  <w:r>
                    <w:rPr>
                      <w:rFonts w:hint="eastAsia"/>
                      <w:color w:val="000000"/>
                      <w:sz w:val="21"/>
                      <w:szCs w:val="21"/>
                      <w:highlight w:val="none"/>
                      <w:lang w:val="en-US" w:eastAsia="zh-CN"/>
                    </w:rPr>
                    <w:t>颗粒物、二氧化硫</w:t>
                  </w:r>
                </w:p>
              </w:tc>
              <w:tc>
                <w:tcPr>
                  <w:tcW w:w="757" w:type="pct"/>
                  <w:vMerge w:val="restart"/>
                  <w:tcBorders>
                    <w:tl2br w:val="nil"/>
                    <w:tr2bl w:val="nil"/>
                  </w:tcBorders>
                  <w:shd w:val="clear" w:color="auto" w:fill="auto"/>
                  <w:noWrap w:val="0"/>
                  <w:vAlign w:val="center"/>
                </w:tcPr>
                <w:p w14:paraId="6C397171">
                  <w:pPr>
                    <w:shd w:val="clear" w:color="auto" w:fill="auto"/>
                    <w:adjustRightInd w:val="0"/>
                    <w:snapToGrid w:val="0"/>
                    <w:jc w:val="center"/>
                    <w:rPr>
                      <w:rFonts w:hint="eastAsia"/>
                      <w:color w:val="000000"/>
                      <w:sz w:val="21"/>
                      <w:szCs w:val="21"/>
                      <w:highlight w:val="none"/>
                      <w:lang w:val="en-US" w:eastAsia="zh-CN"/>
                    </w:rPr>
                  </w:pPr>
                  <w:r>
                    <w:rPr>
                      <w:rFonts w:hint="default" w:ascii="Times New Roman" w:hAnsi="Times New Roman" w:eastAsia="宋体" w:cs="Times New Roman"/>
                      <w:color w:val="auto"/>
                    </w:rPr>
                    <w:t>1次/</w:t>
                  </w:r>
                  <w:r>
                    <w:rPr>
                      <w:rFonts w:hint="default" w:ascii="Times New Roman" w:hAnsi="Times New Roman" w:eastAsia="宋体" w:cs="Times New Roman"/>
                      <w:color w:val="auto"/>
                      <w:lang w:val="en-US" w:eastAsia="zh-CN"/>
                    </w:rPr>
                    <w:t>年</w:t>
                  </w:r>
                </w:p>
              </w:tc>
              <w:tc>
                <w:tcPr>
                  <w:tcW w:w="1698" w:type="pct"/>
                  <w:tcBorders>
                    <w:tl2br w:val="nil"/>
                    <w:tr2bl w:val="nil"/>
                  </w:tcBorders>
                  <w:shd w:val="clear" w:color="auto" w:fill="auto"/>
                  <w:noWrap w:val="0"/>
                  <w:vAlign w:val="center"/>
                </w:tcPr>
                <w:p w14:paraId="1D7673FC">
                  <w:pPr>
                    <w:shd w:val="clear" w:color="auto" w:fill="auto"/>
                    <w:bidi w:val="0"/>
                    <w:jc w:val="center"/>
                    <w:rPr>
                      <w:rFonts w:hint="eastAsia" w:ascii="Times New Roman" w:hAnsi="Times New Roman" w:eastAsia="宋体" w:cs="Times New Roman"/>
                      <w:color w:val="000000"/>
                      <w:kern w:val="2"/>
                      <w:sz w:val="21"/>
                      <w:szCs w:val="21"/>
                      <w:highlight w:val="none"/>
                      <w:lang w:val="en-US" w:eastAsia="zh-CN" w:bidi="ar-SA"/>
                    </w:rPr>
                  </w:pPr>
                  <w:r>
                    <w:rPr>
                      <w:rFonts w:ascii="Times New Roman" w:hAnsi="Times New Roman" w:eastAsia="宋体" w:cs="Times New Roman"/>
                      <w:color w:val="000000"/>
                      <w:szCs w:val="21"/>
                      <w:highlight w:val="none"/>
                    </w:rPr>
                    <w:t>《锅炉大气污染物排放标准》（DB61/1226-2018）</w:t>
                  </w:r>
                </w:p>
              </w:tc>
            </w:tr>
            <w:tr w14:paraId="5C910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95" w:type="pct"/>
                  <w:vMerge w:val="continue"/>
                  <w:tcBorders>
                    <w:tl2br w:val="nil"/>
                    <w:tr2bl w:val="nil"/>
                  </w:tcBorders>
                  <w:shd w:val="clear" w:color="auto" w:fill="auto"/>
                  <w:noWrap w:val="0"/>
                  <w:vAlign w:val="center"/>
                </w:tcPr>
                <w:p w14:paraId="072CEA02">
                  <w:pPr>
                    <w:shd w:val="clear" w:color="auto" w:fill="auto"/>
                    <w:adjustRightInd w:val="0"/>
                    <w:snapToGrid w:val="0"/>
                    <w:jc w:val="center"/>
                    <w:rPr>
                      <w:rFonts w:hint="eastAsia"/>
                      <w:color w:val="000000"/>
                      <w:sz w:val="21"/>
                      <w:szCs w:val="21"/>
                      <w:highlight w:val="none"/>
                      <w:lang w:val="en-US" w:eastAsia="zh-CN"/>
                    </w:rPr>
                  </w:pPr>
                </w:p>
              </w:tc>
              <w:tc>
                <w:tcPr>
                  <w:tcW w:w="993" w:type="pct"/>
                  <w:vMerge w:val="continue"/>
                  <w:tcBorders>
                    <w:tl2br w:val="nil"/>
                    <w:tr2bl w:val="nil"/>
                  </w:tcBorders>
                  <w:shd w:val="clear" w:color="auto" w:fill="auto"/>
                  <w:noWrap w:val="0"/>
                  <w:vAlign w:val="center"/>
                </w:tcPr>
                <w:p w14:paraId="19CA65CC">
                  <w:pPr>
                    <w:shd w:val="clear" w:color="auto" w:fill="auto"/>
                    <w:adjustRightInd w:val="0"/>
                    <w:snapToGrid w:val="0"/>
                    <w:jc w:val="center"/>
                    <w:rPr>
                      <w:rFonts w:hint="eastAsia"/>
                      <w:color w:val="000000"/>
                      <w:sz w:val="21"/>
                      <w:szCs w:val="21"/>
                      <w:highlight w:val="none"/>
                      <w:lang w:val="en-US" w:eastAsia="zh-CN"/>
                    </w:rPr>
                  </w:pPr>
                </w:p>
              </w:tc>
              <w:tc>
                <w:tcPr>
                  <w:tcW w:w="1055" w:type="pct"/>
                  <w:tcBorders>
                    <w:tl2br w:val="nil"/>
                    <w:tr2bl w:val="nil"/>
                  </w:tcBorders>
                  <w:shd w:val="clear" w:color="auto" w:fill="auto"/>
                  <w:noWrap w:val="0"/>
                  <w:vAlign w:val="center"/>
                </w:tcPr>
                <w:p w14:paraId="1AD484B6">
                  <w:pPr>
                    <w:shd w:val="clear" w:color="auto" w:fill="auto"/>
                    <w:adjustRightInd w:val="0"/>
                    <w:snapToGrid w:val="0"/>
                    <w:jc w:val="center"/>
                    <w:rPr>
                      <w:rFonts w:hint="eastAsia"/>
                      <w:color w:val="000000"/>
                      <w:sz w:val="21"/>
                      <w:szCs w:val="21"/>
                      <w:highlight w:val="none"/>
                      <w:lang w:val="en-US" w:eastAsia="zh-CN"/>
                    </w:rPr>
                  </w:pPr>
                  <w:r>
                    <w:rPr>
                      <w:rFonts w:hint="eastAsia"/>
                      <w:color w:val="000000"/>
                      <w:sz w:val="21"/>
                      <w:szCs w:val="21"/>
                      <w:highlight w:val="none"/>
                      <w:lang w:val="en-US" w:eastAsia="zh-CN"/>
                    </w:rPr>
                    <w:t>林格曼黑度</w:t>
                  </w:r>
                </w:p>
              </w:tc>
              <w:tc>
                <w:tcPr>
                  <w:tcW w:w="757" w:type="pct"/>
                  <w:vMerge w:val="continue"/>
                  <w:tcBorders>
                    <w:tl2br w:val="nil"/>
                    <w:tr2bl w:val="nil"/>
                  </w:tcBorders>
                  <w:shd w:val="clear" w:color="auto" w:fill="auto"/>
                  <w:noWrap w:val="0"/>
                  <w:vAlign w:val="center"/>
                </w:tcPr>
                <w:p w14:paraId="6E647CFF">
                  <w:pPr>
                    <w:shd w:val="clear" w:color="auto" w:fill="auto"/>
                    <w:adjustRightInd w:val="0"/>
                    <w:snapToGrid w:val="0"/>
                    <w:jc w:val="center"/>
                    <w:rPr>
                      <w:rFonts w:hint="eastAsia"/>
                      <w:color w:val="000000"/>
                      <w:sz w:val="21"/>
                      <w:szCs w:val="21"/>
                      <w:highlight w:val="none"/>
                    </w:rPr>
                  </w:pPr>
                </w:p>
              </w:tc>
              <w:tc>
                <w:tcPr>
                  <w:tcW w:w="1698" w:type="pct"/>
                  <w:tcBorders>
                    <w:tl2br w:val="nil"/>
                    <w:tr2bl w:val="nil"/>
                  </w:tcBorders>
                  <w:shd w:val="clear" w:color="auto" w:fill="auto"/>
                  <w:noWrap w:val="0"/>
                  <w:vAlign w:val="center"/>
                </w:tcPr>
                <w:p w14:paraId="06AC3314">
                  <w:pPr>
                    <w:shd w:val="clear" w:color="auto" w:fill="auto"/>
                    <w:bidi w:val="0"/>
                    <w:jc w:val="center"/>
                    <w:rPr>
                      <w:rFonts w:hint="default" w:ascii="Times New Roman" w:hAnsi="Times New Roman" w:eastAsia="宋体" w:cs="Times New Roman"/>
                      <w:color w:val="000000"/>
                      <w:kern w:val="2"/>
                      <w:sz w:val="21"/>
                      <w:szCs w:val="21"/>
                      <w:highlight w:val="none"/>
                      <w:lang w:val="en-US" w:eastAsia="zh-CN" w:bidi="ar-SA"/>
                    </w:rPr>
                  </w:pPr>
                  <w:r>
                    <w:rPr>
                      <w:rFonts w:ascii="Times New Roman" w:hAnsi="Times New Roman" w:eastAsia="宋体" w:cs="Times New Roman"/>
                      <w:color w:val="000000"/>
                      <w:szCs w:val="21"/>
                      <w:highlight w:val="none"/>
                    </w:rPr>
                    <w:t>《锅炉大气污染物排放标准》</w:t>
                  </w:r>
                  <w:r>
                    <w:rPr>
                      <w:rFonts w:hint="eastAsia" w:ascii="Times New Roman" w:hAnsi="Times New Roman" w:eastAsia="宋体" w:cs="Times New Roman"/>
                      <w:color w:val="000000"/>
                      <w:szCs w:val="21"/>
                      <w:highlight w:val="none"/>
                      <w:lang w:eastAsia="zh-CN"/>
                    </w:rPr>
                    <w:t>（GB13271-201</w:t>
                  </w:r>
                  <w:r>
                    <w:rPr>
                      <w:rFonts w:hint="eastAsia" w:ascii="Times New Roman" w:hAnsi="Times New Roman" w:eastAsia="宋体" w:cs="Times New Roman"/>
                      <w:color w:val="000000"/>
                      <w:szCs w:val="21"/>
                      <w:highlight w:val="none"/>
                      <w:lang w:val="en-US" w:eastAsia="zh-CN"/>
                    </w:rPr>
                    <w:t>4</w:t>
                  </w:r>
                  <w:r>
                    <w:rPr>
                      <w:rFonts w:hint="eastAsia" w:ascii="Times New Roman" w:hAnsi="Times New Roman" w:eastAsia="宋体" w:cs="Times New Roman"/>
                      <w:color w:val="000000"/>
                      <w:szCs w:val="21"/>
                      <w:highlight w:val="none"/>
                      <w:lang w:eastAsia="zh-CN"/>
                    </w:rPr>
                    <w:t>）</w:t>
                  </w:r>
                </w:p>
              </w:tc>
            </w:tr>
            <w:tr w14:paraId="4346C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95" w:type="pct"/>
                  <w:tcBorders>
                    <w:tl2br w:val="nil"/>
                    <w:tr2bl w:val="nil"/>
                  </w:tcBorders>
                  <w:shd w:val="clear" w:color="auto" w:fill="auto"/>
                  <w:noWrap w:val="0"/>
                  <w:vAlign w:val="center"/>
                </w:tcPr>
                <w:p w14:paraId="76873818">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3</w:t>
                  </w:r>
                </w:p>
              </w:tc>
              <w:tc>
                <w:tcPr>
                  <w:tcW w:w="993" w:type="pct"/>
                  <w:tcBorders>
                    <w:tl2br w:val="nil"/>
                    <w:tr2bl w:val="nil"/>
                  </w:tcBorders>
                  <w:shd w:val="clear" w:color="auto" w:fill="auto"/>
                  <w:noWrap w:val="0"/>
                  <w:vAlign w:val="center"/>
                </w:tcPr>
                <w:p w14:paraId="7EC6AF14">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DA003污水处理站恶臭气体排气筒出口</w:t>
                  </w:r>
                </w:p>
              </w:tc>
              <w:tc>
                <w:tcPr>
                  <w:tcW w:w="1055" w:type="pct"/>
                  <w:tcBorders>
                    <w:tl2br w:val="nil"/>
                    <w:tr2bl w:val="nil"/>
                  </w:tcBorders>
                  <w:shd w:val="clear" w:color="auto" w:fill="auto"/>
                  <w:noWrap w:val="0"/>
                  <w:vAlign w:val="center"/>
                </w:tcPr>
                <w:p w14:paraId="4B7A9132">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臭气浓度、氨、</w:t>
                  </w:r>
                  <w:r>
                    <w:t>硫化氢等</w:t>
                  </w:r>
                </w:p>
              </w:tc>
              <w:tc>
                <w:tcPr>
                  <w:tcW w:w="757" w:type="pct"/>
                  <w:tcBorders>
                    <w:tl2br w:val="nil"/>
                    <w:tr2bl w:val="nil"/>
                  </w:tcBorders>
                  <w:shd w:val="clear" w:color="auto" w:fill="auto"/>
                  <w:noWrap w:val="0"/>
                  <w:vAlign w:val="center"/>
                </w:tcPr>
                <w:p w14:paraId="371D7900">
                  <w:pPr>
                    <w:shd w:val="clear" w:color="auto" w:fill="auto"/>
                    <w:adjustRightInd w:val="0"/>
                    <w:snapToGrid w:val="0"/>
                    <w:jc w:val="center"/>
                    <w:rPr>
                      <w:rFonts w:hint="eastAsia"/>
                      <w:color w:val="000000"/>
                      <w:sz w:val="21"/>
                      <w:szCs w:val="21"/>
                      <w:highlight w:val="none"/>
                    </w:rPr>
                  </w:pPr>
                  <w:r>
                    <w:rPr>
                      <w:rFonts w:hint="eastAsia"/>
                      <w:color w:val="000000"/>
                      <w:sz w:val="21"/>
                      <w:szCs w:val="21"/>
                      <w:highlight w:val="none"/>
                    </w:rPr>
                    <w:t>1</w:t>
                  </w:r>
                  <w:r>
                    <w:rPr>
                      <w:color w:val="000000"/>
                      <w:sz w:val="21"/>
                      <w:szCs w:val="21"/>
                      <w:highlight w:val="none"/>
                    </w:rPr>
                    <w:t>次/</w:t>
                  </w:r>
                  <w:r>
                    <w:rPr>
                      <w:rFonts w:hint="eastAsia"/>
                      <w:color w:val="000000"/>
                      <w:sz w:val="21"/>
                      <w:szCs w:val="21"/>
                      <w:highlight w:val="none"/>
                      <w:lang w:val="en-US" w:eastAsia="zh-CN"/>
                    </w:rPr>
                    <w:t>半年</w:t>
                  </w:r>
                </w:p>
              </w:tc>
              <w:tc>
                <w:tcPr>
                  <w:tcW w:w="1698" w:type="pct"/>
                  <w:tcBorders>
                    <w:tl2br w:val="nil"/>
                    <w:tr2bl w:val="nil"/>
                  </w:tcBorders>
                  <w:shd w:val="clear" w:color="auto" w:fill="auto"/>
                  <w:noWrap w:val="0"/>
                  <w:vAlign w:val="center"/>
                </w:tcPr>
                <w:p w14:paraId="3598A2A4">
                  <w:pPr>
                    <w:shd w:val="clear" w:color="auto" w:fill="auto"/>
                    <w:bidi w:val="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《恶臭污染物排放标准》（GB14554-93）</w:t>
                  </w:r>
                </w:p>
              </w:tc>
            </w:tr>
            <w:tr w14:paraId="49F3C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jc w:val="center"/>
              </w:trPr>
              <w:tc>
                <w:tcPr>
                  <w:tcW w:w="495" w:type="pct"/>
                  <w:tcBorders>
                    <w:tl2br w:val="nil"/>
                    <w:tr2bl w:val="nil"/>
                  </w:tcBorders>
                  <w:shd w:val="clear" w:color="auto" w:fill="auto"/>
                  <w:noWrap w:val="0"/>
                  <w:vAlign w:val="center"/>
                </w:tcPr>
                <w:p w14:paraId="28916D3B">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4</w:t>
                  </w:r>
                </w:p>
              </w:tc>
              <w:tc>
                <w:tcPr>
                  <w:tcW w:w="993" w:type="pct"/>
                  <w:tcBorders>
                    <w:tl2br w:val="nil"/>
                    <w:tr2bl w:val="nil"/>
                  </w:tcBorders>
                  <w:shd w:val="clear" w:color="auto" w:fill="auto"/>
                  <w:noWrap w:val="0"/>
                  <w:vAlign w:val="center"/>
                </w:tcPr>
                <w:p w14:paraId="33724FF2">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厂区外上风向1个监测点位、下风向3个监测点位</w:t>
                  </w:r>
                </w:p>
              </w:tc>
              <w:tc>
                <w:tcPr>
                  <w:tcW w:w="1055" w:type="pct"/>
                  <w:tcBorders>
                    <w:tl2br w:val="nil"/>
                    <w:tr2bl w:val="nil"/>
                  </w:tcBorders>
                  <w:shd w:val="clear" w:color="auto" w:fill="auto"/>
                  <w:noWrap w:val="0"/>
                  <w:vAlign w:val="center"/>
                </w:tcPr>
                <w:p w14:paraId="6755FA36">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颗粒物、臭气浓度、氨、</w:t>
                  </w:r>
                  <w:r>
                    <w:t>硫化氢等</w:t>
                  </w:r>
                </w:p>
              </w:tc>
              <w:tc>
                <w:tcPr>
                  <w:tcW w:w="757" w:type="pct"/>
                  <w:tcBorders>
                    <w:tl2br w:val="nil"/>
                    <w:tr2bl w:val="nil"/>
                  </w:tcBorders>
                  <w:shd w:val="clear" w:color="auto" w:fill="auto"/>
                  <w:noWrap w:val="0"/>
                  <w:vAlign w:val="center"/>
                </w:tcPr>
                <w:p w14:paraId="6ED41758">
                  <w:pPr>
                    <w:shd w:val="clear" w:color="auto" w:fill="auto"/>
                    <w:adjustRightInd w:val="0"/>
                    <w:snapToGrid w:val="0"/>
                    <w:jc w:val="center"/>
                    <w:rPr>
                      <w:rFonts w:hint="eastAsia"/>
                      <w:color w:val="000000"/>
                      <w:sz w:val="21"/>
                      <w:szCs w:val="21"/>
                      <w:highlight w:val="none"/>
                    </w:rPr>
                  </w:pPr>
                  <w:r>
                    <w:rPr>
                      <w:rFonts w:hint="eastAsia"/>
                      <w:color w:val="000000"/>
                      <w:sz w:val="21"/>
                      <w:szCs w:val="21"/>
                      <w:highlight w:val="none"/>
                    </w:rPr>
                    <w:t>1</w:t>
                  </w:r>
                  <w:r>
                    <w:rPr>
                      <w:color w:val="000000"/>
                      <w:sz w:val="21"/>
                      <w:szCs w:val="21"/>
                      <w:highlight w:val="none"/>
                    </w:rPr>
                    <w:t>次/</w:t>
                  </w:r>
                  <w:r>
                    <w:rPr>
                      <w:rFonts w:hint="eastAsia"/>
                      <w:color w:val="000000"/>
                      <w:sz w:val="21"/>
                      <w:szCs w:val="21"/>
                      <w:highlight w:val="none"/>
                      <w:lang w:val="en-US" w:eastAsia="zh-CN"/>
                    </w:rPr>
                    <w:t>半年</w:t>
                  </w:r>
                </w:p>
              </w:tc>
              <w:tc>
                <w:tcPr>
                  <w:tcW w:w="1698" w:type="pct"/>
                  <w:tcBorders>
                    <w:tl2br w:val="nil"/>
                    <w:tr2bl w:val="nil"/>
                  </w:tcBorders>
                  <w:shd w:val="clear" w:color="auto" w:fill="auto"/>
                  <w:noWrap w:val="0"/>
                  <w:vAlign w:val="center"/>
                </w:tcPr>
                <w:p w14:paraId="6440A4D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cs="Times New Roman"/>
                      <w:color w:val="000000"/>
                      <w:kern w:val="0"/>
                      <w:sz w:val="21"/>
                      <w:szCs w:val="21"/>
                      <w:highlight w:val="none"/>
                    </w:rPr>
                    <w:t>《</w:t>
                  </w:r>
                  <w:r>
                    <w:rPr>
                      <w:rFonts w:hint="default" w:ascii="Times New Roman" w:hAnsi="Times New Roman" w:eastAsia="宋体" w:cs="Times New Roman"/>
                      <w:color w:val="000000"/>
                      <w:kern w:val="2"/>
                      <w:sz w:val="21"/>
                      <w:szCs w:val="21"/>
                      <w:highlight w:val="none"/>
                      <w:lang w:val="en-US" w:eastAsia="zh-CN" w:bidi="ar-SA"/>
                    </w:rPr>
                    <w:t>大气污染物综合排放标准》（GB16297-1996）</w:t>
                  </w:r>
                  <w:r>
                    <w:rPr>
                      <w:rFonts w:hint="eastAsia" w:ascii="Times New Roman" w:hAnsi="Times New Roman" w:eastAsia="宋体" w:cs="Times New Roman"/>
                      <w:color w:val="000000"/>
                      <w:kern w:val="2"/>
                      <w:sz w:val="21"/>
                      <w:szCs w:val="21"/>
                      <w:highlight w:val="none"/>
                      <w:lang w:val="en-US" w:eastAsia="zh-CN" w:bidi="ar-SA"/>
                    </w:rPr>
                    <w:t>、</w:t>
                  </w:r>
                  <w:r>
                    <w:rPr>
                      <w:rFonts w:hint="eastAsia" w:ascii="Times New Roman" w:hAnsi="Times New Roman" w:eastAsia="宋体" w:cs="Times New Roman"/>
                      <w:color w:val="000000"/>
                      <w:sz w:val="21"/>
                      <w:szCs w:val="21"/>
                      <w:highlight w:val="none"/>
                      <w:lang w:val="en-US" w:eastAsia="zh-CN"/>
                    </w:rPr>
                    <w:t>《恶臭污染物排放标准》（GB14554-93）</w:t>
                  </w:r>
                </w:p>
              </w:tc>
            </w:tr>
          </w:tbl>
          <w:p w14:paraId="5CEC89CD">
            <w:pPr>
              <w:keepNext w:val="0"/>
              <w:keepLines w:val="0"/>
              <w:pageBreakBefore w:val="0"/>
              <w:widowControl/>
              <w:shd w:val="clear" w:color="auto" w:fill="auto"/>
              <w:kinsoku/>
              <w:wordWrap/>
              <w:overflowPunct/>
              <w:topLinePunct w:val="0"/>
              <w:autoSpaceDE/>
              <w:autoSpaceDN/>
              <w:bidi w:val="0"/>
              <w:adjustRightInd w:val="0"/>
              <w:snapToGrid w:val="0"/>
              <w:spacing w:line="360" w:lineRule="auto"/>
              <w:ind w:firstLine="422" w:firstLineChars="200"/>
              <w:jc w:val="both"/>
              <w:textAlignment w:val="auto"/>
              <w:rPr>
                <w:rFonts w:hint="eastAsia" w:ascii="Times New Roman" w:hAnsi="Times New Roman" w:eastAsia="宋体" w:cs="Times New Roman"/>
                <w:b/>
                <w:color w:val="000000"/>
                <w:sz w:val="21"/>
                <w:szCs w:val="21"/>
                <w:highlight w:val="none"/>
              </w:rPr>
            </w:pPr>
            <w:r>
              <w:rPr>
                <w:rFonts w:hint="eastAsia" w:ascii="Times New Roman" w:hAnsi="Times New Roman" w:eastAsia="宋体" w:cs="Times New Roman"/>
                <w:b/>
                <w:color w:val="000000"/>
                <w:sz w:val="21"/>
                <w:szCs w:val="21"/>
                <w:highlight w:val="none"/>
              </w:rPr>
              <w:t>二、运营期废水环境影响和保护措施</w:t>
            </w:r>
          </w:p>
          <w:p w14:paraId="7F8C95D8">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000000"/>
                <w:sz w:val="21"/>
                <w:szCs w:val="21"/>
                <w:highlight w:val="none"/>
                <w:lang w:val="en-US"/>
              </w:rPr>
            </w:pPr>
            <w:r>
              <w:rPr>
                <w:rFonts w:hint="eastAsia" w:cs="Times New Roman"/>
                <w:b/>
                <w:bCs/>
                <w:color w:val="000000"/>
                <w:sz w:val="21"/>
                <w:szCs w:val="21"/>
                <w:highlight w:val="none"/>
                <w:lang w:val="en-US" w:eastAsia="zh-CN"/>
              </w:rPr>
              <w:t>1.</w:t>
            </w:r>
            <w:r>
              <w:rPr>
                <w:rFonts w:hint="eastAsia" w:ascii="Times New Roman" w:hAnsi="Times New Roman" w:eastAsia="宋体" w:cs="Times New Roman"/>
                <w:b/>
                <w:bCs/>
                <w:color w:val="000000"/>
                <w:sz w:val="21"/>
                <w:szCs w:val="21"/>
                <w:highlight w:val="none"/>
                <w:lang w:val="en-US" w:eastAsia="zh-CN"/>
              </w:rPr>
              <w:t>废水污染源分析</w:t>
            </w:r>
          </w:p>
          <w:p w14:paraId="7497720A">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项目生产废水包括锅炉排水、锅炉清洗废水、软水制备浓水、软水制备反冲洗废水、纯水制备废水、纯水制备反冲洗废水、设备清洗废水、洗瓶废水、实验器皿冲洗废水、车间地面冲洗废水、锅底废水、窖底废水。</w:t>
            </w:r>
          </w:p>
          <w:p w14:paraId="49F1C42A">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锅炉排水量为467m³</w:t>
            </w:r>
            <w:r>
              <w:rPr>
                <w:rFonts w:hint="default" w:ascii="Times New Roman" w:hAnsi="Times New Roman" w:eastAsia="宋体" w:cs="Times New Roman"/>
                <w:color w:val="000000"/>
                <w:sz w:val="21"/>
                <w:szCs w:val="21"/>
                <w:highlight w:val="none"/>
                <w:lang w:val="en-US" w:eastAsia="zh-CN"/>
              </w:rPr>
              <w:t>/a</w:t>
            </w:r>
            <w:r>
              <w:rPr>
                <w:rFonts w:hint="eastAsia" w:ascii="Times New Roman" w:hAnsi="Times New Roman" w:eastAsia="宋体" w:cs="Times New Roman"/>
                <w:color w:val="000000"/>
                <w:sz w:val="21"/>
                <w:szCs w:val="21"/>
                <w:highlight w:val="none"/>
                <w:lang w:val="en-US" w:eastAsia="zh-CN"/>
              </w:rPr>
              <w:t>，锅炉清洗废水产生量为8m³</w:t>
            </w:r>
            <w:r>
              <w:rPr>
                <w:rFonts w:hint="default" w:ascii="Times New Roman" w:hAnsi="Times New Roman" w:eastAsia="宋体" w:cs="Times New Roman"/>
                <w:color w:val="000000"/>
                <w:sz w:val="21"/>
                <w:szCs w:val="21"/>
                <w:highlight w:val="none"/>
                <w:lang w:val="en-US" w:eastAsia="zh-CN"/>
              </w:rPr>
              <w:t>/a</w:t>
            </w:r>
            <w:r>
              <w:rPr>
                <w:rFonts w:hint="eastAsia" w:ascii="Times New Roman" w:hAnsi="Times New Roman" w:eastAsia="宋体" w:cs="Times New Roman"/>
                <w:color w:val="000000"/>
                <w:sz w:val="21"/>
                <w:szCs w:val="21"/>
                <w:highlight w:val="none"/>
                <w:lang w:val="en-US" w:eastAsia="zh-CN"/>
              </w:rPr>
              <w:t>，软水制备浓水产生量为520.8m³</w:t>
            </w:r>
            <w:r>
              <w:rPr>
                <w:rFonts w:hint="default" w:ascii="Times New Roman" w:hAnsi="Times New Roman" w:eastAsia="宋体" w:cs="Times New Roman"/>
                <w:color w:val="000000"/>
                <w:sz w:val="21"/>
                <w:szCs w:val="21"/>
                <w:highlight w:val="none"/>
                <w:lang w:val="en-US" w:eastAsia="zh-CN"/>
              </w:rPr>
              <w:t>/a</w:t>
            </w:r>
            <w:r>
              <w:rPr>
                <w:rFonts w:hint="eastAsia" w:ascii="Times New Roman" w:hAnsi="Times New Roman" w:eastAsia="宋体" w:cs="Times New Roman"/>
                <w:color w:val="000000"/>
                <w:sz w:val="21"/>
                <w:szCs w:val="21"/>
                <w:highlight w:val="none"/>
                <w:lang w:val="en-US" w:eastAsia="zh-CN"/>
              </w:rPr>
              <w:t>，软水制备反冲洗废水18m³</w:t>
            </w:r>
            <w:r>
              <w:rPr>
                <w:rFonts w:hint="default" w:ascii="Times New Roman" w:hAnsi="Times New Roman" w:eastAsia="宋体" w:cs="Times New Roman"/>
                <w:color w:val="000000"/>
                <w:sz w:val="21"/>
                <w:szCs w:val="21"/>
                <w:highlight w:val="none"/>
                <w:lang w:val="en-US" w:eastAsia="zh-CN"/>
              </w:rPr>
              <w:t>/a</w:t>
            </w:r>
            <w:r>
              <w:rPr>
                <w:rFonts w:hint="eastAsia" w:ascii="Times New Roman" w:hAnsi="Times New Roman" w:eastAsia="宋体" w:cs="Times New Roman"/>
                <w:color w:val="000000"/>
                <w:sz w:val="21"/>
                <w:szCs w:val="21"/>
                <w:highlight w:val="none"/>
                <w:lang w:val="en-US" w:eastAsia="zh-CN"/>
              </w:rPr>
              <w:t>，纯水制备浓水产生量为</w:t>
            </w:r>
            <w:r>
              <w:rPr>
                <w:rFonts w:hint="eastAsia" w:ascii="Times New Roman" w:hAnsi="Times New Roman" w:cs="Times New Roman"/>
                <w:color w:val="000000"/>
                <w:sz w:val="21"/>
                <w:szCs w:val="21"/>
                <w:highlight w:val="none"/>
                <w:lang w:val="en-US" w:eastAsia="zh-CN"/>
              </w:rPr>
              <w:t>301.74</w:t>
            </w:r>
            <w:r>
              <w:rPr>
                <w:rFonts w:hint="eastAsia" w:ascii="Times New Roman" w:hAnsi="Times New Roman" w:eastAsia="宋体" w:cs="Times New Roman"/>
                <w:color w:val="000000"/>
                <w:sz w:val="21"/>
                <w:szCs w:val="21"/>
                <w:highlight w:val="none"/>
                <w:lang w:val="en-US" w:eastAsia="zh-CN"/>
              </w:rPr>
              <w:t>m³</w:t>
            </w:r>
            <w:r>
              <w:rPr>
                <w:rFonts w:hint="default" w:ascii="Times New Roman" w:hAnsi="Times New Roman" w:eastAsia="宋体" w:cs="Times New Roman"/>
                <w:color w:val="000000"/>
                <w:sz w:val="21"/>
                <w:szCs w:val="21"/>
                <w:highlight w:val="none"/>
                <w:lang w:val="en-US" w:eastAsia="zh-CN"/>
              </w:rPr>
              <w:t>/a</w:t>
            </w:r>
            <w:r>
              <w:rPr>
                <w:rFonts w:hint="eastAsia" w:ascii="Times New Roman" w:hAnsi="Times New Roman" w:eastAsia="宋体" w:cs="Times New Roman"/>
                <w:color w:val="000000"/>
                <w:sz w:val="21"/>
                <w:szCs w:val="21"/>
                <w:highlight w:val="none"/>
                <w:lang w:val="en-US" w:eastAsia="zh-CN"/>
              </w:rPr>
              <w:t>，</w:t>
            </w:r>
            <w:r>
              <w:rPr>
                <w:rFonts w:hint="eastAsia" w:ascii="Times New Roman" w:hAnsi="Times New Roman" w:cs="Times New Roman"/>
                <w:color w:val="000000"/>
                <w:sz w:val="21"/>
                <w:szCs w:val="21"/>
                <w:highlight w:val="none"/>
                <w:lang w:val="en-US" w:eastAsia="zh-CN"/>
              </w:rPr>
              <w:t>纯水机反冲洗用水13.5</w:t>
            </w:r>
            <w:r>
              <w:rPr>
                <w:rFonts w:hint="eastAsia" w:ascii="Times New Roman" w:hAnsi="Times New Roman" w:eastAsia="宋体" w:cs="Times New Roman"/>
                <w:color w:val="000000"/>
                <w:sz w:val="21"/>
                <w:szCs w:val="21"/>
                <w:highlight w:val="none"/>
                <w:lang w:val="en-US" w:eastAsia="zh-CN"/>
              </w:rPr>
              <w:t>m³</w:t>
            </w:r>
            <w:r>
              <w:rPr>
                <w:rFonts w:hint="default" w:ascii="Times New Roman" w:hAnsi="Times New Roman" w:eastAsia="宋体" w:cs="Times New Roman"/>
                <w:color w:val="000000"/>
                <w:sz w:val="21"/>
                <w:szCs w:val="21"/>
                <w:highlight w:val="none"/>
                <w:lang w:val="en-US" w:eastAsia="zh-CN"/>
              </w:rPr>
              <w:t>/a</w:t>
            </w:r>
            <w:r>
              <w:rPr>
                <w:rFonts w:hint="eastAsia" w:ascii="Times New Roman" w:hAnsi="Times New Roman" w:eastAsia="宋体" w:cs="Times New Roman"/>
                <w:color w:val="000000"/>
                <w:sz w:val="21"/>
                <w:szCs w:val="21"/>
                <w:highlight w:val="none"/>
                <w:lang w:val="en-US" w:eastAsia="zh-CN"/>
              </w:rPr>
              <w:t>，设备清洗废水产生量为2.4m³</w:t>
            </w:r>
            <w:r>
              <w:rPr>
                <w:rFonts w:hint="default" w:ascii="Times New Roman" w:hAnsi="Times New Roman" w:eastAsia="宋体" w:cs="Times New Roman"/>
                <w:color w:val="000000"/>
                <w:sz w:val="21"/>
                <w:szCs w:val="21"/>
                <w:highlight w:val="none"/>
                <w:lang w:val="en-US" w:eastAsia="zh-CN"/>
              </w:rPr>
              <w:t>/a</w:t>
            </w:r>
            <w:r>
              <w:rPr>
                <w:rFonts w:hint="eastAsia" w:ascii="Times New Roman" w:hAnsi="Times New Roman" w:eastAsia="宋体" w:cs="Times New Roman"/>
                <w:color w:val="000000"/>
                <w:sz w:val="21"/>
                <w:szCs w:val="21"/>
                <w:highlight w:val="none"/>
                <w:lang w:val="en-US" w:eastAsia="zh-CN"/>
              </w:rPr>
              <w:t>，洗瓶废水产生量为508.8m³/a，地面冲洗废水产生量为360m³</w:t>
            </w:r>
            <w:r>
              <w:rPr>
                <w:rFonts w:hint="default" w:ascii="Times New Roman" w:hAnsi="Times New Roman" w:eastAsia="宋体" w:cs="Times New Roman"/>
                <w:color w:val="000000"/>
                <w:sz w:val="21"/>
                <w:szCs w:val="21"/>
                <w:highlight w:val="none"/>
                <w:lang w:val="en-US" w:eastAsia="zh-CN"/>
              </w:rPr>
              <w:t>/a</w:t>
            </w:r>
            <w:r>
              <w:rPr>
                <w:rFonts w:hint="eastAsia" w:ascii="Times New Roman" w:hAnsi="Times New Roman" w:eastAsia="宋体" w:cs="Times New Roman"/>
                <w:color w:val="000000"/>
                <w:sz w:val="21"/>
                <w:szCs w:val="21"/>
                <w:highlight w:val="none"/>
                <w:lang w:val="en-US" w:eastAsia="zh-CN"/>
              </w:rPr>
              <w:t>，窖底水产生量为</w:t>
            </w:r>
            <w:r>
              <w:rPr>
                <w:rFonts w:hint="eastAsia" w:ascii="Times New Roman" w:hAnsi="Times New Roman" w:eastAsia="宋体" w:cs="Times New Roman"/>
                <w:color w:val="000000"/>
                <w:kern w:val="2"/>
                <w:szCs w:val="21"/>
                <w:highlight w:val="none"/>
                <w:lang w:val="en-US" w:eastAsia="zh-CN" w:bidi="ar-SA"/>
              </w:rPr>
              <w:t>600</w:t>
            </w:r>
            <w:r>
              <w:rPr>
                <w:rFonts w:hint="eastAsia" w:ascii="Times New Roman" w:hAnsi="Times New Roman" w:eastAsia="宋体" w:cs="Times New Roman"/>
                <w:color w:val="000000"/>
                <w:kern w:val="2"/>
                <w:highlight w:val="none"/>
                <w:lang w:val="en-US" w:eastAsia="zh-CN" w:bidi="ar-SA"/>
              </w:rPr>
              <w:t>m³</w:t>
            </w:r>
            <w:r>
              <w:rPr>
                <w:rFonts w:hint="default" w:ascii="Times New Roman" w:hAnsi="Times New Roman" w:eastAsia="宋体" w:cs="Times New Roman"/>
                <w:color w:val="000000"/>
                <w:kern w:val="2"/>
                <w:highlight w:val="none"/>
                <w:lang w:val="en-US" w:bidi="ar-SA"/>
              </w:rPr>
              <w:t>/</w:t>
            </w:r>
            <w:r>
              <w:rPr>
                <w:rFonts w:hint="eastAsia" w:ascii="Times New Roman" w:hAnsi="Times New Roman" w:eastAsia="宋体" w:cs="Times New Roman"/>
                <w:color w:val="000000"/>
                <w:kern w:val="2"/>
                <w:highlight w:val="none"/>
                <w:lang w:val="en-US" w:eastAsia="zh-CN" w:bidi="ar-SA"/>
              </w:rPr>
              <w:t>a</w:t>
            </w:r>
            <w:r>
              <w:rPr>
                <w:rFonts w:hint="eastAsia" w:ascii="Times New Roman" w:hAnsi="Times New Roman" w:eastAsia="宋体" w:cs="Times New Roman"/>
                <w:color w:val="000000"/>
                <w:kern w:val="2"/>
                <w:szCs w:val="22"/>
                <w:highlight w:val="none"/>
                <w:lang w:val="en-US" w:eastAsia="zh-CN" w:bidi="ar-SA"/>
              </w:rPr>
              <w:t>，锅底水产生量为240</w:t>
            </w:r>
            <w:r>
              <w:rPr>
                <w:rFonts w:hint="eastAsia" w:ascii="Times New Roman" w:hAnsi="Times New Roman" w:eastAsia="宋体" w:cs="Times New Roman"/>
                <w:color w:val="000000"/>
                <w:kern w:val="2"/>
                <w:highlight w:val="none"/>
                <w:lang w:val="en-US" w:eastAsia="zh-CN" w:bidi="ar-SA"/>
              </w:rPr>
              <w:t>m³</w:t>
            </w:r>
            <w:r>
              <w:rPr>
                <w:rFonts w:hint="default" w:ascii="Times New Roman" w:hAnsi="Times New Roman" w:eastAsia="宋体" w:cs="Times New Roman"/>
                <w:color w:val="000000"/>
                <w:kern w:val="2"/>
                <w:highlight w:val="none"/>
                <w:lang w:val="en-US" w:bidi="ar-SA"/>
              </w:rPr>
              <w:t>/</w:t>
            </w:r>
            <w:r>
              <w:rPr>
                <w:rFonts w:hint="eastAsia" w:ascii="Times New Roman" w:hAnsi="Times New Roman" w:eastAsia="宋体" w:cs="Times New Roman"/>
                <w:color w:val="000000"/>
                <w:kern w:val="2"/>
                <w:highlight w:val="none"/>
                <w:lang w:val="en-US" w:eastAsia="zh-CN" w:bidi="ar-SA"/>
              </w:rPr>
              <w:t>a，</w:t>
            </w:r>
            <w:r>
              <w:rPr>
                <w:rFonts w:hint="eastAsia" w:ascii="Times New Roman" w:hAnsi="Times New Roman" w:eastAsia="宋体" w:cs="Times New Roman"/>
                <w:color w:val="000000"/>
                <w:sz w:val="21"/>
                <w:szCs w:val="21"/>
                <w:highlight w:val="none"/>
                <w:lang w:val="en-US" w:eastAsia="zh-CN"/>
              </w:rPr>
              <w:t>实验器皿冲洗废水</w:t>
            </w:r>
            <w:r>
              <w:rPr>
                <w:rFonts w:hint="eastAsia" w:ascii="Times New Roman" w:hAnsi="Times New Roman" w:cs="Times New Roman"/>
                <w:color w:val="000000"/>
                <w:sz w:val="21"/>
                <w:szCs w:val="21"/>
                <w:highlight w:val="none"/>
                <w:lang w:val="en-US" w:eastAsia="zh-CN"/>
              </w:rPr>
              <w:t>产生量为0.48</w:t>
            </w:r>
            <w:r>
              <w:rPr>
                <w:rFonts w:hint="eastAsia" w:ascii="Times New Roman" w:hAnsi="Times New Roman" w:eastAsia="宋体" w:cs="Times New Roman"/>
                <w:color w:val="000000"/>
                <w:sz w:val="21"/>
                <w:szCs w:val="21"/>
                <w:highlight w:val="none"/>
                <w:lang w:val="en-US" w:eastAsia="zh-CN"/>
              </w:rPr>
              <w:t>m³</w:t>
            </w:r>
            <w:r>
              <w:rPr>
                <w:rFonts w:hint="default" w:ascii="Times New Roman" w:hAnsi="Times New Roman" w:eastAsia="宋体" w:cs="Times New Roman"/>
                <w:color w:val="000000"/>
                <w:sz w:val="21"/>
                <w:szCs w:val="21"/>
                <w:highlight w:val="none"/>
                <w:lang w:val="en-US" w:eastAsia="zh-CN"/>
              </w:rPr>
              <w:t>/a</w:t>
            </w:r>
            <w:r>
              <w:rPr>
                <w:rFonts w:hint="eastAsia" w:ascii="Times New Roman" w:hAnsi="Times New Roman" w:eastAsia="宋体" w:cs="Times New Roman"/>
                <w:color w:val="000000"/>
                <w:sz w:val="21"/>
                <w:szCs w:val="21"/>
                <w:highlight w:val="none"/>
                <w:lang w:val="en-US" w:eastAsia="zh-CN"/>
              </w:rPr>
              <w:t>，生活污水产生量为504m³</w:t>
            </w:r>
            <w:r>
              <w:rPr>
                <w:rFonts w:hint="default" w:ascii="Times New Roman" w:hAnsi="Times New Roman" w:eastAsia="宋体" w:cs="Times New Roman"/>
                <w:color w:val="000000"/>
                <w:sz w:val="21"/>
                <w:szCs w:val="21"/>
                <w:highlight w:val="none"/>
                <w:lang w:val="en-US" w:eastAsia="zh-CN"/>
              </w:rPr>
              <w:t>/a</w:t>
            </w:r>
            <w:r>
              <w:rPr>
                <w:rFonts w:hint="eastAsia" w:ascii="Times New Roman" w:hAnsi="Times New Roman" w:cs="Times New Roman"/>
                <w:color w:val="000000"/>
                <w:sz w:val="21"/>
                <w:szCs w:val="21"/>
                <w:highlight w:val="none"/>
                <w:lang w:val="en-US" w:eastAsia="zh-CN"/>
              </w:rPr>
              <w:t>。</w:t>
            </w:r>
          </w:p>
          <w:p w14:paraId="5A9C83EB">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综上分析，本项目废水排放总量为</w:t>
            </w:r>
            <w:r>
              <w:rPr>
                <w:rFonts w:hint="eastAsia" w:cs="Times New Roman"/>
                <w:color w:val="000000"/>
                <w:sz w:val="21"/>
                <w:szCs w:val="21"/>
                <w:highlight w:val="none"/>
                <w:lang w:val="en-US" w:eastAsia="zh-CN"/>
              </w:rPr>
              <w:t>3599.23</w:t>
            </w:r>
            <w:r>
              <w:rPr>
                <w:rFonts w:hint="eastAsia" w:ascii="Times New Roman" w:hAnsi="Times New Roman" w:eastAsia="宋体" w:cs="Times New Roman"/>
                <w:color w:val="000000"/>
                <w:sz w:val="21"/>
                <w:szCs w:val="21"/>
                <w:highlight w:val="none"/>
                <w:lang w:val="en-US" w:eastAsia="zh-CN"/>
              </w:rPr>
              <w:t>m³</w:t>
            </w:r>
            <w:r>
              <w:rPr>
                <w:rFonts w:hint="default" w:ascii="Times New Roman" w:hAnsi="Times New Roman" w:eastAsia="宋体" w:cs="Times New Roman"/>
                <w:color w:val="000000"/>
                <w:sz w:val="21"/>
                <w:szCs w:val="21"/>
                <w:highlight w:val="none"/>
                <w:lang w:val="en-US" w:eastAsia="zh-CN"/>
              </w:rPr>
              <w:t>/a</w:t>
            </w:r>
            <w:r>
              <w:rPr>
                <w:rFonts w:hint="eastAsia" w:ascii="Times New Roman" w:hAnsi="Times New Roman" w:eastAsia="宋体" w:cs="Times New Roman"/>
                <w:color w:val="000000"/>
                <w:sz w:val="21"/>
                <w:szCs w:val="21"/>
                <w:highlight w:val="none"/>
                <w:lang w:val="en-US" w:eastAsia="zh-CN"/>
              </w:rPr>
              <w:t>。</w:t>
            </w:r>
          </w:p>
          <w:p w14:paraId="20C7C3CB">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本项目废水污染物COD、氨氮、总氮和总磷产生量采用《排污许可证申请与核发技术规范 酒、饮料制造工业》（HJ 1028-2019）附录C中表C.2白酒制造工业产污系数进行核算，悬浮物、BOD</w:t>
            </w:r>
            <w:r>
              <w:rPr>
                <w:rFonts w:hint="eastAsia" w:ascii="Times New Roman" w:hAnsi="Times New Roman" w:eastAsia="宋体" w:cs="Times New Roman"/>
                <w:color w:val="000000"/>
                <w:sz w:val="21"/>
                <w:szCs w:val="21"/>
                <w:highlight w:val="none"/>
                <w:vertAlign w:val="subscript"/>
                <w:lang w:val="en-US" w:eastAsia="zh-CN"/>
              </w:rPr>
              <w:t>5</w:t>
            </w:r>
            <w:r>
              <w:rPr>
                <w:rFonts w:hint="eastAsia" w:ascii="Times New Roman" w:hAnsi="Times New Roman" w:eastAsia="宋体" w:cs="Times New Roman"/>
                <w:color w:val="000000"/>
                <w:sz w:val="21"/>
                <w:szCs w:val="21"/>
                <w:highlight w:val="none"/>
                <w:lang w:val="en-US" w:eastAsia="zh-CN"/>
              </w:rPr>
              <w:t>产生情况及废水污染物排放情况类比同类项目。</w:t>
            </w:r>
          </w:p>
          <w:p w14:paraId="3327DC73">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360" w:lineRule="auto"/>
              <w:ind w:firstLine="420" w:firstLineChars="200"/>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本项目废水污染物产排情况详见下表。</w:t>
            </w:r>
          </w:p>
          <w:p w14:paraId="3C67EA9F">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beforeAutospacing="0" w:afterAutospacing="0" w:line="240" w:lineRule="auto"/>
              <w:ind w:firstLine="422" w:firstLineChars="200"/>
              <w:jc w:val="center"/>
              <w:textAlignment w:val="auto"/>
              <w:rPr>
                <w:rFonts w:hint="default" w:ascii="Times New Roman" w:hAnsi="Times New Roman" w:eastAsia="宋体" w:cs="Times New Roman"/>
                <w:b/>
                <w:bCs/>
                <w:color w:val="000000"/>
                <w:highlight w:val="none"/>
                <w:lang w:val="en-US" w:eastAsia="zh-CN"/>
              </w:rPr>
            </w:pPr>
            <w:r>
              <w:rPr>
                <w:rFonts w:hint="eastAsia" w:ascii="Times New Roman" w:hAnsi="Times New Roman" w:eastAsia="宋体" w:cs="Times New Roman"/>
                <w:b/>
                <w:bCs/>
                <w:color w:val="000000"/>
                <w:highlight w:val="none"/>
                <w:lang w:val="en-US" w:eastAsia="zh-CN"/>
              </w:rPr>
              <w:t>表4-7</w:t>
            </w:r>
            <w:r>
              <w:rPr>
                <w:rFonts w:hint="eastAsia" w:cs="Times New Roman"/>
                <w:b/>
                <w:bCs/>
                <w:color w:val="000000"/>
                <w:highlight w:val="none"/>
                <w:lang w:val="en-US" w:eastAsia="zh-CN"/>
              </w:rPr>
              <w:t xml:space="preserve">  </w:t>
            </w:r>
            <w:r>
              <w:rPr>
                <w:rFonts w:hint="eastAsia" w:ascii="Times New Roman" w:hAnsi="Times New Roman" w:eastAsia="宋体" w:cs="Times New Roman"/>
                <w:b/>
                <w:bCs/>
                <w:color w:val="000000"/>
                <w:highlight w:val="none"/>
                <w:lang w:val="en-US" w:eastAsia="zh-CN"/>
              </w:rPr>
              <w:t>废水污染物产排情况一览表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14"/>
              <w:gridCol w:w="1091"/>
              <w:gridCol w:w="1323"/>
              <w:gridCol w:w="1192"/>
              <w:gridCol w:w="947"/>
              <w:gridCol w:w="1267"/>
              <w:gridCol w:w="1202"/>
            </w:tblGrid>
            <w:tr w14:paraId="7BC8A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84" w:type="pct"/>
                  <w:vMerge w:val="restart"/>
                  <w:tcBorders>
                    <w:tl2br w:val="nil"/>
                    <w:tr2bl w:val="nil"/>
                  </w:tcBorders>
                  <w:shd w:val="clear" w:color="auto" w:fill="auto"/>
                  <w:noWrap w:val="0"/>
                  <w:vAlign w:val="center"/>
                </w:tcPr>
                <w:p w14:paraId="3EDD75A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000000"/>
                      <w:szCs w:val="21"/>
                      <w:highlight w:val="none"/>
                      <w:lang w:val="en-US" w:eastAsia="zh-CN"/>
                    </w:rPr>
                  </w:pPr>
                  <w:r>
                    <w:rPr>
                      <w:rFonts w:hint="eastAsia" w:ascii="Times New Roman" w:hAnsi="Times New Roman" w:cs="Times New Roman"/>
                      <w:b/>
                      <w:color w:val="000000"/>
                      <w:szCs w:val="21"/>
                      <w:highlight w:val="none"/>
                      <w:lang w:val="en-US" w:eastAsia="zh-CN"/>
                    </w:rPr>
                    <w:t>废水类别</w:t>
                  </w:r>
                </w:p>
              </w:tc>
              <w:tc>
                <w:tcPr>
                  <w:tcW w:w="670" w:type="pct"/>
                  <w:vMerge w:val="restart"/>
                  <w:tcBorders>
                    <w:tl2br w:val="nil"/>
                    <w:tr2bl w:val="nil"/>
                  </w:tcBorders>
                  <w:shd w:val="clear" w:color="auto" w:fill="auto"/>
                  <w:noWrap w:val="0"/>
                  <w:vAlign w:val="center"/>
                </w:tcPr>
                <w:p w14:paraId="6578BC6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color w:val="000000"/>
                      <w:szCs w:val="21"/>
                      <w:highlight w:val="none"/>
                    </w:rPr>
                  </w:pPr>
                  <w:r>
                    <w:rPr>
                      <w:rFonts w:hint="default" w:ascii="Times New Roman" w:hAnsi="Times New Roman" w:cs="Times New Roman"/>
                      <w:b/>
                      <w:color w:val="000000"/>
                      <w:szCs w:val="21"/>
                      <w:highlight w:val="none"/>
                    </w:rPr>
                    <w:t>污染物</w:t>
                  </w:r>
                </w:p>
              </w:tc>
              <w:tc>
                <w:tcPr>
                  <w:tcW w:w="1545" w:type="pct"/>
                  <w:gridSpan w:val="2"/>
                  <w:tcBorders>
                    <w:tl2br w:val="nil"/>
                    <w:tr2bl w:val="nil"/>
                  </w:tcBorders>
                  <w:shd w:val="clear" w:color="auto" w:fill="auto"/>
                  <w:noWrap w:val="0"/>
                  <w:vAlign w:val="center"/>
                </w:tcPr>
                <w:p w14:paraId="034BAE4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000000"/>
                      <w:kern w:val="2"/>
                      <w:sz w:val="21"/>
                      <w:szCs w:val="21"/>
                      <w:highlight w:val="none"/>
                      <w:lang w:val="en-US" w:eastAsia="zh-CN" w:bidi="ar-SA"/>
                    </w:rPr>
                  </w:pPr>
                  <w:r>
                    <w:rPr>
                      <w:rFonts w:hint="eastAsia" w:ascii="Times New Roman" w:hAnsi="Times New Roman" w:cs="Times New Roman"/>
                      <w:b/>
                      <w:color w:val="000000"/>
                      <w:szCs w:val="21"/>
                      <w:highlight w:val="none"/>
                      <w:lang w:val="en-US" w:eastAsia="zh-CN"/>
                    </w:rPr>
                    <w:t>产生</w:t>
                  </w:r>
                  <w:r>
                    <w:rPr>
                      <w:rFonts w:hint="default" w:ascii="Times New Roman" w:hAnsi="Times New Roman" w:cs="Times New Roman"/>
                      <w:b/>
                      <w:color w:val="000000"/>
                      <w:szCs w:val="21"/>
                      <w:highlight w:val="none"/>
                    </w:rPr>
                    <w:t>情况</w:t>
                  </w:r>
                </w:p>
              </w:tc>
              <w:tc>
                <w:tcPr>
                  <w:tcW w:w="582" w:type="pct"/>
                  <w:vMerge w:val="restart"/>
                  <w:tcBorders>
                    <w:tl2br w:val="nil"/>
                    <w:tr2bl w:val="nil"/>
                  </w:tcBorders>
                  <w:shd w:val="clear" w:color="auto" w:fill="auto"/>
                  <w:noWrap w:val="0"/>
                  <w:vAlign w:val="center"/>
                </w:tcPr>
                <w:p w14:paraId="60D6FE6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000000"/>
                      <w:szCs w:val="21"/>
                      <w:highlight w:val="none"/>
                      <w:lang w:val="en-US" w:eastAsia="zh-CN"/>
                    </w:rPr>
                  </w:pPr>
                  <w:r>
                    <w:rPr>
                      <w:rFonts w:hint="eastAsia" w:ascii="Times New Roman" w:hAnsi="Times New Roman" w:eastAsia="宋体" w:cs="Times New Roman"/>
                      <w:b/>
                      <w:color w:val="000000"/>
                      <w:szCs w:val="21"/>
                      <w:highlight w:val="none"/>
                      <w:lang w:val="en-US" w:eastAsia="zh-CN"/>
                    </w:rPr>
                    <w:t>处理措施</w:t>
                  </w:r>
                </w:p>
              </w:tc>
              <w:tc>
                <w:tcPr>
                  <w:tcW w:w="1517" w:type="pct"/>
                  <w:gridSpan w:val="2"/>
                  <w:tcBorders>
                    <w:tl2br w:val="nil"/>
                    <w:tr2bl w:val="nil"/>
                  </w:tcBorders>
                  <w:shd w:val="clear" w:color="auto" w:fill="auto"/>
                  <w:noWrap w:val="0"/>
                  <w:vAlign w:val="center"/>
                </w:tcPr>
                <w:p w14:paraId="413FA00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color w:val="000000"/>
                      <w:szCs w:val="21"/>
                      <w:highlight w:val="none"/>
                      <w:lang w:val="en-US" w:eastAsia="zh-CN"/>
                    </w:rPr>
                  </w:pPr>
                  <w:r>
                    <w:rPr>
                      <w:rFonts w:hint="eastAsia" w:ascii="Times New Roman" w:hAnsi="Times New Roman" w:cs="Times New Roman"/>
                      <w:b/>
                      <w:color w:val="000000"/>
                      <w:szCs w:val="21"/>
                      <w:highlight w:val="none"/>
                      <w:lang w:val="en-US" w:eastAsia="zh-CN"/>
                    </w:rPr>
                    <w:t>排放</w:t>
                  </w:r>
                  <w:r>
                    <w:rPr>
                      <w:rFonts w:hint="default" w:ascii="Times New Roman" w:hAnsi="Times New Roman" w:cs="Times New Roman"/>
                      <w:b/>
                      <w:color w:val="000000"/>
                      <w:szCs w:val="21"/>
                      <w:highlight w:val="none"/>
                    </w:rPr>
                    <w:t>情况</w:t>
                  </w:r>
                </w:p>
              </w:tc>
            </w:tr>
            <w:tr w14:paraId="762B0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84" w:type="pct"/>
                  <w:vMerge w:val="continue"/>
                  <w:tcBorders>
                    <w:tl2br w:val="nil"/>
                    <w:tr2bl w:val="nil"/>
                  </w:tcBorders>
                  <w:shd w:val="clear" w:color="auto" w:fill="auto"/>
                  <w:noWrap w:val="0"/>
                  <w:vAlign w:val="center"/>
                </w:tcPr>
                <w:p w14:paraId="2CF26DA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szCs w:val="21"/>
                      <w:highlight w:val="none"/>
                    </w:rPr>
                  </w:pPr>
                </w:p>
              </w:tc>
              <w:tc>
                <w:tcPr>
                  <w:tcW w:w="670" w:type="pct"/>
                  <w:vMerge w:val="continue"/>
                  <w:tcBorders>
                    <w:tl2br w:val="nil"/>
                    <w:tr2bl w:val="nil"/>
                  </w:tcBorders>
                  <w:shd w:val="clear" w:color="auto" w:fill="auto"/>
                  <w:noWrap w:val="0"/>
                  <w:vAlign w:val="center"/>
                </w:tcPr>
                <w:p w14:paraId="5E3D666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szCs w:val="21"/>
                      <w:highlight w:val="none"/>
                    </w:rPr>
                  </w:pPr>
                </w:p>
              </w:tc>
              <w:tc>
                <w:tcPr>
                  <w:tcW w:w="813" w:type="pct"/>
                  <w:tcBorders>
                    <w:tl2br w:val="nil"/>
                    <w:tr2bl w:val="nil"/>
                  </w:tcBorders>
                  <w:shd w:val="clear" w:color="auto" w:fill="auto"/>
                  <w:noWrap w:val="0"/>
                  <w:vAlign w:val="center"/>
                </w:tcPr>
                <w:p w14:paraId="0F88002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color w:val="000000"/>
                      <w:kern w:val="2"/>
                      <w:sz w:val="21"/>
                      <w:szCs w:val="21"/>
                      <w:highlight w:val="none"/>
                      <w:lang w:val="en-US" w:eastAsia="zh-CN" w:bidi="ar-SA"/>
                    </w:rPr>
                  </w:pPr>
                  <w:r>
                    <w:rPr>
                      <w:rFonts w:hint="eastAsia" w:ascii="Times New Roman" w:hAnsi="Times New Roman" w:cs="Times New Roman"/>
                      <w:b/>
                      <w:color w:val="000000"/>
                      <w:szCs w:val="21"/>
                      <w:highlight w:val="none"/>
                      <w:lang w:val="en-US" w:eastAsia="zh-CN"/>
                    </w:rPr>
                    <w:t>产生</w:t>
                  </w:r>
                  <w:r>
                    <w:rPr>
                      <w:rFonts w:hint="default" w:ascii="Times New Roman" w:hAnsi="Times New Roman" w:cs="Times New Roman"/>
                      <w:b/>
                      <w:color w:val="000000"/>
                      <w:szCs w:val="21"/>
                      <w:highlight w:val="none"/>
                    </w:rPr>
                    <w:t>浓度</w:t>
                  </w:r>
                  <w:r>
                    <w:rPr>
                      <w:rFonts w:hint="eastAsia" w:ascii="Times New Roman" w:hAnsi="Times New Roman" w:cs="Times New Roman"/>
                      <w:b/>
                      <w:color w:val="000000"/>
                      <w:szCs w:val="21"/>
                      <w:highlight w:val="none"/>
                      <w:lang w:eastAsia="zh-CN"/>
                    </w:rPr>
                    <w:t>（</w:t>
                  </w:r>
                  <w:r>
                    <w:rPr>
                      <w:rFonts w:hint="default" w:ascii="Times New Roman" w:hAnsi="Times New Roman" w:eastAsia="宋体" w:cs="Times New Roman"/>
                      <w:color w:val="000000"/>
                      <w:sz w:val="21"/>
                      <w:szCs w:val="21"/>
                      <w:highlight w:val="none"/>
                      <w:lang w:val="en-US"/>
                    </w:rPr>
                    <w:t>mg/L</w:t>
                  </w:r>
                  <w:r>
                    <w:rPr>
                      <w:rFonts w:hint="eastAsia" w:ascii="Times New Roman" w:hAnsi="Times New Roman" w:cs="Times New Roman"/>
                      <w:b/>
                      <w:color w:val="000000"/>
                      <w:szCs w:val="21"/>
                      <w:highlight w:val="none"/>
                      <w:lang w:eastAsia="zh-CN"/>
                    </w:rPr>
                    <w:t>）</w:t>
                  </w:r>
                </w:p>
              </w:tc>
              <w:tc>
                <w:tcPr>
                  <w:tcW w:w="732" w:type="pct"/>
                  <w:tcBorders>
                    <w:tl2br w:val="nil"/>
                    <w:tr2bl w:val="nil"/>
                  </w:tcBorders>
                  <w:shd w:val="clear" w:color="auto" w:fill="auto"/>
                  <w:noWrap w:val="0"/>
                  <w:vAlign w:val="center"/>
                </w:tcPr>
                <w:p w14:paraId="4E08238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color w:val="000000"/>
                      <w:kern w:val="2"/>
                      <w:sz w:val="21"/>
                      <w:szCs w:val="21"/>
                      <w:highlight w:val="none"/>
                      <w:lang w:val="en-US" w:eastAsia="zh-CN" w:bidi="ar-SA"/>
                    </w:rPr>
                  </w:pPr>
                  <w:r>
                    <w:rPr>
                      <w:rFonts w:hint="eastAsia" w:ascii="Times New Roman" w:hAnsi="Times New Roman" w:cs="Times New Roman"/>
                      <w:b/>
                      <w:color w:val="000000"/>
                      <w:szCs w:val="21"/>
                      <w:highlight w:val="none"/>
                      <w:lang w:val="en-US" w:eastAsia="zh-CN"/>
                    </w:rPr>
                    <w:t>产生</w:t>
                  </w:r>
                  <w:r>
                    <w:rPr>
                      <w:rFonts w:hint="default" w:ascii="Times New Roman" w:hAnsi="Times New Roman" w:cs="Times New Roman"/>
                      <w:b/>
                      <w:color w:val="000000"/>
                      <w:szCs w:val="21"/>
                      <w:highlight w:val="none"/>
                    </w:rPr>
                    <w:t>量</w:t>
                  </w:r>
                  <w:r>
                    <w:rPr>
                      <w:rFonts w:hint="eastAsia" w:ascii="Times New Roman" w:hAnsi="Times New Roman" w:cs="Times New Roman"/>
                      <w:b/>
                      <w:color w:val="000000"/>
                      <w:szCs w:val="21"/>
                      <w:highlight w:val="none"/>
                      <w:lang w:eastAsia="zh-CN"/>
                    </w:rPr>
                    <w:t>（</w:t>
                  </w:r>
                  <w:r>
                    <w:rPr>
                      <w:rFonts w:hint="eastAsia" w:ascii="Times New Roman" w:hAnsi="Times New Roman" w:cs="Times New Roman"/>
                      <w:b/>
                      <w:color w:val="000000"/>
                      <w:szCs w:val="21"/>
                      <w:highlight w:val="none"/>
                      <w:lang w:val="en-US" w:eastAsia="zh-CN"/>
                    </w:rPr>
                    <w:t>t/a</w:t>
                  </w:r>
                  <w:r>
                    <w:rPr>
                      <w:rFonts w:hint="eastAsia" w:ascii="Times New Roman" w:hAnsi="Times New Roman" w:cs="Times New Roman"/>
                      <w:b/>
                      <w:color w:val="000000"/>
                      <w:szCs w:val="21"/>
                      <w:highlight w:val="none"/>
                      <w:lang w:eastAsia="zh-CN"/>
                    </w:rPr>
                    <w:t>）</w:t>
                  </w:r>
                </w:p>
              </w:tc>
              <w:tc>
                <w:tcPr>
                  <w:tcW w:w="582" w:type="pct"/>
                  <w:vMerge w:val="continue"/>
                  <w:tcBorders>
                    <w:tl2br w:val="nil"/>
                    <w:tr2bl w:val="nil"/>
                  </w:tcBorders>
                  <w:shd w:val="clear" w:color="auto" w:fill="auto"/>
                  <w:noWrap w:val="0"/>
                  <w:vAlign w:val="center"/>
                </w:tcPr>
                <w:p w14:paraId="23682AF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color w:val="000000"/>
                      <w:szCs w:val="21"/>
                      <w:highlight w:val="none"/>
                    </w:rPr>
                  </w:pPr>
                </w:p>
              </w:tc>
              <w:tc>
                <w:tcPr>
                  <w:tcW w:w="779" w:type="pct"/>
                  <w:tcBorders>
                    <w:tl2br w:val="nil"/>
                    <w:tr2bl w:val="nil"/>
                  </w:tcBorders>
                  <w:shd w:val="clear" w:color="auto" w:fill="auto"/>
                  <w:noWrap w:val="0"/>
                  <w:vAlign w:val="center"/>
                </w:tcPr>
                <w:p w14:paraId="4F1B5C9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color w:val="000000"/>
                      <w:szCs w:val="21"/>
                      <w:highlight w:val="none"/>
                    </w:rPr>
                  </w:pPr>
                  <w:r>
                    <w:rPr>
                      <w:rFonts w:hint="eastAsia" w:ascii="Times New Roman" w:hAnsi="Times New Roman" w:cs="Times New Roman"/>
                      <w:b/>
                      <w:color w:val="000000"/>
                      <w:szCs w:val="21"/>
                      <w:highlight w:val="none"/>
                      <w:lang w:val="en-US" w:eastAsia="zh-CN"/>
                    </w:rPr>
                    <w:t>产生</w:t>
                  </w:r>
                  <w:r>
                    <w:rPr>
                      <w:rFonts w:hint="default" w:ascii="Times New Roman" w:hAnsi="Times New Roman" w:cs="Times New Roman"/>
                      <w:b/>
                      <w:color w:val="000000"/>
                      <w:szCs w:val="21"/>
                      <w:highlight w:val="none"/>
                    </w:rPr>
                    <w:t>浓度</w:t>
                  </w:r>
                  <w:r>
                    <w:rPr>
                      <w:rFonts w:hint="eastAsia" w:ascii="Times New Roman" w:hAnsi="Times New Roman" w:cs="Times New Roman"/>
                      <w:b/>
                      <w:color w:val="000000"/>
                      <w:szCs w:val="21"/>
                      <w:highlight w:val="none"/>
                      <w:lang w:eastAsia="zh-CN"/>
                    </w:rPr>
                    <w:t>（</w:t>
                  </w:r>
                  <w:r>
                    <w:rPr>
                      <w:rFonts w:hint="default" w:ascii="Times New Roman" w:hAnsi="Times New Roman" w:eastAsia="宋体" w:cs="Times New Roman"/>
                      <w:color w:val="000000"/>
                      <w:sz w:val="21"/>
                      <w:szCs w:val="21"/>
                      <w:highlight w:val="none"/>
                      <w:lang w:val="en-US"/>
                    </w:rPr>
                    <w:t>mg/L</w:t>
                  </w:r>
                  <w:r>
                    <w:rPr>
                      <w:rFonts w:hint="eastAsia" w:ascii="Times New Roman" w:hAnsi="Times New Roman" w:cs="Times New Roman"/>
                      <w:b/>
                      <w:color w:val="000000"/>
                      <w:szCs w:val="21"/>
                      <w:highlight w:val="none"/>
                      <w:lang w:eastAsia="zh-CN"/>
                    </w:rPr>
                    <w:t>）</w:t>
                  </w:r>
                </w:p>
              </w:tc>
              <w:tc>
                <w:tcPr>
                  <w:tcW w:w="737" w:type="pct"/>
                  <w:tcBorders>
                    <w:tl2br w:val="nil"/>
                    <w:tr2bl w:val="nil"/>
                  </w:tcBorders>
                  <w:shd w:val="clear" w:color="auto" w:fill="auto"/>
                  <w:noWrap w:val="0"/>
                  <w:vAlign w:val="center"/>
                </w:tcPr>
                <w:p w14:paraId="315AEF9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color w:val="000000"/>
                      <w:szCs w:val="21"/>
                      <w:highlight w:val="none"/>
                    </w:rPr>
                  </w:pPr>
                  <w:r>
                    <w:rPr>
                      <w:rFonts w:hint="eastAsia" w:ascii="Times New Roman" w:hAnsi="Times New Roman" w:cs="Times New Roman"/>
                      <w:b/>
                      <w:color w:val="000000"/>
                      <w:szCs w:val="21"/>
                      <w:highlight w:val="none"/>
                      <w:lang w:val="en-US" w:eastAsia="zh-CN"/>
                    </w:rPr>
                    <w:t>产生</w:t>
                  </w:r>
                  <w:r>
                    <w:rPr>
                      <w:rFonts w:hint="default" w:ascii="Times New Roman" w:hAnsi="Times New Roman" w:cs="Times New Roman"/>
                      <w:b/>
                      <w:color w:val="000000"/>
                      <w:szCs w:val="21"/>
                      <w:highlight w:val="none"/>
                    </w:rPr>
                    <w:t>量</w:t>
                  </w:r>
                  <w:r>
                    <w:rPr>
                      <w:rFonts w:hint="eastAsia" w:ascii="Times New Roman" w:hAnsi="Times New Roman" w:cs="Times New Roman"/>
                      <w:b/>
                      <w:color w:val="000000"/>
                      <w:szCs w:val="21"/>
                      <w:highlight w:val="none"/>
                      <w:lang w:eastAsia="zh-CN"/>
                    </w:rPr>
                    <w:t>（</w:t>
                  </w:r>
                  <w:r>
                    <w:rPr>
                      <w:rFonts w:hint="eastAsia" w:ascii="Times New Roman" w:hAnsi="Times New Roman" w:cs="Times New Roman"/>
                      <w:b/>
                      <w:color w:val="000000"/>
                      <w:szCs w:val="21"/>
                      <w:highlight w:val="none"/>
                      <w:lang w:val="en-US" w:eastAsia="zh-CN"/>
                    </w:rPr>
                    <w:t>t/a</w:t>
                  </w:r>
                  <w:r>
                    <w:rPr>
                      <w:rFonts w:hint="eastAsia" w:ascii="Times New Roman" w:hAnsi="Times New Roman" w:cs="Times New Roman"/>
                      <w:b/>
                      <w:color w:val="000000"/>
                      <w:szCs w:val="21"/>
                      <w:highlight w:val="none"/>
                      <w:lang w:eastAsia="zh-CN"/>
                    </w:rPr>
                    <w:t>）</w:t>
                  </w:r>
                </w:p>
              </w:tc>
            </w:tr>
            <w:tr w14:paraId="006FF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pct"/>
                  <w:vMerge w:val="restart"/>
                  <w:tcBorders>
                    <w:tl2br w:val="nil"/>
                    <w:tr2bl w:val="nil"/>
                  </w:tcBorders>
                  <w:shd w:val="clear" w:color="auto" w:fill="auto"/>
                  <w:noWrap w:val="0"/>
                  <w:vAlign w:val="center"/>
                </w:tcPr>
                <w:p w14:paraId="4EEC523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 w:val="21"/>
                      <w:szCs w:val="21"/>
                      <w:highlight w:val="none"/>
                      <w:lang w:val="en-US" w:eastAsia="zh-CN"/>
                    </w:rPr>
                  </w:pPr>
                  <w:r>
                    <w:rPr>
                      <w:rFonts w:hint="eastAsia"/>
                      <w:color w:val="000000"/>
                      <w:highlight w:val="none"/>
                      <w:lang w:val="en-US" w:eastAsia="zh-CN"/>
                    </w:rPr>
                    <w:t>生产废水、生活污水3599.23</w:t>
                  </w:r>
                </w:p>
                <w:p w14:paraId="3795485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m³</w:t>
                  </w:r>
                  <w:r>
                    <w:rPr>
                      <w:rFonts w:hint="default" w:ascii="Times New Roman" w:hAnsi="Times New Roman" w:eastAsia="宋体" w:cs="Times New Roman"/>
                      <w:color w:val="000000"/>
                      <w:sz w:val="21"/>
                      <w:szCs w:val="21"/>
                      <w:highlight w:val="none"/>
                      <w:lang w:val="en-US" w:eastAsia="zh-CN"/>
                    </w:rPr>
                    <w:t>/a</w:t>
                  </w:r>
                </w:p>
              </w:tc>
              <w:tc>
                <w:tcPr>
                  <w:tcW w:w="670" w:type="pct"/>
                  <w:tcBorders>
                    <w:tl2br w:val="nil"/>
                    <w:tr2bl w:val="nil"/>
                  </w:tcBorders>
                  <w:shd w:val="clear" w:color="auto" w:fill="auto"/>
                  <w:noWrap w:val="0"/>
                  <w:vAlign w:val="center"/>
                </w:tcPr>
                <w:p w14:paraId="6560980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pH</w:t>
                  </w:r>
                </w:p>
              </w:tc>
              <w:tc>
                <w:tcPr>
                  <w:tcW w:w="813" w:type="pct"/>
                  <w:tcBorders>
                    <w:tl2br w:val="nil"/>
                    <w:tr2bl w:val="nil"/>
                  </w:tcBorders>
                  <w:shd w:val="clear" w:color="auto" w:fill="auto"/>
                  <w:noWrap w:val="0"/>
                  <w:vAlign w:val="center"/>
                </w:tcPr>
                <w:p w14:paraId="695EB28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color w:val="000000"/>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7.5（无量纲）</w:t>
                  </w:r>
                </w:p>
              </w:tc>
              <w:tc>
                <w:tcPr>
                  <w:tcW w:w="732" w:type="pct"/>
                  <w:tcBorders>
                    <w:tl2br w:val="nil"/>
                    <w:tr2bl w:val="nil"/>
                  </w:tcBorders>
                  <w:shd w:val="clear" w:color="auto" w:fill="auto"/>
                  <w:noWrap w:val="0"/>
                  <w:vAlign w:val="center"/>
                </w:tcPr>
                <w:p w14:paraId="3D7CABE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color w:val="000000"/>
                      <w:szCs w:val="21"/>
                      <w:highlight w:val="none"/>
                      <w:lang w:val="en-US" w:eastAsia="zh-CN"/>
                    </w:rPr>
                  </w:pPr>
                  <w:r>
                    <w:rPr>
                      <w:rFonts w:hint="eastAsia" w:ascii="Times New Roman" w:hAnsi="Times New Roman" w:cs="Times New Roman"/>
                      <w:b/>
                      <w:color w:val="000000"/>
                      <w:szCs w:val="21"/>
                      <w:highlight w:val="none"/>
                      <w:lang w:val="en-US" w:eastAsia="zh-CN"/>
                    </w:rPr>
                    <w:t>/</w:t>
                  </w:r>
                </w:p>
              </w:tc>
              <w:tc>
                <w:tcPr>
                  <w:tcW w:w="582" w:type="pct"/>
                  <w:vMerge w:val="restart"/>
                  <w:tcBorders>
                    <w:tl2br w:val="nil"/>
                    <w:tr2bl w:val="nil"/>
                  </w:tcBorders>
                  <w:shd w:val="clear" w:color="auto" w:fill="auto"/>
                  <w:noWrap w:val="0"/>
                  <w:vAlign w:val="center"/>
                </w:tcPr>
                <w:p w14:paraId="7E93630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color w:val="000000"/>
                      <w:spacing w:val="-3"/>
                      <w:highlight w:val="none"/>
                      <w:lang w:val="en-US" w:eastAsia="zh-CN"/>
                    </w:rPr>
                    <w:t>隔油池、化粪池、</w:t>
                  </w:r>
                  <w:r>
                    <w:rPr>
                      <w:rFonts w:hint="eastAsia" w:ascii="Times New Roman" w:hAnsi="Times New Roman" w:eastAsia="宋体" w:cs="Times New Roman"/>
                      <w:color w:val="000000"/>
                      <w:kern w:val="2"/>
                      <w:sz w:val="21"/>
                      <w:szCs w:val="21"/>
                      <w:highlight w:val="none"/>
                      <w:lang w:val="en-US" w:eastAsia="zh-CN" w:bidi="ar-SA"/>
                    </w:rPr>
                    <w:t>一体化污水处理设备</w:t>
                  </w:r>
                </w:p>
              </w:tc>
              <w:tc>
                <w:tcPr>
                  <w:tcW w:w="779" w:type="pct"/>
                  <w:tcBorders>
                    <w:tl2br w:val="nil"/>
                    <w:tr2bl w:val="nil"/>
                  </w:tcBorders>
                  <w:shd w:val="clear" w:color="auto" w:fill="auto"/>
                  <w:noWrap w:val="0"/>
                  <w:vAlign w:val="center"/>
                </w:tcPr>
                <w:p w14:paraId="1E92D71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cs="Times New Roman"/>
                      <w:b/>
                      <w:color w:val="000000"/>
                      <w:kern w:val="2"/>
                      <w:sz w:val="21"/>
                      <w:szCs w:val="21"/>
                      <w:highlight w:val="none"/>
                      <w:lang w:val="en-US" w:eastAsia="zh-CN" w:bidi="ar-SA"/>
                    </w:rPr>
                  </w:pPr>
                  <w:r>
                    <w:rPr>
                      <w:rFonts w:hint="eastAsia" w:ascii="Times New Roman" w:hAnsi="Times New Roman" w:eastAsia="宋体" w:cs="Times New Roman"/>
                      <w:color w:val="000000"/>
                      <w:sz w:val="21"/>
                      <w:szCs w:val="21"/>
                      <w:highlight w:val="none"/>
                      <w:lang w:val="en-US" w:eastAsia="zh-CN"/>
                    </w:rPr>
                    <w:t>7（无量纲）</w:t>
                  </w:r>
                </w:p>
              </w:tc>
              <w:tc>
                <w:tcPr>
                  <w:tcW w:w="737" w:type="pct"/>
                  <w:tcBorders>
                    <w:tl2br w:val="nil"/>
                    <w:tr2bl w:val="nil"/>
                  </w:tcBorders>
                  <w:shd w:val="clear" w:color="auto" w:fill="auto"/>
                  <w:noWrap w:val="0"/>
                  <w:vAlign w:val="center"/>
                </w:tcPr>
                <w:p w14:paraId="0EA0052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cs="Times New Roman"/>
                      <w:b/>
                      <w:color w:val="000000"/>
                      <w:kern w:val="2"/>
                      <w:sz w:val="21"/>
                      <w:szCs w:val="21"/>
                      <w:highlight w:val="none"/>
                      <w:lang w:val="en-US" w:eastAsia="zh-CN" w:bidi="ar-SA"/>
                    </w:rPr>
                  </w:pPr>
                  <w:r>
                    <w:rPr>
                      <w:rFonts w:hint="eastAsia" w:ascii="Times New Roman" w:hAnsi="Times New Roman" w:cs="Times New Roman"/>
                      <w:b/>
                      <w:color w:val="000000"/>
                      <w:szCs w:val="21"/>
                      <w:highlight w:val="none"/>
                      <w:lang w:val="en-US" w:eastAsia="zh-CN"/>
                    </w:rPr>
                    <w:t>/</w:t>
                  </w:r>
                </w:p>
              </w:tc>
            </w:tr>
            <w:tr w14:paraId="66BC3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4" w:type="pct"/>
                  <w:vMerge w:val="continue"/>
                  <w:tcBorders>
                    <w:tl2br w:val="nil"/>
                    <w:tr2bl w:val="nil"/>
                  </w:tcBorders>
                  <w:shd w:val="clear" w:color="auto" w:fill="auto"/>
                  <w:noWrap w:val="0"/>
                  <w:vAlign w:val="center"/>
                </w:tcPr>
                <w:p w14:paraId="0AFDB90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highlight w:val="none"/>
                      <w:lang w:val="en-US" w:eastAsia="zh-CN"/>
                    </w:rPr>
                  </w:pPr>
                </w:p>
              </w:tc>
              <w:tc>
                <w:tcPr>
                  <w:tcW w:w="670" w:type="pct"/>
                  <w:tcBorders>
                    <w:tl2br w:val="nil"/>
                    <w:tr2bl w:val="nil"/>
                  </w:tcBorders>
                  <w:shd w:val="clear" w:color="auto" w:fill="auto"/>
                  <w:noWrap w:val="0"/>
                  <w:vAlign w:val="center"/>
                </w:tcPr>
                <w:p w14:paraId="2F3DDBB2">
                  <w:pPr>
                    <w:shd w:val="clear" w:color="auto" w:fill="auto"/>
                    <w:bidi w:val="0"/>
                    <w:jc w:val="center"/>
                    <w:rPr>
                      <w:rFonts w:hint="default" w:ascii="Times New Roman" w:hAnsi="Times New Roman" w:eastAsia="宋体" w:cs="Times New Roman"/>
                      <w:color w:val="000000"/>
                      <w:kern w:val="2"/>
                      <w:sz w:val="21"/>
                      <w:szCs w:val="21"/>
                      <w:highlight w:val="none"/>
                      <w:lang w:val="en-US" w:eastAsia="zh-CN" w:bidi="ar-SA"/>
                    </w:rPr>
                  </w:pPr>
                  <w:r>
                    <w:rPr>
                      <w:color w:val="000000"/>
                      <w:highlight w:val="none"/>
                    </w:rPr>
                    <w:t>悬浮物</w:t>
                  </w:r>
                </w:p>
              </w:tc>
              <w:tc>
                <w:tcPr>
                  <w:tcW w:w="813" w:type="pct"/>
                  <w:tcBorders>
                    <w:tl2br w:val="nil"/>
                    <w:tr2bl w:val="nil"/>
                  </w:tcBorders>
                  <w:shd w:val="clear" w:color="auto" w:fill="auto"/>
                  <w:noWrap w:val="0"/>
                  <w:vAlign w:val="center"/>
                </w:tcPr>
                <w:p w14:paraId="2004943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color w:val="000000"/>
                      <w:szCs w:val="21"/>
                      <w:highlight w:val="none"/>
                      <w:lang w:val="en-US" w:eastAsia="zh-CN"/>
                    </w:rPr>
                  </w:pPr>
                  <w:r>
                    <w:rPr>
                      <w:rFonts w:hint="default" w:ascii="Times New Roman" w:hAnsi="Times New Roman" w:eastAsia="宋体" w:cs="Times New Roman"/>
                      <w:color w:val="000000"/>
                      <w:sz w:val="21"/>
                      <w:szCs w:val="21"/>
                      <w:highlight w:val="none"/>
                      <w:lang w:val="en-US"/>
                    </w:rPr>
                    <w:t>2462.758</w:t>
                  </w:r>
                </w:p>
              </w:tc>
              <w:tc>
                <w:tcPr>
                  <w:tcW w:w="732" w:type="pct"/>
                  <w:tcBorders>
                    <w:tl2br w:val="nil"/>
                    <w:tr2bl w:val="nil"/>
                  </w:tcBorders>
                  <w:shd w:val="clear" w:color="auto" w:fill="auto"/>
                  <w:noWrap w:val="0"/>
                  <w:vAlign w:val="center"/>
                </w:tcPr>
                <w:p w14:paraId="4AD8272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color w:val="auto"/>
                      <w:szCs w:val="21"/>
                      <w:highlight w:val="none"/>
                      <w:lang w:val="en-US" w:eastAsia="zh-CN"/>
                    </w:rPr>
                  </w:pPr>
                  <w:r>
                    <w:rPr>
                      <w:rFonts w:hint="eastAsia" w:ascii="Times New Roman" w:hAnsi="Times New Roman" w:cs="Times New Roman"/>
                      <w:b w:val="0"/>
                      <w:bCs/>
                      <w:color w:val="auto"/>
                      <w:szCs w:val="21"/>
                      <w:highlight w:val="none"/>
                      <w:lang w:val="en-US" w:eastAsia="zh-CN"/>
                    </w:rPr>
                    <w:t>8.86</w:t>
                  </w:r>
                </w:p>
              </w:tc>
              <w:tc>
                <w:tcPr>
                  <w:tcW w:w="582" w:type="pct"/>
                  <w:vMerge w:val="continue"/>
                  <w:tcBorders>
                    <w:tl2br w:val="nil"/>
                    <w:tr2bl w:val="nil"/>
                  </w:tcBorders>
                  <w:shd w:val="clear" w:color="auto" w:fill="auto"/>
                  <w:noWrap w:val="0"/>
                  <w:vAlign w:val="center"/>
                </w:tcPr>
                <w:p w14:paraId="5AD40B8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p>
              </w:tc>
              <w:tc>
                <w:tcPr>
                  <w:tcW w:w="779" w:type="pct"/>
                  <w:tcBorders>
                    <w:tl2br w:val="nil"/>
                    <w:tr2bl w:val="nil"/>
                  </w:tcBorders>
                  <w:shd w:val="clear" w:color="auto" w:fill="auto"/>
                  <w:noWrap w:val="0"/>
                  <w:vAlign w:val="center"/>
                </w:tcPr>
                <w:p w14:paraId="316ECB3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color w:val="000000"/>
                      <w:szCs w:val="21"/>
                      <w:highlight w:val="none"/>
                      <w:lang w:val="en-US" w:eastAsia="zh-CN"/>
                    </w:rPr>
                  </w:pPr>
                  <w:r>
                    <w:rPr>
                      <w:rFonts w:hint="default" w:ascii="Times New Roman" w:hAnsi="Times New Roman" w:eastAsia="宋体" w:cs="Times New Roman"/>
                      <w:color w:val="000000"/>
                      <w:sz w:val="21"/>
                      <w:szCs w:val="21"/>
                      <w:highlight w:val="none"/>
                      <w:lang w:val="en-US"/>
                    </w:rPr>
                    <w:t>13.5mg/L</w:t>
                  </w:r>
                </w:p>
              </w:tc>
              <w:tc>
                <w:tcPr>
                  <w:tcW w:w="737" w:type="pct"/>
                  <w:tcBorders>
                    <w:tl2br w:val="nil"/>
                    <w:tr2bl w:val="nil"/>
                  </w:tcBorders>
                  <w:shd w:val="clear" w:color="auto" w:fill="auto"/>
                  <w:noWrap w:val="0"/>
                  <w:vAlign w:val="center"/>
                </w:tcPr>
                <w:p w14:paraId="5ADE91A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color w:val="000000"/>
                      <w:szCs w:val="21"/>
                      <w:highlight w:val="none"/>
                      <w:lang w:val="en-US" w:eastAsia="zh-CN"/>
                    </w:rPr>
                  </w:pPr>
                  <w:r>
                    <w:rPr>
                      <w:rFonts w:hint="eastAsia" w:ascii="Times New Roman" w:hAnsi="Times New Roman" w:cs="Times New Roman"/>
                      <w:b w:val="0"/>
                      <w:bCs/>
                      <w:color w:val="000000"/>
                      <w:szCs w:val="21"/>
                      <w:highlight w:val="none"/>
                      <w:lang w:val="en-US" w:eastAsia="zh-CN"/>
                    </w:rPr>
                    <w:t>0.05</w:t>
                  </w:r>
                </w:p>
              </w:tc>
            </w:tr>
            <w:tr w14:paraId="27257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84" w:type="pct"/>
                  <w:vMerge w:val="continue"/>
                  <w:tcBorders>
                    <w:tl2br w:val="nil"/>
                    <w:tr2bl w:val="nil"/>
                  </w:tcBorders>
                  <w:shd w:val="clear" w:color="auto" w:fill="auto"/>
                  <w:noWrap w:val="0"/>
                  <w:vAlign w:val="center"/>
                </w:tcPr>
                <w:p w14:paraId="18C70E7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000000"/>
                      <w:szCs w:val="21"/>
                      <w:highlight w:val="none"/>
                      <w:lang w:val="en-US" w:eastAsia="zh-CN"/>
                    </w:rPr>
                  </w:pPr>
                </w:p>
              </w:tc>
              <w:tc>
                <w:tcPr>
                  <w:tcW w:w="670" w:type="pct"/>
                  <w:tcBorders>
                    <w:tl2br w:val="nil"/>
                    <w:tr2bl w:val="nil"/>
                  </w:tcBorders>
                  <w:shd w:val="clear" w:color="auto" w:fill="auto"/>
                  <w:noWrap w:val="0"/>
                  <w:vAlign w:val="center"/>
                </w:tcPr>
                <w:p w14:paraId="05F1EC56">
                  <w:pPr>
                    <w:shd w:val="clear" w:color="auto" w:fill="auto"/>
                    <w:bidi w:val="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highlight w:val="none"/>
                      <w:lang w:val="en-US" w:eastAsia="zh-CN"/>
                    </w:rPr>
                    <w:t>COD</w:t>
                  </w:r>
                </w:p>
              </w:tc>
              <w:tc>
                <w:tcPr>
                  <w:tcW w:w="813" w:type="pct"/>
                  <w:tcBorders>
                    <w:tl2br w:val="nil"/>
                    <w:tr2bl w:val="nil"/>
                  </w:tcBorders>
                  <w:shd w:val="clear" w:color="auto" w:fill="auto"/>
                  <w:noWrap w:val="0"/>
                  <w:vAlign w:val="center"/>
                </w:tcPr>
                <w:p w14:paraId="6ADF298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000000"/>
                      <w:szCs w:val="21"/>
                      <w:highlight w:val="none"/>
                      <w:lang w:val="en-US" w:eastAsia="zh-CN"/>
                    </w:rPr>
                  </w:pPr>
                  <w:r>
                    <w:rPr>
                      <w:rFonts w:hint="eastAsia" w:ascii="Times New Roman" w:hAnsi="Times New Roman" w:eastAsia="宋体" w:cs="Times New Roman"/>
                      <w:color w:val="000000"/>
                      <w:kern w:val="2"/>
                      <w:sz w:val="21"/>
                      <w:szCs w:val="21"/>
                      <w:highlight w:val="none"/>
                      <w:lang w:val="en-US" w:eastAsia="zh-CN" w:bidi="ar-SA"/>
                    </w:rPr>
                    <w:t>57100.5</w:t>
                  </w:r>
                </w:p>
              </w:tc>
              <w:tc>
                <w:tcPr>
                  <w:tcW w:w="732" w:type="pct"/>
                  <w:tcBorders>
                    <w:tl2br w:val="nil"/>
                    <w:tr2bl w:val="nil"/>
                  </w:tcBorders>
                  <w:shd w:val="clear" w:color="auto" w:fill="auto"/>
                  <w:noWrap w:val="0"/>
                  <w:vAlign w:val="center"/>
                </w:tcPr>
                <w:p w14:paraId="4B8F158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Cs w:val="21"/>
                      <w:highlight w:val="none"/>
                      <w:lang w:val="en-US" w:eastAsia="zh-CN"/>
                    </w:rPr>
                  </w:pPr>
                  <w:r>
                    <w:rPr>
                      <w:rFonts w:hint="eastAsia" w:ascii="Times New Roman" w:hAnsi="Times New Roman" w:eastAsia="宋体" w:cs="Times New Roman"/>
                      <w:b w:val="0"/>
                      <w:bCs/>
                      <w:color w:val="auto"/>
                      <w:szCs w:val="21"/>
                      <w:highlight w:val="none"/>
                      <w:lang w:val="en-US" w:eastAsia="zh-CN"/>
                    </w:rPr>
                    <w:t>205.5187</w:t>
                  </w:r>
                </w:p>
              </w:tc>
              <w:tc>
                <w:tcPr>
                  <w:tcW w:w="582" w:type="pct"/>
                  <w:vMerge w:val="continue"/>
                  <w:tcBorders>
                    <w:tl2br w:val="nil"/>
                    <w:tr2bl w:val="nil"/>
                  </w:tcBorders>
                  <w:shd w:val="clear" w:color="auto" w:fill="auto"/>
                  <w:noWrap w:val="0"/>
                  <w:vAlign w:val="center"/>
                </w:tcPr>
                <w:p w14:paraId="28814F3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p>
              </w:tc>
              <w:tc>
                <w:tcPr>
                  <w:tcW w:w="779" w:type="pct"/>
                  <w:tcBorders>
                    <w:tl2br w:val="nil"/>
                    <w:tr2bl w:val="nil"/>
                  </w:tcBorders>
                  <w:shd w:val="clear" w:color="auto" w:fill="auto"/>
                  <w:noWrap w:val="0"/>
                  <w:vAlign w:val="center"/>
                </w:tcPr>
                <w:p w14:paraId="4605103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color w:val="000000"/>
                      <w:szCs w:val="21"/>
                      <w:highlight w:val="none"/>
                      <w:lang w:val="en-US"/>
                    </w:rPr>
                  </w:pPr>
                  <w:r>
                    <w:rPr>
                      <w:rFonts w:hint="default" w:ascii="Times New Roman" w:hAnsi="Times New Roman" w:eastAsia="宋体" w:cs="Times New Roman"/>
                      <w:color w:val="000000"/>
                      <w:sz w:val="21"/>
                      <w:szCs w:val="21"/>
                      <w:highlight w:val="none"/>
                      <w:lang w:val="en-US"/>
                    </w:rPr>
                    <w:t>44mg/L</w:t>
                  </w:r>
                </w:p>
              </w:tc>
              <w:tc>
                <w:tcPr>
                  <w:tcW w:w="737" w:type="pct"/>
                  <w:tcBorders>
                    <w:tl2br w:val="nil"/>
                    <w:tr2bl w:val="nil"/>
                  </w:tcBorders>
                  <w:shd w:val="clear" w:color="auto" w:fill="auto"/>
                  <w:noWrap w:val="0"/>
                  <w:vAlign w:val="center"/>
                </w:tcPr>
                <w:p w14:paraId="0A9A412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000000"/>
                      <w:szCs w:val="21"/>
                      <w:highlight w:val="none"/>
                      <w:lang w:val="en-US" w:eastAsia="zh-CN"/>
                    </w:rPr>
                  </w:pPr>
                  <w:r>
                    <w:rPr>
                      <w:rFonts w:hint="eastAsia" w:ascii="Times New Roman" w:hAnsi="Times New Roman" w:eastAsia="宋体" w:cs="Times New Roman"/>
                      <w:b w:val="0"/>
                      <w:bCs/>
                      <w:color w:val="000000"/>
                      <w:szCs w:val="21"/>
                      <w:highlight w:val="none"/>
                      <w:lang w:val="en-US" w:eastAsia="zh-CN"/>
                    </w:rPr>
                    <w:t>0.16</w:t>
                  </w:r>
                </w:p>
              </w:tc>
            </w:tr>
            <w:tr w14:paraId="507BB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84" w:type="pct"/>
                  <w:vMerge w:val="continue"/>
                  <w:tcBorders>
                    <w:tl2br w:val="nil"/>
                    <w:tr2bl w:val="nil"/>
                  </w:tcBorders>
                  <w:shd w:val="clear" w:color="auto" w:fill="auto"/>
                  <w:noWrap w:val="0"/>
                  <w:vAlign w:val="center"/>
                </w:tcPr>
                <w:p w14:paraId="132EEE2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szCs w:val="21"/>
                      <w:highlight w:val="none"/>
                    </w:rPr>
                  </w:pPr>
                </w:p>
              </w:tc>
              <w:tc>
                <w:tcPr>
                  <w:tcW w:w="670" w:type="pct"/>
                  <w:tcBorders>
                    <w:tl2br w:val="nil"/>
                    <w:tr2bl w:val="nil"/>
                  </w:tcBorders>
                  <w:shd w:val="clear" w:color="auto" w:fill="auto"/>
                  <w:noWrap w:val="0"/>
                  <w:vAlign w:val="center"/>
                </w:tcPr>
                <w:p w14:paraId="32D149A6">
                  <w:pPr>
                    <w:shd w:val="clear" w:color="auto" w:fill="auto"/>
                    <w:bidi w:val="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highlight w:val="none"/>
                      <w:lang w:val="en-US" w:eastAsia="zh-CN"/>
                    </w:rPr>
                    <w:t>BOD5</w:t>
                  </w:r>
                </w:p>
              </w:tc>
              <w:tc>
                <w:tcPr>
                  <w:tcW w:w="813" w:type="pct"/>
                  <w:tcBorders>
                    <w:tl2br w:val="nil"/>
                    <w:tr2bl w:val="nil"/>
                  </w:tcBorders>
                  <w:shd w:val="clear" w:color="auto" w:fill="auto"/>
                  <w:noWrap w:val="0"/>
                  <w:vAlign w:val="center"/>
                </w:tcPr>
                <w:p w14:paraId="354E08F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13440.5</w:t>
                  </w:r>
                </w:p>
              </w:tc>
              <w:tc>
                <w:tcPr>
                  <w:tcW w:w="732" w:type="pct"/>
                  <w:tcBorders>
                    <w:tl2br w:val="nil"/>
                    <w:tr2bl w:val="nil"/>
                  </w:tcBorders>
                  <w:shd w:val="clear" w:color="auto" w:fill="auto"/>
                  <w:noWrap w:val="0"/>
                  <w:vAlign w:val="center"/>
                </w:tcPr>
                <w:p w14:paraId="4CC2C3A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 w:val="0"/>
                      <w:bCs/>
                      <w:color w:val="auto"/>
                      <w:szCs w:val="21"/>
                      <w:highlight w:val="none"/>
                      <w:lang w:val="en-US" w:eastAsia="zh-CN"/>
                    </w:rPr>
                    <w:t>48.3755</w:t>
                  </w:r>
                </w:p>
              </w:tc>
              <w:tc>
                <w:tcPr>
                  <w:tcW w:w="582" w:type="pct"/>
                  <w:vMerge w:val="continue"/>
                  <w:tcBorders>
                    <w:tl2br w:val="nil"/>
                    <w:tr2bl w:val="nil"/>
                  </w:tcBorders>
                  <w:shd w:val="clear" w:color="auto" w:fill="auto"/>
                  <w:noWrap w:val="0"/>
                  <w:vAlign w:val="center"/>
                </w:tcPr>
                <w:p w14:paraId="6BD49AC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highlight w:val="none"/>
                      <w:lang w:val="en-US" w:eastAsia="zh-CN"/>
                    </w:rPr>
                  </w:pPr>
                </w:p>
              </w:tc>
              <w:tc>
                <w:tcPr>
                  <w:tcW w:w="779" w:type="pct"/>
                  <w:tcBorders>
                    <w:tl2br w:val="nil"/>
                    <w:tr2bl w:val="nil"/>
                  </w:tcBorders>
                  <w:shd w:val="clear" w:color="auto" w:fill="auto"/>
                  <w:noWrap w:val="0"/>
                  <w:vAlign w:val="center"/>
                </w:tcPr>
                <w:p w14:paraId="00D49ED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 w:val="21"/>
                      <w:szCs w:val="21"/>
                      <w:highlight w:val="none"/>
                      <w:lang w:val="en-US"/>
                    </w:rPr>
                    <w:t>13.2mg/L</w:t>
                  </w:r>
                </w:p>
              </w:tc>
              <w:tc>
                <w:tcPr>
                  <w:tcW w:w="737" w:type="pct"/>
                  <w:tcBorders>
                    <w:tl2br w:val="nil"/>
                    <w:tr2bl w:val="nil"/>
                  </w:tcBorders>
                  <w:shd w:val="clear" w:color="auto" w:fill="auto"/>
                  <w:noWrap w:val="0"/>
                  <w:vAlign w:val="center"/>
                </w:tcPr>
                <w:p w14:paraId="39D17A9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0.048</w:t>
                  </w:r>
                </w:p>
              </w:tc>
            </w:tr>
            <w:tr w14:paraId="6C084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84" w:type="pct"/>
                  <w:vMerge w:val="continue"/>
                  <w:tcBorders>
                    <w:tl2br w:val="nil"/>
                    <w:tr2bl w:val="nil"/>
                  </w:tcBorders>
                  <w:shd w:val="clear" w:color="auto" w:fill="auto"/>
                  <w:noWrap w:val="0"/>
                  <w:vAlign w:val="center"/>
                </w:tcPr>
                <w:p w14:paraId="6320448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szCs w:val="21"/>
                      <w:highlight w:val="none"/>
                    </w:rPr>
                  </w:pPr>
                </w:p>
              </w:tc>
              <w:tc>
                <w:tcPr>
                  <w:tcW w:w="670" w:type="pct"/>
                  <w:tcBorders>
                    <w:tl2br w:val="nil"/>
                    <w:tr2bl w:val="nil"/>
                  </w:tcBorders>
                  <w:shd w:val="clear" w:color="auto" w:fill="auto"/>
                  <w:noWrap w:val="0"/>
                  <w:vAlign w:val="center"/>
                </w:tcPr>
                <w:p w14:paraId="325B54E0">
                  <w:pPr>
                    <w:shd w:val="clear" w:color="auto" w:fill="auto"/>
                    <w:bidi w:val="0"/>
                    <w:jc w:val="center"/>
                    <w:rPr>
                      <w:rFonts w:hint="default" w:ascii="Times New Roman" w:hAnsi="Times New Roman" w:eastAsia="宋体" w:cs="Times New Roman"/>
                      <w:color w:val="000000"/>
                      <w:kern w:val="2"/>
                      <w:sz w:val="21"/>
                      <w:szCs w:val="21"/>
                      <w:highlight w:val="none"/>
                      <w:lang w:val="en-US" w:eastAsia="zh-CN" w:bidi="ar-SA"/>
                    </w:rPr>
                  </w:pPr>
                  <w:r>
                    <w:rPr>
                      <w:color w:val="000000"/>
                      <w:highlight w:val="none"/>
                    </w:rPr>
                    <w:t>氨氮</w:t>
                  </w:r>
                </w:p>
              </w:tc>
              <w:tc>
                <w:tcPr>
                  <w:tcW w:w="813" w:type="pct"/>
                  <w:tcBorders>
                    <w:tl2br w:val="nil"/>
                    <w:tr2bl w:val="nil"/>
                  </w:tcBorders>
                  <w:shd w:val="clear" w:color="auto" w:fill="auto"/>
                  <w:noWrap w:val="0"/>
                  <w:vAlign w:val="center"/>
                </w:tcPr>
                <w:p w14:paraId="13390E5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469.5</w:t>
                  </w:r>
                </w:p>
              </w:tc>
              <w:tc>
                <w:tcPr>
                  <w:tcW w:w="732" w:type="pct"/>
                  <w:tcBorders>
                    <w:tl2br w:val="nil"/>
                    <w:tr2bl w:val="nil"/>
                  </w:tcBorders>
                  <w:shd w:val="clear" w:color="auto" w:fill="auto"/>
                  <w:noWrap w:val="0"/>
                  <w:vAlign w:val="center"/>
                </w:tcPr>
                <w:p w14:paraId="694B6D3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1.6897</w:t>
                  </w:r>
                </w:p>
              </w:tc>
              <w:tc>
                <w:tcPr>
                  <w:tcW w:w="582" w:type="pct"/>
                  <w:vMerge w:val="continue"/>
                  <w:tcBorders>
                    <w:tl2br w:val="nil"/>
                    <w:tr2bl w:val="nil"/>
                  </w:tcBorders>
                  <w:shd w:val="clear" w:color="auto" w:fill="auto"/>
                  <w:noWrap w:val="0"/>
                  <w:vAlign w:val="center"/>
                </w:tcPr>
                <w:p w14:paraId="32195A9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p>
              </w:tc>
              <w:tc>
                <w:tcPr>
                  <w:tcW w:w="779" w:type="pct"/>
                  <w:tcBorders>
                    <w:tl2br w:val="nil"/>
                    <w:tr2bl w:val="nil"/>
                  </w:tcBorders>
                  <w:shd w:val="clear" w:color="auto" w:fill="auto"/>
                  <w:noWrap w:val="0"/>
                  <w:vAlign w:val="center"/>
                </w:tcPr>
                <w:p w14:paraId="0031F00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 w:val="21"/>
                      <w:szCs w:val="21"/>
                      <w:highlight w:val="none"/>
                      <w:lang w:val="en-US"/>
                    </w:rPr>
                    <w:t>4.78mg/L</w:t>
                  </w:r>
                </w:p>
              </w:tc>
              <w:tc>
                <w:tcPr>
                  <w:tcW w:w="737" w:type="pct"/>
                  <w:tcBorders>
                    <w:tl2br w:val="nil"/>
                    <w:tr2bl w:val="nil"/>
                  </w:tcBorders>
                  <w:shd w:val="clear" w:color="auto" w:fill="auto"/>
                  <w:noWrap w:val="0"/>
                  <w:vAlign w:val="center"/>
                </w:tcPr>
                <w:p w14:paraId="7CCD48F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0.0172</w:t>
                  </w:r>
                </w:p>
              </w:tc>
            </w:tr>
            <w:tr w14:paraId="521DB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684" w:type="pct"/>
                  <w:vMerge w:val="continue"/>
                  <w:tcBorders>
                    <w:tl2br w:val="nil"/>
                    <w:tr2bl w:val="nil"/>
                  </w:tcBorders>
                  <w:shd w:val="clear" w:color="auto" w:fill="auto"/>
                  <w:noWrap w:val="0"/>
                  <w:vAlign w:val="center"/>
                </w:tcPr>
                <w:p w14:paraId="638B36E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szCs w:val="21"/>
                      <w:highlight w:val="none"/>
                    </w:rPr>
                  </w:pPr>
                </w:p>
              </w:tc>
              <w:tc>
                <w:tcPr>
                  <w:tcW w:w="670" w:type="pct"/>
                  <w:tcBorders>
                    <w:tl2br w:val="nil"/>
                    <w:tr2bl w:val="nil"/>
                  </w:tcBorders>
                  <w:shd w:val="clear" w:color="auto" w:fill="auto"/>
                  <w:noWrap w:val="0"/>
                  <w:vAlign w:val="center"/>
                </w:tcPr>
                <w:p w14:paraId="6052C43D">
                  <w:pPr>
                    <w:shd w:val="clear" w:color="auto" w:fill="auto"/>
                    <w:bidi w:val="0"/>
                    <w:jc w:val="center"/>
                    <w:rPr>
                      <w:rFonts w:hint="default" w:ascii="Times New Roman" w:hAnsi="Times New Roman" w:eastAsia="宋体" w:cs="Times New Roman"/>
                      <w:color w:val="000000"/>
                      <w:kern w:val="2"/>
                      <w:sz w:val="21"/>
                      <w:szCs w:val="21"/>
                      <w:highlight w:val="none"/>
                      <w:lang w:val="en-US" w:eastAsia="zh-CN" w:bidi="ar-SA"/>
                    </w:rPr>
                  </w:pPr>
                  <w:r>
                    <w:rPr>
                      <w:color w:val="000000"/>
                      <w:highlight w:val="none"/>
                    </w:rPr>
                    <w:t>总氮</w:t>
                  </w:r>
                </w:p>
              </w:tc>
              <w:tc>
                <w:tcPr>
                  <w:tcW w:w="813" w:type="pct"/>
                  <w:tcBorders>
                    <w:tl2br w:val="nil"/>
                    <w:tr2bl w:val="nil"/>
                  </w:tcBorders>
                  <w:shd w:val="clear" w:color="auto" w:fill="auto"/>
                  <w:noWrap w:val="0"/>
                  <w:vAlign w:val="center"/>
                </w:tcPr>
                <w:p w14:paraId="380140A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938.9</w:t>
                  </w:r>
                </w:p>
              </w:tc>
              <w:tc>
                <w:tcPr>
                  <w:tcW w:w="732" w:type="pct"/>
                  <w:tcBorders>
                    <w:tl2br w:val="nil"/>
                    <w:tr2bl w:val="nil"/>
                  </w:tcBorders>
                  <w:shd w:val="clear" w:color="auto" w:fill="auto"/>
                  <w:noWrap w:val="0"/>
                  <w:vAlign w:val="center"/>
                </w:tcPr>
                <w:p w14:paraId="25A6EB5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3.3793</w:t>
                  </w:r>
                </w:p>
              </w:tc>
              <w:tc>
                <w:tcPr>
                  <w:tcW w:w="582" w:type="pct"/>
                  <w:vMerge w:val="continue"/>
                  <w:tcBorders>
                    <w:tl2br w:val="nil"/>
                    <w:tr2bl w:val="nil"/>
                  </w:tcBorders>
                  <w:shd w:val="clear" w:color="auto" w:fill="auto"/>
                  <w:noWrap w:val="0"/>
                  <w:vAlign w:val="center"/>
                </w:tcPr>
                <w:p w14:paraId="6C4671E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p>
              </w:tc>
              <w:tc>
                <w:tcPr>
                  <w:tcW w:w="779" w:type="pct"/>
                  <w:tcBorders>
                    <w:tl2br w:val="nil"/>
                    <w:tr2bl w:val="nil"/>
                  </w:tcBorders>
                  <w:shd w:val="clear" w:color="auto" w:fill="auto"/>
                  <w:noWrap w:val="0"/>
                  <w:vAlign w:val="center"/>
                </w:tcPr>
                <w:p w14:paraId="1DA9176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 w:val="21"/>
                      <w:szCs w:val="21"/>
                      <w:highlight w:val="none"/>
                      <w:lang w:val="en-US"/>
                    </w:rPr>
                    <w:t>14.7mg/L</w:t>
                  </w:r>
                </w:p>
              </w:tc>
              <w:tc>
                <w:tcPr>
                  <w:tcW w:w="737" w:type="pct"/>
                  <w:tcBorders>
                    <w:tl2br w:val="nil"/>
                    <w:tr2bl w:val="nil"/>
                  </w:tcBorders>
                  <w:shd w:val="clear" w:color="auto" w:fill="auto"/>
                  <w:noWrap w:val="0"/>
                  <w:vAlign w:val="center"/>
                </w:tcPr>
                <w:p w14:paraId="402C54B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0.053</w:t>
                  </w:r>
                </w:p>
              </w:tc>
            </w:tr>
            <w:tr w14:paraId="045C7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pct"/>
                  <w:vMerge w:val="continue"/>
                  <w:tcBorders>
                    <w:tl2br w:val="nil"/>
                    <w:tr2bl w:val="nil"/>
                  </w:tcBorders>
                  <w:shd w:val="clear" w:color="auto" w:fill="auto"/>
                  <w:noWrap w:val="0"/>
                  <w:vAlign w:val="center"/>
                </w:tcPr>
                <w:p w14:paraId="19657D7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szCs w:val="21"/>
                      <w:highlight w:val="none"/>
                    </w:rPr>
                  </w:pPr>
                </w:p>
              </w:tc>
              <w:tc>
                <w:tcPr>
                  <w:tcW w:w="670" w:type="pct"/>
                  <w:tcBorders>
                    <w:tl2br w:val="nil"/>
                    <w:tr2bl w:val="nil"/>
                  </w:tcBorders>
                  <w:shd w:val="clear" w:color="auto" w:fill="auto"/>
                  <w:noWrap w:val="0"/>
                  <w:vAlign w:val="center"/>
                </w:tcPr>
                <w:p w14:paraId="5F3F6A60">
                  <w:pPr>
                    <w:shd w:val="clear" w:color="auto" w:fill="auto"/>
                    <w:bidi w:val="0"/>
                    <w:jc w:val="center"/>
                    <w:rPr>
                      <w:rFonts w:hint="default" w:ascii="Times New Roman" w:hAnsi="Times New Roman" w:eastAsia="宋体" w:cs="Times New Roman"/>
                      <w:color w:val="000000"/>
                      <w:kern w:val="2"/>
                      <w:sz w:val="21"/>
                      <w:szCs w:val="21"/>
                      <w:highlight w:val="none"/>
                      <w:lang w:val="en-US" w:eastAsia="zh-CN" w:bidi="ar-SA"/>
                    </w:rPr>
                  </w:pPr>
                  <w:r>
                    <w:rPr>
                      <w:color w:val="000000"/>
                      <w:highlight w:val="none"/>
                    </w:rPr>
                    <w:t>总磷</w:t>
                  </w:r>
                </w:p>
              </w:tc>
              <w:tc>
                <w:tcPr>
                  <w:tcW w:w="813" w:type="pct"/>
                  <w:tcBorders>
                    <w:tl2br w:val="nil"/>
                    <w:tr2bl w:val="nil"/>
                  </w:tcBorders>
                  <w:shd w:val="clear" w:color="auto" w:fill="auto"/>
                  <w:noWrap w:val="0"/>
                  <w:vAlign w:val="center"/>
                </w:tcPr>
                <w:p w14:paraId="4EA3E0A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584.4</w:t>
                  </w:r>
                </w:p>
              </w:tc>
              <w:tc>
                <w:tcPr>
                  <w:tcW w:w="732" w:type="pct"/>
                  <w:tcBorders>
                    <w:tl2br w:val="nil"/>
                    <w:tr2bl w:val="nil"/>
                  </w:tcBorders>
                  <w:shd w:val="clear" w:color="auto" w:fill="auto"/>
                  <w:noWrap w:val="0"/>
                  <w:vAlign w:val="center"/>
                </w:tcPr>
                <w:p w14:paraId="46438F0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2.1035</w:t>
                  </w:r>
                </w:p>
              </w:tc>
              <w:tc>
                <w:tcPr>
                  <w:tcW w:w="582" w:type="pct"/>
                  <w:vMerge w:val="continue"/>
                  <w:tcBorders>
                    <w:tl2br w:val="nil"/>
                    <w:tr2bl w:val="nil"/>
                  </w:tcBorders>
                  <w:shd w:val="clear" w:color="auto" w:fill="auto"/>
                  <w:noWrap w:val="0"/>
                  <w:vAlign w:val="center"/>
                </w:tcPr>
                <w:p w14:paraId="24478BF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p>
              </w:tc>
              <w:tc>
                <w:tcPr>
                  <w:tcW w:w="779" w:type="pct"/>
                  <w:tcBorders>
                    <w:tl2br w:val="nil"/>
                    <w:tr2bl w:val="nil"/>
                  </w:tcBorders>
                  <w:shd w:val="clear" w:color="auto" w:fill="auto"/>
                  <w:noWrap w:val="0"/>
                  <w:vAlign w:val="center"/>
                </w:tcPr>
                <w:p w14:paraId="0AB5FAF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zCs w:val="21"/>
                      <w:highlight w:val="none"/>
                      <w:lang w:val="en-US" w:eastAsia="zh-CN"/>
                    </w:rPr>
                  </w:pPr>
                  <w:r>
                    <w:rPr>
                      <w:rFonts w:hint="default" w:ascii="Times New Roman" w:hAnsi="Times New Roman" w:eastAsia="宋体" w:cs="Times New Roman"/>
                      <w:color w:val="000000"/>
                      <w:sz w:val="21"/>
                      <w:szCs w:val="21"/>
                      <w:highlight w:val="none"/>
                      <w:lang w:val="en-US"/>
                    </w:rPr>
                    <w:t>0.46mg/L</w:t>
                  </w:r>
                </w:p>
              </w:tc>
              <w:tc>
                <w:tcPr>
                  <w:tcW w:w="737" w:type="pct"/>
                  <w:tcBorders>
                    <w:tl2br w:val="nil"/>
                    <w:tr2bl w:val="nil"/>
                  </w:tcBorders>
                  <w:shd w:val="clear" w:color="auto" w:fill="auto"/>
                  <w:noWrap w:val="0"/>
                  <w:vAlign w:val="center"/>
                </w:tcPr>
                <w:p w14:paraId="66CC645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Cs w:val="21"/>
                      <w:highlight w:val="none"/>
                      <w:lang w:val="en-US" w:eastAsia="zh-CN"/>
                    </w:rPr>
                    <w:t>0.0017</w:t>
                  </w:r>
                </w:p>
              </w:tc>
            </w:tr>
            <w:tr w14:paraId="7B67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4" w:type="pct"/>
                  <w:vMerge w:val="continue"/>
                  <w:tcBorders>
                    <w:tl2br w:val="nil"/>
                    <w:tr2bl w:val="nil"/>
                  </w:tcBorders>
                  <w:shd w:val="clear" w:color="auto" w:fill="auto"/>
                  <w:noWrap w:val="0"/>
                  <w:vAlign w:val="center"/>
                </w:tcPr>
                <w:p w14:paraId="3F7FE93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szCs w:val="21"/>
                      <w:highlight w:val="none"/>
                    </w:rPr>
                  </w:pPr>
                </w:p>
              </w:tc>
              <w:tc>
                <w:tcPr>
                  <w:tcW w:w="670" w:type="pct"/>
                  <w:tcBorders>
                    <w:tl2br w:val="nil"/>
                    <w:tr2bl w:val="nil"/>
                  </w:tcBorders>
                  <w:shd w:val="clear" w:color="auto" w:fill="auto"/>
                  <w:noWrap w:val="0"/>
                  <w:vAlign w:val="center"/>
                </w:tcPr>
                <w:p w14:paraId="095AAD6E">
                  <w:pPr>
                    <w:shd w:val="clear" w:color="auto" w:fill="auto"/>
                    <w:bidi w:val="0"/>
                    <w:jc w:val="center"/>
                    <w:rPr>
                      <w:rFonts w:hint="default" w:eastAsia="宋体"/>
                      <w:color w:val="000000"/>
                      <w:highlight w:val="none"/>
                      <w:lang w:val="en-US" w:eastAsia="zh-CN"/>
                    </w:rPr>
                  </w:pPr>
                  <w:r>
                    <w:rPr>
                      <w:rFonts w:hint="eastAsia"/>
                      <w:color w:val="000000"/>
                      <w:highlight w:val="none"/>
                      <w:lang w:val="en-US" w:eastAsia="zh-CN"/>
                    </w:rPr>
                    <w:t>色度（稀释倍数）</w:t>
                  </w:r>
                </w:p>
              </w:tc>
              <w:tc>
                <w:tcPr>
                  <w:tcW w:w="813" w:type="pct"/>
                  <w:tcBorders>
                    <w:tl2br w:val="nil"/>
                    <w:tr2bl w:val="nil"/>
                  </w:tcBorders>
                  <w:shd w:val="clear" w:color="auto" w:fill="auto"/>
                  <w:noWrap w:val="0"/>
                  <w:vAlign w:val="center"/>
                </w:tcPr>
                <w:p w14:paraId="0F2544F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&gt;100</w:t>
                  </w:r>
                  <w:r>
                    <w:rPr>
                      <w:rFonts w:hint="default" w:ascii="Times New Roman" w:hAnsi="Times New Roman" w:eastAsia="宋体" w:cs="Times New Roman"/>
                      <w:color w:val="000000"/>
                      <w:sz w:val="21"/>
                      <w:szCs w:val="21"/>
                      <w:highlight w:val="none"/>
                    </w:rPr>
                    <w:t>倍</w:t>
                  </w:r>
                </w:p>
              </w:tc>
              <w:tc>
                <w:tcPr>
                  <w:tcW w:w="732" w:type="pct"/>
                  <w:tcBorders>
                    <w:tl2br w:val="nil"/>
                    <w:tr2bl w:val="nil"/>
                  </w:tcBorders>
                  <w:shd w:val="clear" w:color="auto" w:fill="auto"/>
                  <w:noWrap w:val="0"/>
                  <w:vAlign w:val="center"/>
                </w:tcPr>
                <w:p w14:paraId="191F473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color w:val="000000"/>
                      <w:kern w:val="2"/>
                      <w:sz w:val="21"/>
                      <w:szCs w:val="21"/>
                      <w:highlight w:val="none"/>
                      <w:lang w:val="en-US" w:eastAsia="zh-CN" w:bidi="ar-SA"/>
                    </w:rPr>
                  </w:pPr>
                  <w:r>
                    <w:rPr>
                      <w:rFonts w:hint="eastAsia" w:ascii="Times New Roman" w:hAnsi="Times New Roman" w:cs="Times New Roman"/>
                      <w:b/>
                      <w:color w:val="000000"/>
                      <w:szCs w:val="21"/>
                      <w:highlight w:val="none"/>
                      <w:lang w:val="en-US" w:eastAsia="zh-CN"/>
                    </w:rPr>
                    <w:t>/</w:t>
                  </w:r>
                </w:p>
              </w:tc>
              <w:tc>
                <w:tcPr>
                  <w:tcW w:w="582" w:type="pct"/>
                  <w:vMerge w:val="continue"/>
                  <w:tcBorders>
                    <w:tl2br w:val="nil"/>
                    <w:tr2bl w:val="nil"/>
                  </w:tcBorders>
                  <w:shd w:val="clear" w:color="auto" w:fill="auto"/>
                  <w:noWrap w:val="0"/>
                  <w:vAlign w:val="center"/>
                </w:tcPr>
                <w:p w14:paraId="218BA86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p>
              </w:tc>
              <w:tc>
                <w:tcPr>
                  <w:tcW w:w="779" w:type="pct"/>
                  <w:tcBorders>
                    <w:tl2br w:val="nil"/>
                    <w:tr2bl w:val="nil"/>
                  </w:tcBorders>
                  <w:shd w:val="clear" w:color="auto" w:fill="auto"/>
                  <w:noWrap w:val="0"/>
                  <w:vAlign w:val="center"/>
                </w:tcPr>
                <w:p w14:paraId="3BF78E4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&lt;</w:t>
                  </w:r>
                  <w:r>
                    <w:rPr>
                      <w:rFonts w:hint="default" w:ascii="Times New Roman" w:hAnsi="Times New Roman" w:eastAsia="宋体" w:cs="Times New Roman"/>
                      <w:color w:val="000000"/>
                      <w:sz w:val="21"/>
                      <w:szCs w:val="21"/>
                      <w:highlight w:val="none"/>
                    </w:rPr>
                    <w:t>20倍</w:t>
                  </w:r>
                </w:p>
              </w:tc>
              <w:tc>
                <w:tcPr>
                  <w:tcW w:w="737" w:type="pct"/>
                  <w:tcBorders>
                    <w:tl2br w:val="nil"/>
                    <w:tr2bl w:val="nil"/>
                  </w:tcBorders>
                  <w:shd w:val="clear" w:color="auto" w:fill="auto"/>
                  <w:noWrap w:val="0"/>
                  <w:vAlign w:val="center"/>
                </w:tcPr>
                <w:p w14:paraId="43409186">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zCs w:val="21"/>
                      <w:highlight w:val="none"/>
                      <w:lang w:val="en-US" w:eastAsia="zh-CN"/>
                    </w:rPr>
                  </w:pPr>
                  <w:r>
                    <w:rPr>
                      <w:rFonts w:hint="eastAsia" w:ascii="Times New Roman" w:hAnsi="Times New Roman" w:cs="Times New Roman"/>
                      <w:b/>
                      <w:color w:val="000000"/>
                      <w:szCs w:val="21"/>
                      <w:highlight w:val="none"/>
                      <w:lang w:val="en-US" w:eastAsia="zh-CN"/>
                    </w:rPr>
                    <w:t>/</w:t>
                  </w:r>
                </w:p>
              </w:tc>
            </w:tr>
          </w:tbl>
          <w:p w14:paraId="2831742C">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000000"/>
                <w:sz w:val="21"/>
                <w:szCs w:val="21"/>
                <w:highlight w:val="none"/>
                <w:lang w:val="en-US" w:eastAsia="zh-CN"/>
              </w:rPr>
            </w:pPr>
            <w:r>
              <w:rPr>
                <w:rFonts w:hint="eastAsia" w:cs="Times New Roman"/>
                <w:b/>
                <w:bCs/>
                <w:color w:val="000000"/>
                <w:sz w:val="21"/>
                <w:szCs w:val="21"/>
                <w:highlight w:val="none"/>
                <w:lang w:val="en-US" w:eastAsia="zh-CN"/>
              </w:rPr>
              <w:t>2.</w:t>
            </w:r>
            <w:r>
              <w:rPr>
                <w:rFonts w:hint="eastAsia" w:ascii="Times New Roman" w:hAnsi="Times New Roman" w:eastAsia="宋体" w:cs="Times New Roman"/>
                <w:b/>
                <w:bCs/>
                <w:color w:val="000000"/>
                <w:sz w:val="21"/>
                <w:szCs w:val="21"/>
                <w:highlight w:val="none"/>
                <w:lang w:val="en-US" w:eastAsia="zh-CN"/>
              </w:rPr>
              <w:t>废水污染物排放情况</w:t>
            </w:r>
          </w:p>
          <w:p w14:paraId="272BDBE1">
            <w:pPr>
              <w:shd w:val="clear" w:color="auto" w:fill="auto"/>
              <w:bidi w:val="0"/>
              <w:jc w:val="center"/>
              <w:rPr>
                <w:rFonts w:ascii="Times New Roman" w:hAnsi="Times New Roman" w:eastAsia="宋体" w:cs="Times New Roman"/>
                <w:b/>
                <w:bCs/>
                <w:color w:val="000000"/>
                <w:highlight w:val="none"/>
                <w:lang w:val="en-US" w:eastAsia="zh-CN"/>
              </w:rPr>
            </w:pPr>
            <w:r>
              <w:rPr>
                <w:rFonts w:ascii="Times New Roman" w:hAnsi="Times New Roman" w:eastAsia="宋体" w:cs="Times New Roman"/>
                <w:b/>
                <w:bCs/>
                <w:color w:val="000000"/>
                <w:highlight w:val="none"/>
                <w:lang w:val="en-US" w:eastAsia="zh-CN"/>
              </w:rPr>
              <w:t>表</w:t>
            </w:r>
            <w:r>
              <w:rPr>
                <w:rFonts w:hint="eastAsia" w:ascii="Times New Roman" w:hAnsi="Times New Roman" w:eastAsia="宋体" w:cs="Times New Roman"/>
                <w:b/>
                <w:bCs/>
                <w:color w:val="000000"/>
                <w:highlight w:val="none"/>
                <w:lang w:val="en-US" w:eastAsia="zh-CN"/>
              </w:rPr>
              <w:t>4-8</w:t>
            </w:r>
            <w:r>
              <w:rPr>
                <w:rFonts w:ascii="Times New Roman" w:hAnsi="Times New Roman" w:eastAsia="宋体" w:cs="Times New Roman"/>
                <w:b/>
                <w:bCs/>
                <w:color w:val="000000"/>
                <w:highlight w:val="none"/>
                <w:lang w:val="en-US" w:eastAsia="zh-CN"/>
              </w:rPr>
              <w:t xml:space="preserve">  废水类别、污染物及污染治理设施信息表</w:t>
            </w:r>
          </w:p>
          <w:p w14:paraId="1337DE6C">
            <w:pPr>
              <w:shd w:val="clear" w:color="auto" w:fill="auto"/>
              <w:spacing w:line="53" w:lineRule="exact"/>
              <w:rPr>
                <w:color w:val="000000"/>
                <w:highlight w:val="none"/>
              </w:rPr>
            </w:pPr>
          </w:p>
          <w:tbl>
            <w:tblPr>
              <w:tblStyle w:val="14"/>
              <w:tblW w:w="811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321"/>
              <w:gridCol w:w="610"/>
              <w:gridCol w:w="1609"/>
              <w:gridCol w:w="617"/>
              <w:gridCol w:w="616"/>
              <w:gridCol w:w="850"/>
              <w:gridCol w:w="742"/>
              <w:gridCol w:w="975"/>
              <w:gridCol w:w="517"/>
              <w:gridCol w:w="733"/>
              <w:gridCol w:w="523"/>
            </w:tblGrid>
            <w:tr w14:paraId="20FE5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78" w:hRule="atLeast"/>
              </w:trPr>
              <w:tc>
                <w:tcPr>
                  <w:tcW w:w="321" w:type="dxa"/>
                  <w:vMerge w:val="restart"/>
                  <w:tcBorders>
                    <w:top w:val="single" w:color="000000" w:sz="6" w:space="0"/>
                    <w:left w:val="single" w:color="000000" w:sz="6" w:space="0"/>
                    <w:bottom w:val="nil"/>
                  </w:tcBorders>
                  <w:shd w:val="clear" w:color="auto" w:fill="auto"/>
                  <w:noWrap w:val="0"/>
                  <w:textDirection w:val="tbRlV"/>
                  <w:vAlign w:val="center"/>
                </w:tcPr>
                <w:p w14:paraId="52EC1476">
                  <w:pPr>
                    <w:shd w:val="clear" w:color="auto" w:fill="auto"/>
                    <w:bidi w:val="0"/>
                    <w:jc w:val="center"/>
                    <w:rPr>
                      <w:b/>
                      <w:bCs/>
                      <w:color w:val="000000"/>
                      <w:highlight w:val="none"/>
                    </w:rPr>
                  </w:pPr>
                  <w:r>
                    <w:rPr>
                      <w:b/>
                      <w:bCs/>
                      <w:color w:val="000000"/>
                      <w:highlight w:val="none"/>
                    </w:rPr>
                    <w:t>序号</w:t>
                  </w:r>
                </w:p>
              </w:tc>
              <w:tc>
                <w:tcPr>
                  <w:tcW w:w="610" w:type="dxa"/>
                  <w:vMerge w:val="restart"/>
                  <w:tcBorders>
                    <w:top w:val="single" w:color="000000" w:sz="6" w:space="0"/>
                    <w:bottom w:val="nil"/>
                  </w:tcBorders>
                  <w:shd w:val="clear" w:color="auto" w:fill="auto"/>
                  <w:noWrap w:val="0"/>
                  <w:vAlign w:val="center"/>
                </w:tcPr>
                <w:p w14:paraId="39BCE056">
                  <w:pPr>
                    <w:shd w:val="clear" w:color="auto" w:fill="auto"/>
                    <w:bidi w:val="0"/>
                    <w:jc w:val="center"/>
                    <w:rPr>
                      <w:b/>
                      <w:bCs/>
                      <w:color w:val="000000"/>
                      <w:highlight w:val="none"/>
                    </w:rPr>
                  </w:pPr>
                  <w:r>
                    <w:rPr>
                      <w:b/>
                      <w:bCs/>
                      <w:color w:val="000000"/>
                      <w:highlight w:val="none"/>
                    </w:rPr>
                    <w:t>废水 类别</w:t>
                  </w:r>
                </w:p>
              </w:tc>
              <w:tc>
                <w:tcPr>
                  <w:tcW w:w="1609" w:type="dxa"/>
                  <w:vMerge w:val="restart"/>
                  <w:tcBorders>
                    <w:top w:val="single" w:color="000000" w:sz="6" w:space="0"/>
                    <w:bottom w:val="nil"/>
                  </w:tcBorders>
                  <w:shd w:val="clear" w:color="auto" w:fill="auto"/>
                  <w:noWrap w:val="0"/>
                  <w:vAlign w:val="center"/>
                </w:tcPr>
                <w:p w14:paraId="0F0DC3CC">
                  <w:pPr>
                    <w:shd w:val="clear" w:color="auto" w:fill="auto"/>
                    <w:bidi w:val="0"/>
                    <w:jc w:val="center"/>
                    <w:rPr>
                      <w:b/>
                      <w:bCs/>
                      <w:color w:val="000000"/>
                      <w:highlight w:val="none"/>
                    </w:rPr>
                  </w:pPr>
                  <w:r>
                    <w:rPr>
                      <w:b/>
                      <w:bCs/>
                      <w:color w:val="000000"/>
                      <w:highlight w:val="none"/>
                    </w:rPr>
                    <w:t>污染物 种类</w:t>
                  </w:r>
                </w:p>
              </w:tc>
              <w:tc>
                <w:tcPr>
                  <w:tcW w:w="617" w:type="dxa"/>
                  <w:vMerge w:val="restart"/>
                  <w:tcBorders>
                    <w:top w:val="single" w:color="000000" w:sz="6" w:space="0"/>
                    <w:bottom w:val="nil"/>
                  </w:tcBorders>
                  <w:shd w:val="clear" w:color="auto" w:fill="auto"/>
                  <w:noWrap w:val="0"/>
                  <w:vAlign w:val="center"/>
                </w:tcPr>
                <w:p w14:paraId="7DCB4027">
                  <w:pPr>
                    <w:shd w:val="clear" w:color="auto" w:fill="auto"/>
                    <w:bidi w:val="0"/>
                    <w:jc w:val="center"/>
                    <w:rPr>
                      <w:b/>
                      <w:bCs/>
                      <w:color w:val="000000"/>
                      <w:highlight w:val="none"/>
                    </w:rPr>
                  </w:pPr>
                  <w:r>
                    <w:rPr>
                      <w:b/>
                      <w:bCs/>
                      <w:color w:val="000000"/>
                      <w:highlight w:val="none"/>
                    </w:rPr>
                    <w:t>排放去向</w:t>
                  </w:r>
                </w:p>
              </w:tc>
              <w:tc>
                <w:tcPr>
                  <w:tcW w:w="616" w:type="dxa"/>
                  <w:vMerge w:val="restart"/>
                  <w:tcBorders>
                    <w:top w:val="single" w:color="000000" w:sz="6" w:space="0"/>
                    <w:bottom w:val="nil"/>
                  </w:tcBorders>
                  <w:shd w:val="clear" w:color="auto" w:fill="auto"/>
                  <w:noWrap w:val="0"/>
                  <w:vAlign w:val="center"/>
                </w:tcPr>
                <w:p w14:paraId="231D0F56">
                  <w:pPr>
                    <w:shd w:val="clear" w:color="auto" w:fill="auto"/>
                    <w:bidi w:val="0"/>
                    <w:jc w:val="center"/>
                    <w:rPr>
                      <w:b/>
                      <w:bCs/>
                      <w:color w:val="000000"/>
                      <w:highlight w:val="none"/>
                    </w:rPr>
                  </w:pPr>
                  <w:r>
                    <w:rPr>
                      <w:b/>
                      <w:bCs/>
                      <w:color w:val="000000"/>
                      <w:highlight w:val="none"/>
                    </w:rPr>
                    <w:t>排放规律</w:t>
                  </w:r>
                </w:p>
              </w:tc>
              <w:tc>
                <w:tcPr>
                  <w:tcW w:w="2567" w:type="dxa"/>
                  <w:gridSpan w:val="3"/>
                  <w:tcBorders>
                    <w:top w:val="single" w:color="000000" w:sz="6" w:space="0"/>
                  </w:tcBorders>
                  <w:shd w:val="clear" w:color="auto" w:fill="auto"/>
                  <w:noWrap w:val="0"/>
                  <w:vAlign w:val="center"/>
                </w:tcPr>
                <w:p w14:paraId="4460FD3E">
                  <w:pPr>
                    <w:shd w:val="clear" w:color="auto" w:fill="auto"/>
                    <w:bidi w:val="0"/>
                    <w:jc w:val="center"/>
                    <w:rPr>
                      <w:b/>
                      <w:bCs/>
                      <w:color w:val="000000"/>
                      <w:highlight w:val="none"/>
                    </w:rPr>
                  </w:pPr>
                  <w:r>
                    <w:rPr>
                      <w:b/>
                      <w:bCs/>
                      <w:color w:val="000000"/>
                      <w:highlight w:val="none"/>
                    </w:rPr>
                    <w:t>污染治理设施</w:t>
                  </w:r>
                </w:p>
              </w:tc>
              <w:tc>
                <w:tcPr>
                  <w:tcW w:w="517" w:type="dxa"/>
                  <w:vMerge w:val="restart"/>
                  <w:tcBorders>
                    <w:top w:val="single" w:color="000000" w:sz="6" w:space="0"/>
                    <w:bottom w:val="nil"/>
                  </w:tcBorders>
                  <w:shd w:val="clear" w:color="auto" w:fill="auto"/>
                  <w:noWrap w:val="0"/>
                  <w:vAlign w:val="center"/>
                </w:tcPr>
                <w:p w14:paraId="44795B70">
                  <w:pPr>
                    <w:shd w:val="clear" w:color="auto" w:fill="auto"/>
                    <w:bidi w:val="0"/>
                    <w:jc w:val="center"/>
                    <w:rPr>
                      <w:b/>
                      <w:bCs/>
                      <w:color w:val="000000"/>
                      <w:highlight w:val="none"/>
                    </w:rPr>
                  </w:pPr>
                  <w:r>
                    <w:rPr>
                      <w:b/>
                      <w:bCs/>
                      <w:color w:val="000000"/>
                      <w:highlight w:val="none"/>
                    </w:rPr>
                    <w:t>排放口编号</w:t>
                  </w:r>
                </w:p>
              </w:tc>
              <w:tc>
                <w:tcPr>
                  <w:tcW w:w="733" w:type="dxa"/>
                  <w:vMerge w:val="restart"/>
                  <w:tcBorders>
                    <w:top w:val="single" w:color="000000" w:sz="6" w:space="0"/>
                    <w:bottom w:val="nil"/>
                  </w:tcBorders>
                  <w:shd w:val="clear" w:color="auto" w:fill="auto"/>
                  <w:noWrap w:val="0"/>
                  <w:vAlign w:val="center"/>
                </w:tcPr>
                <w:p w14:paraId="1F1B4568">
                  <w:pPr>
                    <w:shd w:val="clear" w:color="auto" w:fill="auto"/>
                    <w:bidi w:val="0"/>
                    <w:jc w:val="center"/>
                    <w:rPr>
                      <w:b/>
                      <w:bCs/>
                      <w:color w:val="000000"/>
                      <w:highlight w:val="none"/>
                    </w:rPr>
                  </w:pPr>
                  <w:r>
                    <w:rPr>
                      <w:b/>
                      <w:bCs/>
                      <w:color w:val="000000"/>
                      <w:highlight w:val="none"/>
                    </w:rPr>
                    <w:t>排放口  设置是否 符合要求</w:t>
                  </w:r>
                </w:p>
              </w:tc>
              <w:tc>
                <w:tcPr>
                  <w:tcW w:w="523" w:type="dxa"/>
                  <w:vMerge w:val="restart"/>
                  <w:tcBorders>
                    <w:top w:val="single" w:color="000000" w:sz="6" w:space="0"/>
                    <w:bottom w:val="nil"/>
                    <w:right w:val="single" w:color="000000" w:sz="6" w:space="0"/>
                  </w:tcBorders>
                  <w:shd w:val="clear" w:color="auto" w:fill="auto"/>
                  <w:noWrap w:val="0"/>
                  <w:vAlign w:val="center"/>
                </w:tcPr>
                <w:p w14:paraId="50DD4926">
                  <w:pPr>
                    <w:shd w:val="clear" w:color="auto" w:fill="auto"/>
                    <w:bidi w:val="0"/>
                    <w:jc w:val="center"/>
                    <w:rPr>
                      <w:b/>
                      <w:bCs/>
                      <w:color w:val="000000"/>
                      <w:highlight w:val="none"/>
                    </w:rPr>
                  </w:pPr>
                  <w:r>
                    <w:rPr>
                      <w:b/>
                      <w:bCs/>
                      <w:color w:val="000000"/>
                      <w:highlight w:val="none"/>
                    </w:rPr>
                    <w:t>排放口类型</w:t>
                  </w:r>
                </w:p>
              </w:tc>
            </w:tr>
            <w:tr w14:paraId="3AEC0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45" w:hRule="atLeast"/>
              </w:trPr>
              <w:tc>
                <w:tcPr>
                  <w:tcW w:w="321" w:type="dxa"/>
                  <w:vMerge w:val="continue"/>
                  <w:tcBorders>
                    <w:top w:val="nil"/>
                    <w:left w:val="single" w:color="000000" w:sz="6" w:space="0"/>
                  </w:tcBorders>
                  <w:shd w:val="clear" w:color="auto" w:fill="auto"/>
                  <w:noWrap w:val="0"/>
                  <w:textDirection w:val="tbRlV"/>
                  <w:vAlign w:val="center"/>
                </w:tcPr>
                <w:p w14:paraId="5496799E">
                  <w:pPr>
                    <w:shd w:val="clear" w:color="auto" w:fill="auto"/>
                    <w:bidi w:val="0"/>
                    <w:jc w:val="center"/>
                    <w:rPr>
                      <w:color w:val="000000"/>
                      <w:highlight w:val="none"/>
                    </w:rPr>
                  </w:pPr>
                </w:p>
              </w:tc>
              <w:tc>
                <w:tcPr>
                  <w:tcW w:w="610" w:type="dxa"/>
                  <w:vMerge w:val="continue"/>
                  <w:tcBorders>
                    <w:top w:val="nil"/>
                  </w:tcBorders>
                  <w:shd w:val="clear" w:color="auto" w:fill="auto"/>
                  <w:noWrap w:val="0"/>
                  <w:vAlign w:val="center"/>
                </w:tcPr>
                <w:p w14:paraId="19E38F7D">
                  <w:pPr>
                    <w:shd w:val="clear" w:color="auto" w:fill="auto"/>
                    <w:bidi w:val="0"/>
                    <w:jc w:val="center"/>
                    <w:rPr>
                      <w:color w:val="000000"/>
                      <w:highlight w:val="none"/>
                    </w:rPr>
                  </w:pPr>
                </w:p>
              </w:tc>
              <w:tc>
                <w:tcPr>
                  <w:tcW w:w="1609" w:type="dxa"/>
                  <w:vMerge w:val="continue"/>
                  <w:tcBorders>
                    <w:top w:val="nil"/>
                  </w:tcBorders>
                  <w:shd w:val="clear" w:color="auto" w:fill="auto"/>
                  <w:noWrap w:val="0"/>
                  <w:vAlign w:val="center"/>
                </w:tcPr>
                <w:p w14:paraId="49964825">
                  <w:pPr>
                    <w:shd w:val="clear" w:color="auto" w:fill="auto"/>
                    <w:bidi w:val="0"/>
                    <w:jc w:val="center"/>
                    <w:rPr>
                      <w:color w:val="000000"/>
                      <w:highlight w:val="none"/>
                    </w:rPr>
                  </w:pPr>
                </w:p>
              </w:tc>
              <w:tc>
                <w:tcPr>
                  <w:tcW w:w="617" w:type="dxa"/>
                  <w:vMerge w:val="continue"/>
                  <w:tcBorders>
                    <w:top w:val="nil"/>
                  </w:tcBorders>
                  <w:shd w:val="clear" w:color="auto" w:fill="auto"/>
                  <w:noWrap w:val="0"/>
                  <w:vAlign w:val="center"/>
                </w:tcPr>
                <w:p w14:paraId="14B99B08">
                  <w:pPr>
                    <w:shd w:val="clear" w:color="auto" w:fill="auto"/>
                    <w:bidi w:val="0"/>
                    <w:jc w:val="center"/>
                    <w:rPr>
                      <w:color w:val="000000"/>
                      <w:highlight w:val="none"/>
                    </w:rPr>
                  </w:pPr>
                </w:p>
              </w:tc>
              <w:tc>
                <w:tcPr>
                  <w:tcW w:w="616" w:type="dxa"/>
                  <w:vMerge w:val="continue"/>
                  <w:tcBorders>
                    <w:top w:val="nil"/>
                  </w:tcBorders>
                  <w:shd w:val="clear" w:color="auto" w:fill="auto"/>
                  <w:noWrap w:val="0"/>
                  <w:vAlign w:val="center"/>
                </w:tcPr>
                <w:p w14:paraId="52833776">
                  <w:pPr>
                    <w:shd w:val="clear" w:color="auto" w:fill="auto"/>
                    <w:bidi w:val="0"/>
                    <w:jc w:val="center"/>
                    <w:rPr>
                      <w:color w:val="000000"/>
                      <w:highlight w:val="none"/>
                    </w:rPr>
                  </w:pPr>
                </w:p>
              </w:tc>
              <w:tc>
                <w:tcPr>
                  <w:tcW w:w="850" w:type="dxa"/>
                  <w:shd w:val="clear" w:color="auto" w:fill="auto"/>
                  <w:noWrap w:val="0"/>
                  <w:vAlign w:val="center"/>
                </w:tcPr>
                <w:p w14:paraId="614A2303">
                  <w:pPr>
                    <w:shd w:val="clear" w:color="auto" w:fill="auto"/>
                    <w:bidi w:val="0"/>
                    <w:jc w:val="center"/>
                    <w:rPr>
                      <w:b/>
                      <w:bCs/>
                      <w:color w:val="000000"/>
                      <w:highlight w:val="none"/>
                    </w:rPr>
                  </w:pPr>
                  <w:r>
                    <w:rPr>
                      <w:b/>
                      <w:bCs/>
                      <w:color w:val="000000"/>
                      <w:highlight w:val="none"/>
                    </w:rPr>
                    <w:t>污染治理设施编号</w:t>
                  </w:r>
                </w:p>
              </w:tc>
              <w:tc>
                <w:tcPr>
                  <w:tcW w:w="742" w:type="dxa"/>
                  <w:shd w:val="clear" w:color="auto" w:fill="auto"/>
                  <w:noWrap w:val="0"/>
                  <w:vAlign w:val="center"/>
                </w:tcPr>
                <w:p w14:paraId="4FB7F1E7">
                  <w:pPr>
                    <w:shd w:val="clear" w:color="auto" w:fill="auto"/>
                    <w:bidi w:val="0"/>
                    <w:jc w:val="center"/>
                    <w:rPr>
                      <w:b/>
                      <w:bCs/>
                      <w:color w:val="000000"/>
                      <w:highlight w:val="none"/>
                    </w:rPr>
                  </w:pPr>
                  <w:r>
                    <w:rPr>
                      <w:b/>
                      <w:bCs/>
                      <w:color w:val="000000"/>
                      <w:highlight w:val="none"/>
                    </w:rPr>
                    <w:t>污染治理设施名称</w:t>
                  </w:r>
                </w:p>
              </w:tc>
              <w:tc>
                <w:tcPr>
                  <w:tcW w:w="975" w:type="dxa"/>
                  <w:shd w:val="clear" w:color="auto" w:fill="auto"/>
                  <w:noWrap w:val="0"/>
                  <w:vAlign w:val="center"/>
                </w:tcPr>
                <w:p w14:paraId="2222704C">
                  <w:pPr>
                    <w:shd w:val="clear" w:color="auto" w:fill="auto"/>
                    <w:bidi w:val="0"/>
                    <w:jc w:val="center"/>
                    <w:rPr>
                      <w:b/>
                      <w:bCs/>
                      <w:color w:val="000000"/>
                      <w:highlight w:val="none"/>
                    </w:rPr>
                  </w:pPr>
                  <w:r>
                    <w:rPr>
                      <w:b/>
                      <w:bCs/>
                      <w:color w:val="000000"/>
                      <w:highlight w:val="none"/>
                    </w:rPr>
                    <w:t>污染治理设施工艺</w:t>
                  </w:r>
                </w:p>
              </w:tc>
              <w:tc>
                <w:tcPr>
                  <w:tcW w:w="517" w:type="dxa"/>
                  <w:vMerge w:val="continue"/>
                  <w:tcBorders>
                    <w:top w:val="nil"/>
                  </w:tcBorders>
                  <w:shd w:val="clear" w:color="auto" w:fill="auto"/>
                  <w:noWrap w:val="0"/>
                  <w:vAlign w:val="center"/>
                </w:tcPr>
                <w:p w14:paraId="4158A3CF">
                  <w:pPr>
                    <w:shd w:val="clear" w:color="auto" w:fill="auto"/>
                    <w:bidi w:val="0"/>
                    <w:jc w:val="center"/>
                    <w:rPr>
                      <w:color w:val="000000"/>
                      <w:highlight w:val="none"/>
                    </w:rPr>
                  </w:pPr>
                </w:p>
              </w:tc>
              <w:tc>
                <w:tcPr>
                  <w:tcW w:w="733" w:type="dxa"/>
                  <w:vMerge w:val="continue"/>
                  <w:tcBorders>
                    <w:top w:val="nil"/>
                  </w:tcBorders>
                  <w:shd w:val="clear" w:color="auto" w:fill="auto"/>
                  <w:noWrap w:val="0"/>
                  <w:vAlign w:val="center"/>
                </w:tcPr>
                <w:p w14:paraId="60E6118C">
                  <w:pPr>
                    <w:shd w:val="clear" w:color="auto" w:fill="auto"/>
                    <w:bidi w:val="0"/>
                    <w:jc w:val="center"/>
                    <w:rPr>
                      <w:color w:val="000000"/>
                      <w:highlight w:val="none"/>
                    </w:rPr>
                  </w:pPr>
                </w:p>
              </w:tc>
              <w:tc>
                <w:tcPr>
                  <w:tcW w:w="523" w:type="dxa"/>
                  <w:vMerge w:val="continue"/>
                  <w:tcBorders>
                    <w:top w:val="nil"/>
                    <w:right w:val="single" w:color="000000" w:sz="6" w:space="0"/>
                  </w:tcBorders>
                  <w:shd w:val="clear" w:color="auto" w:fill="auto"/>
                  <w:noWrap w:val="0"/>
                  <w:vAlign w:val="center"/>
                </w:tcPr>
                <w:p w14:paraId="38746EB1">
                  <w:pPr>
                    <w:shd w:val="clear" w:color="auto" w:fill="auto"/>
                    <w:bidi w:val="0"/>
                    <w:jc w:val="center"/>
                    <w:rPr>
                      <w:color w:val="000000"/>
                      <w:highlight w:val="none"/>
                    </w:rPr>
                  </w:pPr>
                </w:p>
              </w:tc>
            </w:tr>
            <w:tr w14:paraId="3BF7E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621" w:hRule="atLeast"/>
              </w:trPr>
              <w:tc>
                <w:tcPr>
                  <w:tcW w:w="321" w:type="dxa"/>
                  <w:tcBorders>
                    <w:left w:val="single" w:color="000000" w:sz="6" w:space="0"/>
                  </w:tcBorders>
                  <w:shd w:val="clear" w:color="auto" w:fill="auto"/>
                  <w:noWrap w:val="0"/>
                  <w:vAlign w:val="center"/>
                </w:tcPr>
                <w:p w14:paraId="67C509C6">
                  <w:pPr>
                    <w:shd w:val="clear" w:color="auto" w:fill="auto"/>
                    <w:bidi w:val="0"/>
                    <w:jc w:val="center"/>
                    <w:rPr>
                      <w:rFonts w:hint="eastAsia" w:eastAsia="宋体"/>
                      <w:color w:val="000000"/>
                      <w:highlight w:val="none"/>
                      <w:lang w:val="en-US" w:eastAsia="zh-CN"/>
                    </w:rPr>
                  </w:pPr>
                  <w:r>
                    <w:rPr>
                      <w:rFonts w:hint="eastAsia"/>
                      <w:color w:val="000000"/>
                      <w:highlight w:val="none"/>
                      <w:lang w:val="en-US" w:eastAsia="zh-CN"/>
                    </w:rPr>
                    <w:t>1</w:t>
                  </w:r>
                </w:p>
              </w:tc>
              <w:tc>
                <w:tcPr>
                  <w:tcW w:w="610" w:type="dxa"/>
                  <w:shd w:val="clear" w:color="auto" w:fill="auto"/>
                  <w:noWrap w:val="0"/>
                  <w:vAlign w:val="center"/>
                </w:tcPr>
                <w:p w14:paraId="3AB49486">
                  <w:pPr>
                    <w:shd w:val="clear" w:color="auto" w:fill="auto"/>
                    <w:bidi w:val="0"/>
                    <w:jc w:val="center"/>
                    <w:rPr>
                      <w:rFonts w:hint="default" w:eastAsia="宋体"/>
                      <w:color w:val="000000"/>
                      <w:highlight w:val="none"/>
                      <w:lang w:val="en-US" w:eastAsia="zh-CN"/>
                    </w:rPr>
                  </w:pPr>
                  <w:r>
                    <w:rPr>
                      <w:rFonts w:hint="eastAsia"/>
                      <w:color w:val="000000"/>
                      <w:highlight w:val="none"/>
                      <w:lang w:val="en-US" w:eastAsia="zh-CN"/>
                    </w:rPr>
                    <w:t>生产废水、污水</w:t>
                  </w:r>
                </w:p>
              </w:tc>
              <w:tc>
                <w:tcPr>
                  <w:tcW w:w="1609" w:type="dxa"/>
                  <w:shd w:val="clear" w:color="auto" w:fill="auto"/>
                  <w:noWrap w:val="0"/>
                  <w:vAlign w:val="center"/>
                </w:tcPr>
                <w:p w14:paraId="1696D27D">
                  <w:pPr>
                    <w:shd w:val="clear" w:color="auto" w:fill="auto"/>
                    <w:bidi w:val="0"/>
                    <w:jc w:val="center"/>
                    <w:rPr>
                      <w:color w:val="000000"/>
                      <w:highlight w:val="none"/>
                    </w:rPr>
                  </w:pPr>
                  <w:r>
                    <w:rPr>
                      <w:color w:val="000000"/>
                      <w:highlight w:val="none"/>
                    </w:rPr>
                    <w:t>pH值、悬浮物、化学需氧量、五 日生化需氧量、氨氮、总氮、总 磷、色度</w:t>
                  </w:r>
                </w:p>
              </w:tc>
              <w:tc>
                <w:tcPr>
                  <w:tcW w:w="617" w:type="dxa"/>
                  <w:shd w:val="clear" w:color="auto" w:fill="auto"/>
                  <w:noWrap w:val="0"/>
                  <w:vAlign w:val="center"/>
                </w:tcPr>
                <w:p w14:paraId="17995D33">
                  <w:pPr>
                    <w:shd w:val="clear" w:color="auto" w:fill="auto"/>
                    <w:bidi w:val="0"/>
                    <w:jc w:val="center"/>
                    <w:rPr>
                      <w:rFonts w:hint="default" w:eastAsia="宋体"/>
                      <w:color w:val="000000"/>
                      <w:highlight w:val="none"/>
                      <w:lang w:val="en-US" w:eastAsia="zh-CN"/>
                    </w:rPr>
                  </w:pPr>
                  <w:r>
                    <w:rPr>
                      <w:rFonts w:hint="eastAsia" w:eastAsia="宋体"/>
                      <w:color w:val="000000"/>
                      <w:highlight w:val="none"/>
                      <w:lang w:val="en-US" w:eastAsia="zh-CN"/>
                    </w:rPr>
                    <w:t>拉运至</w:t>
                  </w:r>
                  <w:r>
                    <w:rPr>
                      <w:rFonts w:hint="eastAsia"/>
                      <w:color w:val="000000"/>
                      <w:highlight w:val="none"/>
                      <w:lang w:val="en-US" w:eastAsia="zh-CN"/>
                    </w:rPr>
                    <w:t>宝鸡市</w:t>
                  </w:r>
                  <w:r>
                    <w:rPr>
                      <w:rFonts w:hint="eastAsia" w:eastAsia="宋体"/>
                      <w:color w:val="000000"/>
                      <w:highlight w:val="none"/>
                      <w:lang w:val="en-US" w:eastAsia="zh-CN"/>
                    </w:rPr>
                    <w:t>天龙污水处理有限公司</w:t>
                  </w:r>
                </w:p>
              </w:tc>
              <w:tc>
                <w:tcPr>
                  <w:tcW w:w="616" w:type="dxa"/>
                  <w:shd w:val="clear" w:color="auto" w:fill="auto"/>
                  <w:noWrap w:val="0"/>
                  <w:vAlign w:val="center"/>
                </w:tcPr>
                <w:p w14:paraId="4526C9DC">
                  <w:pPr>
                    <w:shd w:val="clear" w:color="auto" w:fill="auto"/>
                    <w:bidi w:val="0"/>
                    <w:jc w:val="center"/>
                    <w:rPr>
                      <w:rFonts w:hint="eastAsia" w:eastAsia="宋体"/>
                      <w:color w:val="000000"/>
                      <w:highlight w:val="none"/>
                      <w:lang w:val="en-US" w:eastAsia="zh-CN"/>
                    </w:rPr>
                  </w:pPr>
                  <w:r>
                    <w:rPr>
                      <w:rFonts w:hint="eastAsia" w:eastAsia="宋体"/>
                      <w:color w:val="000000"/>
                      <w:spacing w:val="-2"/>
                      <w:highlight w:val="none"/>
                      <w:lang w:val="en-US" w:eastAsia="zh-CN"/>
                    </w:rPr>
                    <w:t>/</w:t>
                  </w:r>
                </w:p>
              </w:tc>
              <w:tc>
                <w:tcPr>
                  <w:tcW w:w="850" w:type="dxa"/>
                  <w:shd w:val="clear" w:color="auto" w:fill="auto"/>
                  <w:noWrap w:val="0"/>
                  <w:vAlign w:val="center"/>
                </w:tcPr>
                <w:p w14:paraId="2444D78E">
                  <w:pPr>
                    <w:shd w:val="clear" w:color="auto" w:fill="auto"/>
                    <w:bidi w:val="0"/>
                    <w:jc w:val="center"/>
                    <w:rPr>
                      <w:rFonts w:hint="default" w:eastAsia="宋体"/>
                      <w:color w:val="000000"/>
                      <w:highlight w:val="none"/>
                      <w:lang w:val="en-US" w:eastAsia="zh-CN"/>
                    </w:rPr>
                  </w:pPr>
                  <w:r>
                    <w:rPr>
                      <w:rFonts w:hint="eastAsia"/>
                      <w:color w:val="000000"/>
                      <w:highlight w:val="none"/>
                      <w:lang w:val="en-US" w:eastAsia="zh-CN"/>
                    </w:rPr>
                    <w:t>TW001</w:t>
                  </w:r>
                </w:p>
              </w:tc>
              <w:tc>
                <w:tcPr>
                  <w:tcW w:w="742" w:type="dxa"/>
                  <w:shd w:val="clear" w:color="auto" w:fill="auto"/>
                  <w:noWrap w:val="0"/>
                  <w:vAlign w:val="center"/>
                </w:tcPr>
                <w:p w14:paraId="620DB63C">
                  <w:pPr>
                    <w:shd w:val="clear" w:color="auto" w:fill="auto"/>
                    <w:bidi w:val="0"/>
                    <w:jc w:val="center"/>
                    <w:rPr>
                      <w:rFonts w:hint="default" w:eastAsia="宋体"/>
                      <w:color w:val="000000"/>
                      <w:highlight w:val="none"/>
                      <w:lang w:val="en-US" w:eastAsia="zh-CN"/>
                    </w:rPr>
                  </w:pPr>
                  <w:r>
                    <w:rPr>
                      <w:rFonts w:hint="eastAsia"/>
                      <w:color w:val="000000"/>
                      <w:spacing w:val="-3"/>
                      <w:highlight w:val="none"/>
                      <w:lang w:val="en-US" w:eastAsia="zh-CN"/>
                    </w:rPr>
                    <w:t>隔油池、化粪池、</w:t>
                  </w:r>
                  <w:r>
                    <w:rPr>
                      <w:color w:val="000000"/>
                      <w:spacing w:val="-3"/>
                      <w:highlight w:val="none"/>
                    </w:rPr>
                    <w:t>污水处理站</w:t>
                  </w:r>
                </w:p>
              </w:tc>
              <w:tc>
                <w:tcPr>
                  <w:tcW w:w="975" w:type="dxa"/>
                  <w:shd w:val="clear" w:color="auto" w:fill="auto"/>
                  <w:noWrap w:val="0"/>
                  <w:vAlign w:val="center"/>
                </w:tcPr>
                <w:p w14:paraId="2BCD37A1">
                  <w:pPr>
                    <w:shd w:val="clear" w:color="auto" w:fill="auto"/>
                    <w:bidi w:val="0"/>
                    <w:jc w:val="center"/>
                    <w:rPr>
                      <w:rFonts w:hint="default" w:eastAsia="宋体"/>
                      <w:color w:val="000000"/>
                      <w:highlight w:val="none"/>
                      <w:lang w:val="en-US" w:eastAsia="zh-CN"/>
                    </w:rPr>
                  </w:pPr>
                  <w:r>
                    <w:rPr>
                      <w:rFonts w:hint="eastAsia"/>
                      <w:color w:val="000000"/>
                      <w:highlight w:val="none"/>
                    </w:rPr>
                    <w:t>A</w:t>
                  </w:r>
                  <w:r>
                    <w:rPr>
                      <w:rFonts w:hint="eastAsia"/>
                      <w:color w:val="000000"/>
                      <w:sz w:val="21"/>
                      <w:highlight w:val="none"/>
                      <w:vertAlign w:val="superscript"/>
                      <w:lang w:val="en-US" w:eastAsia="zh-CN"/>
                    </w:rPr>
                    <w:t>2</w:t>
                  </w:r>
                  <w:r>
                    <w:rPr>
                      <w:rFonts w:hint="eastAsia"/>
                      <w:color w:val="000000"/>
                      <w:highlight w:val="none"/>
                    </w:rPr>
                    <w:t>/O</w:t>
                  </w:r>
                  <w:r>
                    <w:rPr>
                      <w:rFonts w:hint="eastAsia"/>
                      <w:color w:val="000000"/>
                      <w:highlight w:val="none"/>
                      <w:lang w:eastAsia="zh-CN"/>
                    </w:rPr>
                    <w:t>（</w:t>
                  </w:r>
                  <w:r>
                    <w:rPr>
                      <w:rFonts w:hint="eastAsia"/>
                      <w:color w:val="000000"/>
                      <w:highlight w:val="none"/>
                      <w:lang w:val="en-US" w:eastAsia="zh-CN"/>
                    </w:rPr>
                    <w:t>厌氧好氧</w:t>
                  </w:r>
                  <w:r>
                    <w:rPr>
                      <w:rFonts w:hint="eastAsia"/>
                      <w:color w:val="000000"/>
                      <w:highlight w:val="none"/>
                      <w:lang w:eastAsia="zh-CN"/>
                    </w:rPr>
                    <w:t>）</w:t>
                  </w:r>
                </w:p>
              </w:tc>
              <w:tc>
                <w:tcPr>
                  <w:tcW w:w="517" w:type="dxa"/>
                  <w:shd w:val="clear" w:color="auto" w:fill="auto"/>
                  <w:noWrap w:val="0"/>
                  <w:vAlign w:val="center"/>
                </w:tcPr>
                <w:p w14:paraId="76A54DC5">
                  <w:pPr>
                    <w:shd w:val="clear" w:color="auto" w:fill="auto"/>
                    <w:bidi w:val="0"/>
                    <w:jc w:val="center"/>
                    <w:rPr>
                      <w:rFonts w:hint="default" w:eastAsia="宋体"/>
                      <w:color w:val="000000"/>
                      <w:highlight w:val="none"/>
                      <w:lang w:val="en-US" w:eastAsia="zh-CN"/>
                    </w:rPr>
                  </w:pPr>
                  <w:r>
                    <w:rPr>
                      <w:rFonts w:hint="eastAsia" w:eastAsia="宋体"/>
                      <w:color w:val="000000"/>
                      <w:highlight w:val="none"/>
                      <w:lang w:val="en-US" w:eastAsia="zh-CN"/>
                    </w:rPr>
                    <w:t>/</w:t>
                  </w:r>
                </w:p>
              </w:tc>
              <w:tc>
                <w:tcPr>
                  <w:tcW w:w="733" w:type="dxa"/>
                  <w:shd w:val="clear" w:color="auto" w:fill="auto"/>
                  <w:noWrap w:val="0"/>
                  <w:vAlign w:val="center"/>
                </w:tcPr>
                <w:p w14:paraId="2C3BC7A9">
                  <w:pPr>
                    <w:shd w:val="clear" w:color="auto" w:fill="auto"/>
                    <w:bidi w:val="0"/>
                    <w:jc w:val="center"/>
                    <w:rPr>
                      <w:color w:val="000000"/>
                      <w:highlight w:val="none"/>
                    </w:rPr>
                  </w:pPr>
                  <w:r>
                    <w:rPr>
                      <w:rFonts w:hint="eastAsia" w:eastAsia="宋体"/>
                      <w:color w:val="000000"/>
                      <w:highlight w:val="none"/>
                      <w:lang w:val="en-US" w:eastAsia="zh-CN"/>
                    </w:rPr>
                    <w:t>/</w:t>
                  </w:r>
                </w:p>
              </w:tc>
              <w:tc>
                <w:tcPr>
                  <w:tcW w:w="523" w:type="dxa"/>
                  <w:tcBorders>
                    <w:right w:val="single" w:color="000000" w:sz="6" w:space="0"/>
                  </w:tcBorders>
                  <w:shd w:val="clear" w:color="auto" w:fill="auto"/>
                  <w:noWrap w:val="0"/>
                  <w:vAlign w:val="center"/>
                </w:tcPr>
                <w:p w14:paraId="6AB1552C">
                  <w:pPr>
                    <w:shd w:val="clear" w:color="auto" w:fill="auto"/>
                    <w:bidi w:val="0"/>
                    <w:jc w:val="center"/>
                    <w:rPr>
                      <w:rFonts w:hint="default" w:eastAsia="宋体"/>
                      <w:color w:val="000000"/>
                      <w:highlight w:val="none"/>
                      <w:lang w:val="en-US" w:eastAsia="zh-CN"/>
                    </w:rPr>
                  </w:pPr>
                  <w:r>
                    <w:rPr>
                      <w:rFonts w:hint="eastAsia" w:eastAsia="宋体"/>
                      <w:color w:val="000000"/>
                      <w:highlight w:val="none"/>
                      <w:lang w:val="en-US" w:eastAsia="zh-CN"/>
                    </w:rPr>
                    <w:t>/</w:t>
                  </w:r>
                </w:p>
              </w:tc>
            </w:tr>
          </w:tbl>
          <w:p w14:paraId="33982A62">
            <w:pPr>
              <w:shd w:val="clear" w:color="auto" w:fill="auto"/>
              <w:bidi w:val="0"/>
              <w:jc w:val="center"/>
              <w:rPr>
                <w:b/>
                <w:bCs/>
                <w:color w:val="000000"/>
                <w:highlight w:val="none"/>
              </w:rPr>
            </w:pPr>
            <w:r>
              <w:rPr>
                <w:b/>
                <w:bCs/>
                <w:color w:val="000000"/>
                <w:highlight w:val="none"/>
              </w:rPr>
              <w:t>表</w:t>
            </w:r>
            <w:r>
              <w:rPr>
                <w:rFonts w:hint="eastAsia"/>
                <w:b/>
                <w:bCs/>
                <w:color w:val="000000"/>
                <w:highlight w:val="none"/>
                <w:lang w:val="en-US" w:eastAsia="zh-CN"/>
              </w:rPr>
              <w:t>4-10</w:t>
            </w:r>
            <w:r>
              <w:rPr>
                <w:b/>
                <w:bCs/>
                <w:color w:val="000000"/>
                <w:highlight w:val="none"/>
              </w:rPr>
              <w:t xml:space="preserve">  废水污染物排放执行标准表</w:t>
            </w:r>
          </w:p>
          <w:p w14:paraId="5C167FD0">
            <w:pPr>
              <w:shd w:val="clear" w:color="auto" w:fill="auto"/>
              <w:spacing w:line="55" w:lineRule="exact"/>
              <w:rPr>
                <w:color w:val="000000"/>
                <w:highlight w:val="none"/>
              </w:rPr>
            </w:pPr>
          </w:p>
          <w:tbl>
            <w:tblPr>
              <w:tblStyle w:val="14"/>
              <w:tblW w:w="813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1194"/>
              <w:gridCol w:w="1269"/>
              <w:gridCol w:w="1691"/>
              <w:gridCol w:w="1813"/>
              <w:gridCol w:w="2168"/>
            </w:tblGrid>
            <w:tr w14:paraId="65A7B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77" w:hRule="atLeast"/>
              </w:trPr>
              <w:tc>
                <w:tcPr>
                  <w:tcW w:w="1194" w:type="dxa"/>
                  <w:vMerge w:val="restart"/>
                  <w:tcBorders>
                    <w:top w:val="single" w:color="000000" w:sz="6" w:space="0"/>
                    <w:left w:val="single" w:color="000000" w:sz="6" w:space="0"/>
                    <w:bottom w:val="nil"/>
                  </w:tcBorders>
                  <w:shd w:val="clear" w:color="auto" w:fill="auto"/>
                  <w:noWrap w:val="0"/>
                  <w:vAlign w:val="center"/>
                </w:tcPr>
                <w:p w14:paraId="2159EF91">
                  <w:pPr>
                    <w:pStyle w:val="205"/>
                    <w:shd w:val="clear" w:color="auto" w:fill="auto"/>
                    <w:spacing w:before="197" w:line="220" w:lineRule="auto"/>
                    <w:jc w:val="center"/>
                    <w:rPr>
                      <w:rFonts w:ascii="Times New Roman" w:hAnsi="Times New Roman" w:eastAsia="宋体" w:cs="Times New Roman"/>
                      <w:b/>
                      <w:bCs/>
                      <w:color w:val="000000"/>
                      <w:kern w:val="2"/>
                      <w:sz w:val="21"/>
                      <w:szCs w:val="21"/>
                      <w:highlight w:val="none"/>
                      <w:lang w:val="en-US" w:eastAsia="zh-CN" w:bidi="ar-SA"/>
                    </w:rPr>
                  </w:pPr>
                  <w:r>
                    <w:rPr>
                      <w:rFonts w:ascii="Times New Roman" w:hAnsi="Times New Roman" w:eastAsia="宋体" w:cs="Times New Roman"/>
                      <w:b/>
                      <w:bCs/>
                      <w:color w:val="000000"/>
                      <w:kern w:val="2"/>
                      <w:sz w:val="21"/>
                      <w:szCs w:val="21"/>
                      <w:highlight w:val="none"/>
                      <w:lang w:val="en-US" w:eastAsia="zh-CN" w:bidi="ar-SA"/>
                    </w:rPr>
                    <w:t>序号</w:t>
                  </w:r>
                </w:p>
              </w:tc>
              <w:tc>
                <w:tcPr>
                  <w:tcW w:w="1269" w:type="dxa"/>
                  <w:vMerge w:val="restart"/>
                  <w:tcBorders>
                    <w:top w:val="single" w:color="000000" w:sz="6" w:space="0"/>
                    <w:bottom w:val="nil"/>
                  </w:tcBorders>
                  <w:shd w:val="clear" w:color="auto" w:fill="auto"/>
                  <w:noWrap w:val="0"/>
                  <w:vAlign w:val="center"/>
                </w:tcPr>
                <w:p w14:paraId="5DBC577A">
                  <w:pPr>
                    <w:pStyle w:val="205"/>
                    <w:shd w:val="clear" w:color="auto" w:fill="auto"/>
                    <w:spacing w:before="196" w:line="219" w:lineRule="auto"/>
                    <w:jc w:val="center"/>
                    <w:rPr>
                      <w:rFonts w:ascii="Times New Roman" w:hAnsi="Times New Roman" w:eastAsia="宋体" w:cs="Times New Roman"/>
                      <w:b/>
                      <w:bCs/>
                      <w:color w:val="000000"/>
                      <w:kern w:val="2"/>
                      <w:sz w:val="21"/>
                      <w:szCs w:val="21"/>
                      <w:highlight w:val="none"/>
                      <w:lang w:val="en-US" w:eastAsia="zh-CN" w:bidi="ar-SA"/>
                    </w:rPr>
                  </w:pPr>
                  <w:r>
                    <w:rPr>
                      <w:rFonts w:ascii="Times New Roman" w:hAnsi="Times New Roman" w:eastAsia="宋体" w:cs="Times New Roman"/>
                      <w:b/>
                      <w:bCs/>
                      <w:color w:val="000000"/>
                      <w:kern w:val="2"/>
                      <w:sz w:val="21"/>
                      <w:szCs w:val="21"/>
                      <w:highlight w:val="none"/>
                      <w:lang w:val="en-US" w:eastAsia="zh-CN" w:bidi="ar-SA"/>
                    </w:rPr>
                    <w:t>排放口编号</w:t>
                  </w:r>
                </w:p>
              </w:tc>
              <w:tc>
                <w:tcPr>
                  <w:tcW w:w="1691" w:type="dxa"/>
                  <w:vMerge w:val="restart"/>
                  <w:tcBorders>
                    <w:top w:val="single" w:color="000000" w:sz="6" w:space="0"/>
                    <w:bottom w:val="nil"/>
                  </w:tcBorders>
                  <w:shd w:val="clear" w:color="auto" w:fill="auto"/>
                  <w:noWrap w:val="0"/>
                  <w:vAlign w:val="center"/>
                </w:tcPr>
                <w:p w14:paraId="6A7F6E46">
                  <w:pPr>
                    <w:pStyle w:val="205"/>
                    <w:shd w:val="clear" w:color="auto" w:fill="auto"/>
                    <w:spacing w:before="196" w:line="219" w:lineRule="auto"/>
                    <w:jc w:val="center"/>
                    <w:rPr>
                      <w:rFonts w:ascii="Times New Roman" w:hAnsi="Times New Roman" w:eastAsia="宋体" w:cs="Times New Roman"/>
                      <w:b/>
                      <w:bCs/>
                      <w:color w:val="000000"/>
                      <w:kern w:val="2"/>
                      <w:sz w:val="21"/>
                      <w:szCs w:val="21"/>
                      <w:highlight w:val="none"/>
                      <w:lang w:val="en-US" w:eastAsia="zh-CN" w:bidi="ar-SA"/>
                    </w:rPr>
                  </w:pPr>
                  <w:r>
                    <w:rPr>
                      <w:rFonts w:ascii="Times New Roman" w:hAnsi="Times New Roman" w:eastAsia="宋体" w:cs="Times New Roman"/>
                      <w:b/>
                      <w:bCs/>
                      <w:color w:val="000000"/>
                      <w:kern w:val="2"/>
                      <w:sz w:val="21"/>
                      <w:szCs w:val="21"/>
                      <w:highlight w:val="none"/>
                      <w:lang w:val="en-US" w:eastAsia="zh-CN" w:bidi="ar-SA"/>
                    </w:rPr>
                    <w:t>污染物种类</w:t>
                  </w:r>
                </w:p>
              </w:tc>
              <w:tc>
                <w:tcPr>
                  <w:tcW w:w="3981" w:type="dxa"/>
                  <w:gridSpan w:val="2"/>
                  <w:tcBorders>
                    <w:top w:val="single" w:color="000000" w:sz="6" w:space="0"/>
                    <w:right w:val="single" w:color="000000" w:sz="6" w:space="0"/>
                  </w:tcBorders>
                  <w:shd w:val="clear" w:color="auto" w:fill="auto"/>
                  <w:noWrap w:val="0"/>
                  <w:vAlign w:val="center"/>
                </w:tcPr>
                <w:p w14:paraId="2A816F95">
                  <w:pPr>
                    <w:pStyle w:val="205"/>
                    <w:shd w:val="clear" w:color="auto" w:fill="auto"/>
                    <w:spacing w:before="67" w:line="194" w:lineRule="auto"/>
                    <w:ind w:left="270"/>
                    <w:jc w:val="center"/>
                    <w:rPr>
                      <w:rFonts w:ascii="Times New Roman" w:hAnsi="Times New Roman" w:eastAsia="宋体" w:cs="Times New Roman"/>
                      <w:b/>
                      <w:bCs/>
                      <w:color w:val="000000"/>
                      <w:kern w:val="2"/>
                      <w:sz w:val="21"/>
                      <w:szCs w:val="21"/>
                      <w:highlight w:val="none"/>
                      <w:lang w:val="en-US" w:eastAsia="zh-CN" w:bidi="ar-SA"/>
                    </w:rPr>
                  </w:pPr>
                  <w:r>
                    <w:rPr>
                      <w:rFonts w:ascii="Times New Roman" w:hAnsi="Times New Roman" w:eastAsia="宋体" w:cs="Times New Roman"/>
                      <w:b/>
                      <w:bCs/>
                      <w:color w:val="000000"/>
                      <w:kern w:val="2"/>
                      <w:sz w:val="21"/>
                      <w:szCs w:val="21"/>
                      <w:highlight w:val="none"/>
                      <w:lang w:val="en-US" w:eastAsia="zh-CN" w:bidi="ar-SA"/>
                    </w:rPr>
                    <w:t>国家或地方污染物排放标准及其他按规定的排放</w:t>
                  </w:r>
                </w:p>
              </w:tc>
            </w:tr>
            <w:tr w14:paraId="1A5CA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73" w:hRule="atLeast"/>
              </w:trPr>
              <w:tc>
                <w:tcPr>
                  <w:tcW w:w="1194" w:type="dxa"/>
                  <w:vMerge w:val="continue"/>
                  <w:tcBorders>
                    <w:top w:val="nil"/>
                    <w:left w:val="single" w:color="000000" w:sz="6" w:space="0"/>
                  </w:tcBorders>
                  <w:shd w:val="clear" w:color="auto" w:fill="auto"/>
                  <w:noWrap w:val="0"/>
                  <w:vAlign w:val="center"/>
                </w:tcPr>
                <w:p w14:paraId="310643F7">
                  <w:pPr>
                    <w:shd w:val="clear" w:color="auto" w:fill="auto"/>
                    <w:bidi w:val="0"/>
                    <w:jc w:val="center"/>
                    <w:rPr>
                      <w:rFonts w:ascii="Times New Roman" w:hAnsi="Times New Roman" w:eastAsia="宋体" w:cs="Times New Roman"/>
                      <w:b/>
                      <w:bCs/>
                      <w:color w:val="000000"/>
                      <w:kern w:val="2"/>
                      <w:sz w:val="21"/>
                      <w:szCs w:val="21"/>
                      <w:highlight w:val="none"/>
                      <w:lang w:val="en-US" w:eastAsia="zh-CN" w:bidi="ar-SA"/>
                    </w:rPr>
                  </w:pPr>
                </w:p>
              </w:tc>
              <w:tc>
                <w:tcPr>
                  <w:tcW w:w="1269" w:type="dxa"/>
                  <w:vMerge w:val="continue"/>
                  <w:tcBorders>
                    <w:top w:val="nil"/>
                  </w:tcBorders>
                  <w:shd w:val="clear" w:color="auto" w:fill="auto"/>
                  <w:noWrap w:val="0"/>
                  <w:vAlign w:val="center"/>
                </w:tcPr>
                <w:p w14:paraId="40620C7B">
                  <w:pPr>
                    <w:shd w:val="clear" w:color="auto" w:fill="auto"/>
                    <w:bidi w:val="0"/>
                    <w:jc w:val="center"/>
                    <w:rPr>
                      <w:rFonts w:ascii="Times New Roman" w:hAnsi="Times New Roman" w:eastAsia="宋体" w:cs="Times New Roman"/>
                      <w:b/>
                      <w:bCs/>
                      <w:color w:val="000000"/>
                      <w:kern w:val="2"/>
                      <w:sz w:val="21"/>
                      <w:szCs w:val="21"/>
                      <w:highlight w:val="none"/>
                      <w:lang w:val="en-US" w:eastAsia="zh-CN" w:bidi="ar-SA"/>
                    </w:rPr>
                  </w:pPr>
                </w:p>
              </w:tc>
              <w:tc>
                <w:tcPr>
                  <w:tcW w:w="1691" w:type="dxa"/>
                  <w:vMerge w:val="continue"/>
                  <w:tcBorders>
                    <w:top w:val="nil"/>
                  </w:tcBorders>
                  <w:shd w:val="clear" w:color="auto" w:fill="auto"/>
                  <w:noWrap w:val="0"/>
                  <w:vAlign w:val="center"/>
                </w:tcPr>
                <w:p w14:paraId="5BCACFF2">
                  <w:pPr>
                    <w:shd w:val="clear" w:color="auto" w:fill="auto"/>
                    <w:bidi w:val="0"/>
                    <w:jc w:val="center"/>
                    <w:rPr>
                      <w:rFonts w:ascii="Times New Roman" w:hAnsi="Times New Roman" w:eastAsia="宋体" w:cs="Times New Roman"/>
                      <w:b/>
                      <w:bCs/>
                      <w:color w:val="000000"/>
                      <w:kern w:val="2"/>
                      <w:sz w:val="21"/>
                      <w:szCs w:val="21"/>
                      <w:highlight w:val="none"/>
                      <w:lang w:val="en-US" w:eastAsia="zh-CN" w:bidi="ar-SA"/>
                    </w:rPr>
                  </w:pPr>
                </w:p>
              </w:tc>
              <w:tc>
                <w:tcPr>
                  <w:tcW w:w="1813" w:type="dxa"/>
                  <w:shd w:val="clear" w:color="auto" w:fill="auto"/>
                  <w:noWrap w:val="0"/>
                  <w:vAlign w:val="center"/>
                </w:tcPr>
                <w:p w14:paraId="79C59463">
                  <w:pPr>
                    <w:shd w:val="clear" w:color="auto" w:fill="auto"/>
                    <w:bidi w:val="0"/>
                    <w:jc w:val="center"/>
                    <w:rPr>
                      <w:rFonts w:ascii="Times New Roman" w:hAnsi="Times New Roman" w:eastAsia="宋体" w:cs="Times New Roman"/>
                      <w:b/>
                      <w:bCs/>
                      <w:color w:val="000000"/>
                      <w:kern w:val="2"/>
                      <w:sz w:val="21"/>
                      <w:szCs w:val="21"/>
                      <w:highlight w:val="none"/>
                      <w:lang w:val="en-US" w:eastAsia="zh-CN" w:bidi="ar-SA"/>
                    </w:rPr>
                  </w:pPr>
                  <w:r>
                    <w:rPr>
                      <w:rFonts w:ascii="Times New Roman" w:hAnsi="Times New Roman" w:eastAsia="宋体" w:cs="Times New Roman"/>
                      <w:b/>
                      <w:bCs/>
                      <w:color w:val="000000"/>
                      <w:kern w:val="2"/>
                      <w:sz w:val="21"/>
                      <w:szCs w:val="21"/>
                      <w:highlight w:val="none"/>
                      <w:lang w:val="en-US" w:eastAsia="zh-CN" w:bidi="ar-SA"/>
                    </w:rPr>
                    <w:t>名称</w:t>
                  </w:r>
                </w:p>
              </w:tc>
              <w:tc>
                <w:tcPr>
                  <w:tcW w:w="2168" w:type="dxa"/>
                  <w:tcBorders>
                    <w:right w:val="single" w:color="000000" w:sz="6" w:space="0"/>
                  </w:tcBorders>
                  <w:shd w:val="clear" w:color="auto" w:fill="auto"/>
                  <w:noWrap w:val="0"/>
                  <w:vAlign w:val="center"/>
                </w:tcPr>
                <w:p w14:paraId="789227F9">
                  <w:pPr>
                    <w:shd w:val="clear" w:color="auto" w:fill="auto"/>
                    <w:bidi w:val="0"/>
                    <w:jc w:val="center"/>
                    <w:rPr>
                      <w:rFonts w:ascii="Times New Roman" w:hAnsi="Times New Roman" w:eastAsia="宋体" w:cs="Times New Roman"/>
                      <w:b/>
                      <w:bCs/>
                      <w:color w:val="000000"/>
                      <w:kern w:val="2"/>
                      <w:sz w:val="21"/>
                      <w:szCs w:val="21"/>
                      <w:highlight w:val="none"/>
                      <w:lang w:val="en-US" w:eastAsia="zh-CN" w:bidi="ar-SA"/>
                    </w:rPr>
                  </w:pPr>
                  <w:r>
                    <w:rPr>
                      <w:rFonts w:ascii="Times New Roman" w:hAnsi="Times New Roman" w:eastAsia="宋体" w:cs="Times New Roman"/>
                      <w:b/>
                      <w:bCs/>
                      <w:color w:val="000000"/>
                      <w:kern w:val="2"/>
                      <w:sz w:val="21"/>
                      <w:szCs w:val="21"/>
                      <w:highlight w:val="none"/>
                      <w:lang w:val="en-US" w:eastAsia="zh-CN" w:bidi="ar-SA"/>
                    </w:rPr>
                    <w:t>浓度限值/（mg/L）</w:t>
                  </w:r>
                </w:p>
              </w:tc>
            </w:tr>
            <w:tr w14:paraId="68FD5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90" w:hRule="atLeast"/>
              </w:trPr>
              <w:tc>
                <w:tcPr>
                  <w:tcW w:w="1194" w:type="dxa"/>
                  <w:tcBorders>
                    <w:left w:val="single" w:color="000000" w:sz="6" w:space="0"/>
                  </w:tcBorders>
                  <w:shd w:val="clear" w:color="auto" w:fill="auto"/>
                  <w:noWrap w:val="0"/>
                  <w:vAlign w:val="top"/>
                </w:tcPr>
                <w:p w14:paraId="29C59766">
                  <w:pPr>
                    <w:shd w:val="clear" w:color="auto" w:fill="auto"/>
                    <w:bidi w:val="0"/>
                    <w:jc w:val="center"/>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1</w:t>
                  </w:r>
                </w:p>
              </w:tc>
              <w:tc>
                <w:tcPr>
                  <w:tcW w:w="1269" w:type="dxa"/>
                  <w:vMerge w:val="restart"/>
                  <w:shd w:val="clear" w:color="auto" w:fill="auto"/>
                  <w:noWrap w:val="0"/>
                  <w:vAlign w:val="center"/>
                </w:tcPr>
                <w:p w14:paraId="46B57BF2">
                  <w:pPr>
                    <w:shd w:val="clear" w:color="auto" w:fill="auto"/>
                    <w:bidi w:val="0"/>
                    <w:jc w:val="center"/>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w:t>
                  </w:r>
                </w:p>
              </w:tc>
              <w:tc>
                <w:tcPr>
                  <w:tcW w:w="1691" w:type="dxa"/>
                  <w:shd w:val="clear" w:color="auto" w:fill="auto"/>
                  <w:noWrap w:val="0"/>
                  <w:vAlign w:val="center"/>
                </w:tcPr>
                <w:p w14:paraId="7BD6997F">
                  <w:pPr>
                    <w:shd w:val="clear" w:color="auto" w:fill="auto"/>
                    <w:bidi w:val="0"/>
                    <w:jc w:val="center"/>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pH值</w:t>
                  </w:r>
                </w:p>
              </w:tc>
              <w:tc>
                <w:tcPr>
                  <w:tcW w:w="1813" w:type="dxa"/>
                  <w:vMerge w:val="restart"/>
                  <w:shd w:val="clear" w:color="auto" w:fill="auto"/>
                  <w:noWrap w:val="0"/>
                  <w:vAlign w:val="center"/>
                </w:tcPr>
                <w:p w14:paraId="06538C8D">
                  <w:pPr>
                    <w:shd w:val="clear" w:color="auto" w:fill="auto"/>
                    <w:bidi w:val="0"/>
                    <w:jc w:val="center"/>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《发酵酒精和白酒工业水污染物排放标准》</w:t>
                  </w:r>
                  <w:r>
                    <w:rPr>
                      <w:rFonts w:hint="eastAsia" w:ascii="Times New Roman" w:hAnsi="Times New Roman" w:eastAsia="宋体" w:cs="Times New Roman"/>
                      <w:color w:val="000000"/>
                      <w:highlight w:val="none"/>
                      <w:lang w:val="en-US" w:eastAsia="zh-CN"/>
                    </w:rPr>
                    <w:t>（GB 27631-2011）</w:t>
                  </w:r>
                </w:p>
              </w:tc>
              <w:tc>
                <w:tcPr>
                  <w:tcW w:w="2168" w:type="dxa"/>
                  <w:tcBorders>
                    <w:right w:val="single" w:color="000000" w:sz="6" w:space="0"/>
                  </w:tcBorders>
                  <w:shd w:val="clear" w:color="auto" w:fill="auto"/>
                  <w:noWrap w:val="0"/>
                  <w:vAlign w:val="center"/>
                </w:tcPr>
                <w:p w14:paraId="311FB4C2">
                  <w:pPr>
                    <w:shd w:val="clear" w:color="auto" w:fill="auto"/>
                    <w:bidi w:val="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highlight w:val="none"/>
                      <w:lang w:val="en-US" w:eastAsia="zh-CN"/>
                    </w:rPr>
                    <w:t>6-9</w:t>
                  </w:r>
                </w:p>
              </w:tc>
            </w:tr>
            <w:tr w14:paraId="70ED6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40" w:hRule="atLeast"/>
              </w:trPr>
              <w:tc>
                <w:tcPr>
                  <w:tcW w:w="1194" w:type="dxa"/>
                  <w:tcBorders>
                    <w:left w:val="single" w:color="000000" w:sz="6" w:space="0"/>
                  </w:tcBorders>
                  <w:shd w:val="clear" w:color="auto" w:fill="auto"/>
                  <w:noWrap w:val="0"/>
                  <w:vAlign w:val="top"/>
                </w:tcPr>
                <w:p w14:paraId="0F605A73">
                  <w:pPr>
                    <w:shd w:val="clear" w:color="auto" w:fill="auto"/>
                    <w:bidi w:val="0"/>
                    <w:jc w:val="center"/>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2</w:t>
                  </w:r>
                </w:p>
              </w:tc>
              <w:tc>
                <w:tcPr>
                  <w:tcW w:w="1269" w:type="dxa"/>
                  <w:vMerge w:val="continue"/>
                  <w:shd w:val="clear" w:color="auto" w:fill="auto"/>
                  <w:noWrap w:val="0"/>
                  <w:vAlign w:val="top"/>
                </w:tcPr>
                <w:p w14:paraId="4A15C577">
                  <w:pPr>
                    <w:shd w:val="clear" w:color="auto" w:fill="auto"/>
                    <w:bidi w:val="0"/>
                    <w:jc w:val="center"/>
                    <w:rPr>
                      <w:rFonts w:hint="eastAsia" w:ascii="Times New Roman" w:hAnsi="Times New Roman" w:eastAsia="宋体" w:cs="Times New Roman"/>
                      <w:color w:val="000000"/>
                      <w:highlight w:val="none"/>
                      <w:lang w:val="en-US" w:eastAsia="zh-CN"/>
                    </w:rPr>
                  </w:pPr>
                </w:p>
              </w:tc>
              <w:tc>
                <w:tcPr>
                  <w:tcW w:w="1691" w:type="dxa"/>
                  <w:shd w:val="clear" w:color="auto" w:fill="auto"/>
                  <w:noWrap w:val="0"/>
                  <w:vAlign w:val="top"/>
                </w:tcPr>
                <w:p w14:paraId="7D537D68">
                  <w:pPr>
                    <w:shd w:val="clear" w:color="auto" w:fill="auto"/>
                    <w:jc w:val="center"/>
                    <w:rPr>
                      <w:rFonts w:ascii="Arial"/>
                      <w:color w:val="000000"/>
                      <w:sz w:val="21"/>
                      <w:highlight w:val="none"/>
                    </w:rPr>
                  </w:pPr>
                  <w:r>
                    <w:rPr>
                      <w:color w:val="000000"/>
                      <w:highlight w:val="none"/>
                    </w:rPr>
                    <w:t>悬浮物</w:t>
                  </w:r>
                </w:p>
              </w:tc>
              <w:tc>
                <w:tcPr>
                  <w:tcW w:w="1813" w:type="dxa"/>
                  <w:vMerge w:val="continue"/>
                  <w:shd w:val="clear" w:color="auto" w:fill="auto"/>
                  <w:noWrap w:val="0"/>
                  <w:vAlign w:val="top"/>
                </w:tcPr>
                <w:p w14:paraId="4EE8A07F">
                  <w:pPr>
                    <w:shd w:val="clear" w:color="auto" w:fill="auto"/>
                    <w:jc w:val="center"/>
                    <w:rPr>
                      <w:rFonts w:hint="default" w:ascii="Times New Roman" w:hAnsi="Times New Roman" w:cs="Times New Roman"/>
                      <w:color w:val="000000"/>
                      <w:sz w:val="21"/>
                      <w:highlight w:val="none"/>
                    </w:rPr>
                  </w:pPr>
                </w:p>
              </w:tc>
              <w:tc>
                <w:tcPr>
                  <w:tcW w:w="2168" w:type="dxa"/>
                  <w:tcBorders>
                    <w:right w:val="single" w:color="000000" w:sz="6" w:space="0"/>
                  </w:tcBorders>
                  <w:shd w:val="clear" w:color="auto" w:fill="auto"/>
                  <w:noWrap w:val="0"/>
                  <w:vAlign w:val="center"/>
                </w:tcPr>
                <w:p w14:paraId="0043DA27">
                  <w:pPr>
                    <w:shd w:val="clear" w:color="auto" w:fill="auto"/>
                    <w:bidi w:val="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highlight w:val="none"/>
                      <w:lang w:val="en-US" w:eastAsia="zh-CN"/>
                    </w:rPr>
                    <w:t>50</w:t>
                  </w:r>
                </w:p>
              </w:tc>
            </w:tr>
            <w:tr w14:paraId="4BADA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72" w:hRule="atLeast"/>
              </w:trPr>
              <w:tc>
                <w:tcPr>
                  <w:tcW w:w="1194" w:type="dxa"/>
                  <w:tcBorders>
                    <w:left w:val="single" w:color="000000" w:sz="6" w:space="0"/>
                  </w:tcBorders>
                  <w:shd w:val="clear" w:color="auto" w:fill="auto"/>
                  <w:noWrap w:val="0"/>
                  <w:vAlign w:val="top"/>
                </w:tcPr>
                <w:p w14:paraId="581ADF78">
                  <w:pPr>
                    <w:shd w:val="clear" w:color="auto" w:fill="auto"/>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3</w:t>
                  </w:r>
                </w:p>
              </w:tc>
              <w:tc>
                <w:tcPr>
                  <w:tcW w:w="1269" w:type="dxa"/>
                  <w:vMerge w:val="continue"/>
                  <w:shd w:val="clear" w:color="auto" w:fill="auto"/>
                  <w:noWrap w:val="0"/>
                  <w:vAlign w:val="top"/>
                </w:tcPr>
                <w:p w14:paraId="6D0D0458">
                  <w:pPr>
                    <w:shd w:val="clear" w:color="auto" w:fill="auto"/>
                    <w:rPr>
                      <w:rFonts w:ascii="Arial"/>
                      <w:color w:val="000000"/>
                      <w:sz w:val="21"/>
                      <w:highlight w:val="none"/>
                    </w:rPr>
                  </w:pPr>
                </w:p>
              </w:tc>
              <w:tc>
                <w:tcPr>
                  <w:tcW w:w="1691" w:type="dxa"/>
                  <w:shd w:val="clear" w:color="auto" w:fill="auto"/>
                  <w:noWrap w:val="0"/>
                  <w:vAlign w:val="top"/>
                </w:tcPr>
                <w:p w14:paraId="765F3F65">
                  <w:pPr>
                    <w:shd w:val="clear" w:color="auto" w:fill="auto"/>
                    <w:jc w:val="center"/>
                    <w:rPr>
                      <w:color w:val="000000"/>
                      <w:highlight w:val="none"/>
                    </w:rPr>
                  </w:pPr>
                  <w:r>
                    <w:rPr>
                      <w:color w:val="000000"/>
                      <w:highlight w:val="none"/>
                    </w:rPr>
                    <w:t>化学需氧量</w:t>
                  </w:r>
                </w:p>
              </w:tc>
              <w:tc>
                <w:tcPr>
                  <w:tcW w:w="1813" w:type="dxa"/>
                  <w:vMerge w:val="continue"/>
                  <w:shd w:val="clear" w:color="auto" w:fill="auto"/>
                  <w:noWrap w:val="0"/>
                  <w:vAlign w:val="top"/>
                </w:tcPr>
                <w:p w14:paraId="5B212171">
                  <w:pPr>
                    <w:shd w:val="clear" w:color="auto" w:fill="auto"/>
                    <w:jc w:val="center"/>
                    <w:rPr>
                      <w:rFonts w:hint="default" w:ascii="Times New Roman" w:hAnsi="Times New Roman" w:cs="Times New Roman"/>
                      <w:color w:val="000000"/>
                      <w:sz w:val="21"/>
                      <w:highlight w:val="none"/>
                    </w:rPr>
                  </w:pPr>
                </w:p>
              </w:tc>
              <w:tc>
                <w:tcPr>
                  <w:tcW w:w="2168" w:type="dxa"/>
                  <w:tcBorders>
                    <w:right w:val="single" w:color="000000" w:sz="6" w:space="0"/>
                  </w:tcBorders>
                  <w:shd w:val="clear" w:color="auto" w:fill="auto"/>
                  <w:noWrap w:val="0"/>
                  <w:vAlign w:val="center"/>
                </w:tcPr>
                <w:p w14:paraId="2044FF1A">
                  <w:pPr>
                    <w:shd w:val="clear" w:color="auto" w:fill="auto"/>
                    <w:bidi w:val="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highlight w:val="none"/>
                      <w:lang w:val="en-US" w:eastAsia="zh-CN"/>
                    </w:rPr>
                    <w:t>100</w:t>
                  </w:r>
                </w:p>
              </w:tc>
            </w:tr>
            <w:tr w14:paraId="411DD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72" w:hRule="atLeast"/>
              </w:trPr>
              <w:tc>
                <w:tcPr>
                  <w:tcW w:w="1194" w:type="dxa"/>
                  <w:tcBorders>
                    <w:left w:val="single" w:color="000000" w:sz="6" w:space="0"/>
                  </w:tcBorders>
                  <w:shd w:val="clear" w:color="auto" w:fill="auto"/>
                  <w:noWrap w:val="0"/>
                  <w:vAlign w:val="top"/>
                </w:tcPr>
                <w:p w14:paraId="02595381">
                  <w:pPr>
                    <w:shd w:val="clear" w:color="auto" w:fill="auto"/>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4</w:t>
                  </w:r>
                </w:p>
              </w:tc>
              <w:tc>
                <w:tcPr>
                  <w:tcW w:w="1269" w:type="dxa"/>
                  <w:vMerge w:val="continue"/>
                  <w:shd w:val="clear" w:color="auto" w:fill="auto"/>
                  <w:noWrap w:val="0"/>
                  <w:vAlign w:val="top"/>
                </w:tcPr>
                <w:p w14:paraId="4E4DEEF0">
                  <w:pPr>
                    <w:shd w:val="clear" w:color="auto" w:fill="auto"/>
                    <w:rPr>
                      <w:rFonts w:ascii="Arial"/>
                      <w:color w:val="000000"/>
                      <w:sz w:val="21"/>
                      <w:highlight w:val="none"/>
                    </w:rPr>
                  </w:pPr>
                </w:p>
              </w:tc>
              <w:tc>
                <w:tcPr>
                  <w:tcW w:w="1691" w:type="dxa"/>
                  <w:shd w:val="clear" w:color="auto" w:fill="auto"/>
                  <w:noWrap w:val="0"/>
                  <w:vAlign w:val="top"/>
                </w:tcPr>
                <w:p w14:paraId="6BC89C05">
                  <w:pPr>
                    <w:shd w:val="clear" w:color="auto" w:fill="auto"/>
                    <w:jc w:val="center"/>
                    <w:rPr>
                      <w:color w:val="000000"/>
                      <w:highlight w:val="none"/>
                    </w:rPr>
                  </w:pPr>
                  <w:r>
                    <w:rPr>
                      <w:color w:val="000000"/>
                      <w:highlight w:val="none"/>
                    </w:rPr>
                    <w:t>五日生化需氧量</w:t>
                  </w:r>
                </w:p>
              </w:tc>
              <w:tc>
                <w:tcPr>
                  <w:tcW w:w="1813" w:type="dxa"/>
                  <w:vMerge w:val="continue"/>
                  <w:shd w:val="clear" w:color="auto" w:fill="auto"/>
                  <w:noWrap w:val="0"/>
                  <w:vAlign w:val="top"/>
                </w:tcPr>
                <w:p w14:paraId="5A58CB99">
                  <w:pPr>
                    <w:shd w:val="clear" w:color="auto" w:fill="auto"/>
                    <w:jc w:val="center"/>
                    <w:rPr>
                      <w:rFonts w:hint="default" w:ascii="Times New Roman" w:hAnsi="Times New Roman" w:cs="Times New Roman"/>
                      <w:color w:val="000000"/>
                      <w:sz w:val="21"/>
                      <w:highlight w:val="none"/>
                    </w:rPr>
                  </w:pPr>
                </w:p>
              </w:tc>
              <w:tc>
                <w:tcPr>
                  <w:tcW w:w="2168" w:type="dxa"/>
                  <w:tcBorders>
                    <w:right w:val="single" w:color="000000" w:sz="6" w:space="0"/>
                  </w:tcBorders>
                  <w:shd w:val="clear" w:color="auto" w:fill="auto"/>
                  <w:noWrap w:val="0"/>
                  <w:vAlign w:val="center"/>
                </w:tcPr>
                <w:p w14:paraId="7D42D627">
                  <w:pPr>
                    <w:shd w:val="clear" w:color="auto" w:fill="auto"/>
                    <w:bidi w:val="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highlight w:val="none"/>
                      <w:lang w:val="en-US" w:eastAsia="zh-CN"/>
                    </w:rPr>
                    <w:t>30</w:t>
                  </w:r>
                </w:p>
              </w:tc>
            </w:tr>
            <w:tr w14:paraId="6C88F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72" w:hRule="atLeast"/>
              </w:trPr>
              <w:tc>
                <w:tcPr>
                  <w:tcW w:w="1194" w:type="dxa"/>
                  <w:tcBorders>
                    <w:left w:val="single" w:color="000000" w:sz="6" w:space="0"/>
                  </w:tcBorders>
                  <w:shd w:val="clear" w:color="auto" w:fill="auto"/>
                  <w:noWrap w:val="0"/>
                  <w:vAlign w:val="top"/>
                </w:tcPr>
                <w:p w14:paraId="42B6E345">
                  <w:pPr>
                    <w:shd w:val="clear" w:color="auto" w:fill="auto"/>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5</w:t>
                  </w:r>
                </w:p>
              </w:tc>
              <w:tc>
                <w:tcPr>
                  <w:tcW w:w="1269" w:type="dxa"/>
                  <w:vMerge w:val="continue"/>
                  <w:shd w:val="clear" w:color="auto" w:fill="auto"/>
                  <w:noWrap w:val="0"/>
                  <w:vAlign w:val="top"/>
                </w:tcPr>
                <w:p w14:paraId="3E8B2A38">
                  <w:pPr>
                    <w:shd w:val="clear" w:color="auto" w:fill="auto"/>
                    <w:rPr>
                      <w:rFonts w:ascii="Arial"/>
                      <w:color w:val="000000"/>
                      <w:sz w:val="21"/>
                      <w:highlight w:val="none"/>
                    </w:rPr>
                  </w:pPr>
                </w:p>
              </w:tc>
              <w:tc>
                <w:tcPr>
                  <w:tcW w:w="1691" w:type="dxa"/>
                  <w:shd w:val="clear" w:color="auto" w:fill="auto"/>
                  <w:noWrap w:val="0"/>
                  <w:vAlign w:val="top"/>
                </w:tcPr>
                <w:p w14:paraId="142FAE4A">
                  <w:pPr>
                    <w:shd w:val="clear" w:color="auto" w:fill="auto"/>
                    <w:jc w:val="center"/>
                    <w:rPr>
                      <w:color w:val="000000"/>
                      <w:highlight w:val="none"/>
                    </w:rPr>
                  </w:pPr>
                  <w:r>
                    <w:rPr>
                      <w:color w:val="000000"/>
                      <w:highlight w:val="none"/>
                    </w:rPr>
                    <w:t>氨氮</w:t>
                  </w:r>
                </w:p>
              </w:tc>
              <w:tc>
                <w:tcPr>
                  <w:tcW w:w="1813" w:type="dxa"/>
                  <w:vMerge w:val="continue"/>
                  <w:shd w:val="clear" w:color="auto" w:fill="auto"/>
                  <w:noWrap w:val="0"/>
                  <w:vAlign w:val="top"/>
                </w:tcPr>
                <w:p w14:paraId="4D4256E2">
                  <w:pPr>
                    <w:shd w:val="clear" w:color="auto" w:fill="auto"/>
                    <w:jc w:val="center"/>
                    <w:rPr>
                      <w:rFonts w:hint="default" w:ascii="Times New Roman" w:hAnsi="Times New Roman" w:cs="Times New Roman"/>
                      <w:color w:val="000000"/>
                      <w:sz w:val="21"/>
                      <w:highlight w:val="none"/>
                    </w:rPr>
                  </w:pPr>
                </w:p>
              </w:tc>
              <w:tc>
                <w:tcPr>
                  <w:tcW w:w="2168" w:type="dxa"/>
                  <w:tcBorders>
                    <w:right w:val="single" w:color="000000" w:sz="6" w:space="0"/>
                  </w:tcBorders>
                  <w:shd w:val="clear" w:color="auto" w:fill="auto"/>
                  <w:noWrap w:val="0"/>
                  <w:vAlign w:val="center"/>
                </w:tcPr>
                <w:p w14:paraId="5EB853C7">
                  <w:pPr>
                    <w:shd w:val="clear" w:color="auto" w:fill="auto"/>
                    <w:bidi w:val="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highlight w:val="none"/>
                      <w:lang w:val="en-US" w:eastAsia="zh-CN"/>
                    </w:rPr>
                    <w:t>10</w:t>
                  </w:r>
                </w:p>
              </w:tc>
            </w:tr>
            <w:tr w14:paraId="331BB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194" w:type="dxa"/>
                  <w:tcBorders>
                    <w:left w:val="single" w:color="000000" w:sz="6" w:space="0"/>
                  </w:tcBorders>
                  <w:shd w:val="clear" w:color="auto" w:fill="auto"/>
                  <w:noWrap w:val="0"/>
                  <w:vAlign w:val="top"/>
                </w:tcPr>
                <w:p w14:paraId="49EAEB02">
                  <w:pPr>
                    <w:shd w:val="clear" w:color="auto" w:fill="auto"/>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6</w:t>
                  </w:r>
                </w:p>
              </w:tc>
              <w:tc>
                <w:tcPr>
                  <w:tcW w:w="1269" w:type="dxa"/>
                  <w:vMerge w:val="continue"/>
                  <w:shd w:val="clear" w:color="auto" w:fill="auto"/>
                  <w:noWrap w:val="0"/>
                  <w:vAlign w:val="top"/>
                </w:tcPr>
                <w:p w14:paraId="69034ADF">
                  <w:pPr>
                    <w:shd w:val="clear" w:color="auto" w:fill="auto"/>
                    <w:rPr>
                      <w:rFonts w:ascii="Arial"/>
                      <w:color w:val="000000"/>
                      <w:sz w:val="21"/>
                      <w:highlight w:val="none"/>
                    </w:rPr>
                  </w:pPr>
                </w:p>
              </w:tc>
              <w:tc>
                <w:tcPr>
                  <w:tcW w:w="1691" w:type="dxa"/>
                  <w:shd w:val="clear" w:color="auto" w:fill="auto"/>
                  <w:noWrap w:val="0"/>
                  <w:vAlign w:val="top"/>
                </w:tcPr>
                <w:p w14:paraId="3FA5F5A2">
                  <w:pPr>
                    <w:shd w:val="clear" w:color="auto" w:fill="auto"/>
                    <w:jc w:val="center"/>
                    <w:rPr>
                      <w:color w:val="000000"/>
                      <w:highlight w:val="none"/>
                    </w:rPr>
                  </w:pPr>
                  <w:r>
                    <w:rPr>
                      <w:color w:val="000000"/>
                      <w:highlight w:val="none"/>
                    </w:rPr>
                    <w:t>总氮</w:t>
                  </w:r>
                </w:p>
              </w:tc>
              <w:tc>
                <w:tcPr>
                  <w:tcW w:w="1813" w:type="dxa"/>
                  <w:vMerge w:val="continue"/>
                  <w:shd w:val="clear" w:color="auto" w:fill="auto"/>
                  <w:noWrap w:val="0"/>
                  <w:vAlign w:val="top"/>
                </w:tcPr>
                <w:p w14:paraId="40D56B0A">
                  <w:pPr>
                    <w:shd w:val="clear" w:color="auto" w:fill="auto"/>
                    <w:jc w:val="center"/>
                    <w:rPr>
                      <w:rFonts w:hint="default" w:ascii="Times New Roman" w:hAnsi="Times New Roman" w:cs="Times New Roman"/>
                      <w:color w:val="000000"/>
                      <w:sz w:val="21"/>
                      <w:highlight w:val="none"/>
                    </w:rPr>
                  </w:pPr>
                </w:p>
              </w:tc>
              <w:tc>
                <w:tcPr>
                  <w:tcW w:w="2168" w:type="dxa"/>
                  <w:tcBorders>
                    <w:right w:val="single" w:color="000000" w:sz="6" w:space="0"/>
                  </w:tcBorders>
                  <w:shd w:val="clear" w:color="auto" w:fill="auto"/>
                  <w:noWrap w:val="0"/>
                  <w:vAlign w:val="center"/>
                </w:tcPr>
                <w:p w14:paraId="4A86E6F1">
                  <w:pPr>
                    <w:shd w:val="clear" w:color="auto" w:fill="auto"/>
                    <w:bidi w:val="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highlight w:val="none"/>
                      <w:lang w:val="en-US" w:eastAsia="zh-CN"/>
                    </w:rPr>
                    <w:t>20</w:t>
                  </w:r>
                </w:p>
              </w:tc>
            </w:tr>
            <w:tr w14:paraId="10EC8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72" w:hRule="atLeast"/>
              </w:trPr>
              <w:tc>
                <w:tcPr>
                  <w:tcW w:w="1194" w:type="dxa"/>
                  <w:tcBorders>
                    <w:left w:val="single" w:color="000000" w:sz="6" w:space="0"/>
                  </w:tcBorders>
                  <w:shd w:val="clear" w:color="auto" w:fill="auto"/>
                  <w:noWrap w:val="0"/>
                  <w:vAlign w:val="top"/>
                </w:tcPr>
                <w:p w14:paraId="0F3F5B3F">
                  <w:pPr>
                    <w:shd w:val="clear" w:color="auto" w:fill="auto"/>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7</w:t>
                  </w:r>
                </w:p>
              </w:tc>
              <w:tc>
                <w:tcPr>
                  <w:tcW w:w="1269" w:type="dxa"/>
                  <w:vMerge w:val="continue"/>
                  <w:shd w:val="clear" w:color="auto" w:fill="auto"/>
                  <w:noWrap w:val="0"/>
                  <w:vAlign w:val="top"/>
                </w:tcPr>
                <w:p w14:paraId="2E2734FF">
                  <w:pPr>
                    <w:shd w:val="clear" w:color="auto" w:fill="auto"/>
                    <w:rPr>
                      <w:rFonts w:ascii="Arial"/>
                      <w:color w:val="000000"/>
                      <w:sz w:val="21"/>
                      <w:highlight w:val="none"/>
                    </w:rPr>
                  </w:pPr>
                </w:p>
              </w:tc>
              <w:tc>
                <w:tcPr>
                  <w:tcW w:w="1691" w:type="dxa"/>
                  <w:shd w:val="clear" w:color="auto" w:fill="auto"/>
                  <w:noWrap w:val="0"/>
                  <w:vAlign w:val="top"/>
                </w:tcPr>
                <w:p w14:paraId="59BE639F">
                  <w:pPr>
                    <w:shd w:val="clear" w:color="auto" w:fill="auto"/>
                    <w:jc w:val="center"/>
                    <w:rPr>
                      <w:color w:val="000000"/>
                      <w:highlight w:val="none"/>
                    </w:rPr>
                  </w:pPr>
                  <w:r>
                    <w:rPr>
                      <w:color w:val="000000"/>
                      <w:highlight w:val="none"/>
                    </w:rPr>
                    <w:t>总磷</w:t>
                  </w:r>
                </w:p>
              </w:tc>
              <w:tc>
                <w:tcPr>
                  <w:tcW w:w="1813" w:type="dxa"/>
                  <w:vMerge w:val="continue"/>
                  <w:shd w:val="clear" w:color="auto" w:fill="auto"/>
                  <w:noWrap w:val="0"/>
                  <w:vAlign w:val="top"/>
                </w:tcPr>
                <w:p w14:paraId="1C1D9EDE">
                  <w:pPr>
                    <w:shd w:val="clear" w:color="auto" w:fill="auto"/>
                    <w:jc w:val="center"/>
                    <w:rPr>
                      <w:rFonts w:hint="default" w:ascii="Times New Roman" w:hAnsi="Times New Roman" w:cs="Times New Roman"/>
                      <w:color w:val="000000"/>
                      <w:sz w:val="21"/>
                      <w:highlight w:val="none"/>
                    </w:rPr>
                  </w:pPr>
                </w:p>
              </w:tc>
              <w:tc>
                <w:tcPr>
                  <w:tcW w:w="2168" w:type="dxa"/>
                  <w:tcBorders>
                    <w:right w:val="single" w:color="000000" w:sz="6" w:space="0"/>
                  </w:tcBorders>
                  <w:shd w:val="clear" w:color="auto" w:fill="auto"/>
                  <w:noWrap w:val="0"/>
                  <w:vAlign w:val="center"/>
                </w:tcPr>
                <w:p w14:paraId="416B11CD">
                  <w:pPr>
                    <w:shd w:val="clear" w:color="auto" w:fill="auto"/>
                    <w:bidi w:val="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highlight w:val="none"/>
                      <w:lang w:val="en-US" w:eastAsia="zh-CN"/>
                    </w:rPr>
                    <w:t>1.0</w:t>
                  </w:r>
                </w:p>
              </w:tc>
            </w:tr>
            <w:tr w14:paraId="6C556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72" w:hRule="atLeast"/>
              </w:trPr>
              <w:tc>
                <w:tcPr>
                  <w:tcW w:w="1194" w:type="dxa"/>
                  <w:tcBorders>
                    <w:left w:val="single" w:color="000000" w:sz="6" w:space="0"/>
                  </w:tcBorders>
                  <w:shd w:val="clear" w:color="auto" w:fill="auto"/>
                  <w:noWrap w:val="0"/>
                  <w:vAlign w:val="top"/>
                </w:tcPr>
                <w:p w14:paraId="00648CC8">
                  <w:pPr>
                    <w:shd w:val="clear" w:color="auto" w:fill="auto"/>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8</w:t>
                  </w:r>
                </w:p>
              </w:tc>
              <w:tc>
                <w:tcPr>
                  <w:tcW w:w="1269" w:type="dxa"/>
                  <w:vMerge w:val="continue"/>
                  <w:shd w:val="clear" w:color="auto" w:fill="auto"/>
                  <w:noWrap w:val="0"/>
                  <w:vAlign w:val="top"/>
                </w:tcPr>
                <w:p w14:paraId="0F2558F9">
                  <w:pPr>
                    <w:shd w:val="clear" w:color="auto" w:fill="auto"/>
                    <w:rPr>
                      <w:rFonts w:ascii="Arial"/>
                      <w:color w:val="000000"/>
                      <w:sz w:val="21"/>
                      <w:highlight w:val="none"/>
                    </w:rPr>
                  </w:pPr>
                </w:p>
              </w:tc>
              <w:tc>
                <w:tcPr>
                  <w:tcW w:w="1691" w:type="dxa"/>
                  <w:shd w:val="clear" w:color="auto" w:fill="auto"/>
                  <w:noWrap w:val="0"/>
                  <w:vAlign w:val="top"/>
                </w:tcPr>
                <w:p w14:paraId="4EDEE5D3">
                  <w:pPr>
                    <w:shd w:val="clear" w:color="auto" w:fill="auto"/>
                    <w:jc w:val="center"/>
                    <w:rPr>
                      <w:color w:val="000000"/>
                      <w:highlight w:val="none"/>
                    </w:rPr>
                  </w:pPr>
                  <w:r>
                    <w:rPr>
                      <w:color w:val="000000"/>
                      <w:highlight w:val="none"/>
                    </w:rPr>
                    <w:t>色度</w:t>
                  </w:r>
                </w:p>
              </w:tc>
              <w:tc>
                <w:tcPr>
                  <w:tcW w:w="1813" w:type="dxa"/>
                  <w:vMerge w:val="continue"/>
                  <w:shd w:val="clear" w:color="auto" w:fill="auto"/>
                  <w:noWrap w:val="0"/>
                  <w:vAlign w:val="top"/>
                </w:tcPr>
                <w:p w14:paraId="478FF362">
                  <w:pPr>
                    <w:shd w:val="clear" w:color="auto" w:fill="auto"/>
                    <w:jc w:val="center"/>
                    <w:rPr>
                      <w:rFonts w:hint="default" w:ascii="Times New Roman" w:hAnsi="Times New Roman" w:cs="Times New Roman"/>
                      <w:color w:val="000000"/>
                      <w:sz w:val="21"/>
                      <w:highlight w:val="none"/>
                    </w:rPr>
                  </w:pPr>
                </w:p>
              </w:tc>
              <w:tc>
                <w:tcPr>
                  <w:tcW w:w="2168" w:type="dxa"/>
                  <w:tcBorders>
                    <w:right w:val="single" w:color="000000" w:sz="6" w:space="0"/>
                  </w:tcBorders>
                  <w:shd w:val="clear" w:color="auto" w:fill="auto"/>
                  <w:noWrap w:val="0"/>
                  <w:vAlign w:val="center"/>
                </w:tcPr>
                <w:p w14:paraId="16EF7374">
                  <w:pPr>
                    <w:shd w:val="clear" w:color="auto" w:fill="auto"/>
                    <w:bidi w:val="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highlight w:val="none"/>
                      <w:lang w:val="en-US" w:eastAsia="zh-CN"/>
                    </w:rPr>
                    <w:t>40（稀释倍数）</w:t>
                  </w:r>
                </w:p>
              </w:tc>
            </w:tr>
            <w:tr w14:paraId="20260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72" w:hRule="atLeast"/>
              </w:trPr>
              <w:tc>
                <w:tcPr>
                  <w:tcW w:w="8135" w:type="dxa"/>
                  <w:gridSpan w:val="5"/>
                  <w:tcBorders>
                    <w:left w:val="single" w:color="000000" w:sz="6" w:space="0"/>
                    <w:right w:val="single" w:color="000000" w:sz="6" w:space="0"/>
                  </w:tcBorders>
                  <w:shd w:val="clear" w:color="auto" w:fill="auto"/>
                  <w:noWrap w:val="0"/>
                  <w:vAlign w:val="top"/>
                </w:tcPr>
                <w:p w14:paraId="28F66343">
                  <w:pPr>
                    <w:shd w:val="clear" w:color="auto" w:fill="auto"/>
                    <w:bidi w:val="0"/>
                    <w:jc w:val="both"/>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说明：</w:t>
                  </w:r>
                  <w:r>
                    <w:rPr>
                      <w:rFonts w:hint="default" w:ascii="Times New Roman" w:hAnsi="Times New Roman" w:eastAsia="宋体" w:cs="Times New Roman"/>
                      <w:color w:val="000000"/>
                      <w:highlight w:val="none"/>
                      <w:lang w:val="en-US" w:eastAsia="zh-CN"/>
                    </w:rPr>
                    <w:t>《发酵酒精和白酒工业水污染物排放标准》</w:t>
                  </w:r>
                  <w:r>
                    <w:rPr>
                      <w:rFonts w:hint="eastAsia" w:ascii="Times New Roman" w:hAnsi="Times New Roman" w:eastAsia="宋体" w:cs="Times New Roman"/>
                      <w:color w:val="000000"/>
                      <w:highlight w:val="none"/>
                      <w:lang w:val="en-US" w:eastAsia="zh-CN"/>
                    </w:rPr>
                    <w:t>（GB 27631-2011）排放标准均高于</w:t>
                  </w:r>
                  <w:r>
                    <w:rPr>
                      <w:rFonts w:hint="eastAsia" w:eastAsia="宋体"/>
                      <w:color w:val="000000"/>
                      <w:highlight w:val="none"/>
                      <w:lang w:val="en-US" w:eastAsia="zh-CN"/>
                    </w:rPr>
                    <w:t>宝鸡天龙污水处理有限公司纳水标准。</w:t>
                  </w:r>
                </w:p>
              </w:tc>
            </w:tr>
          </w:tbl>
          <w:p w14:paraId="34804AE2">
            <w:pPr>
              <w:shd w:val="clear" w:color="auto" w:fill="auto"/>
              <w:bidi w:val="0"/>
              <w:jc w:val="center"/>
              <w:rPr>
                <w:b/>
                <w:bCs/>
                <w:color w:val="000000"/>
                <w:highlight w:val="none"/>
                <w:lang w:val="en-US" w:eastAsia="zh-CN"/>
              </w:rPr>
            </w:pPr>
            <w:r>
              <w:rPr>
                <w:b/>
                <w:bCs/>
                <w:color w:val="000000"/>
                <w:highlight w:val="none"/>
                <w:lang w:val="en-US" w:eastAsia="zh-CN"/>
              </w:rPr>
              <w:t>表</w:t>
            </w:r>
            <w:r>
              <w:rPr>
                <w:rFonts w:hint="eastAsia"/>
                <w:b/>
                <w:bCs/>
                <w:color w:val="000000"/>
                <w:highlight w:val="none"/>
                <w:lang w:val="en-US" w:eastAsia="zh-CN"/>
              </w:rPr>
              <w:t>4-11</w:t>
            </w:r>
            <w:r>
              <w:rPr>
                <w:b/>
                <w:bCs/>
                <w:color w:val="000000"/>
                <w:highlight w:val="none"/>
                <w:lang w:val="en-US" w:eastAsia="zh-CN"/>
              </w:rPr>
              <w:t xml:space="preserve">  废水污染物排放信息表（改建、扩建项目）</w:t>
            </w:r>
          </w:p>
          <w:p w14:paraId="774F9BF5">
            <w:pPr>
              <w:shd w:val="clear" w:color="auto" w:fill="auto"/>
              <w:spacing w:line="51" w:lineRule="exact"/>
              <w:rPr>
                <w:color w:val="000000"/>
                <w:highlight w:val="none"/>
              </w:rPr>
            </w:pPr>
          </w:p>
          <w:tbl>
            <w:tblPr>
              <w:tblStyle w:val="14"/>
              <w:tblW w:w="815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567"/>
              <w:gridCol w:w="1518"/>
              <w:gridCol w:w="1518"/>
              <w:gridCol w:w="1518"/>
              <w:gridCol w:w="1518"/>
              <w:gridCol w:w="1518"/>
            </w:tblGrid>
            <w:tr w14:paraId="56769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46" w:hRule="atLeast"/>
              </w:trPr>
              <w:tc>
                <w:tcPr>
                  <w:tcW w:w="567" w:type="dxa"/>
                  <w:tcBorders>
                    <w:top w:val="single" w:color="000000" w:sz="6" w:space="0"/>
                    <w:left w:val="single" w:color="000000" w:sz="6" w:space="0"/>
                  </w:tcBorders>
                  <w:shd w:val="clear" w:color="auto" w:fill="auto"/>
                  <w:noWrap w:val="0"/>
                  <w:vAlign w:val="center"/>
                </w:tcPr>
                <w:p w14:paraId="1E8B8CD9">
                  <w:pPr>
                    <w:shd w:val="clear" w:color="auto" w:fill="auto"/>
                    <w:bidi w:val="0"/>
                    <w:jc w:val="center"/>
                    <w:rPr>
                      <w:b/>
                      <w:bCs/>
                      <w:color w:val="000000"/>
                      <w:highlight w:val="none"/>
                    </w:rPr>
                  </w:pPr>
                  <w:r>
                    <w:rPr>
                      <w:b/>
                      <w:bCs/>
                      <w:color w:val="000000"/>
                      <w:highlight w:val="none"/>
                    </w:rPr>
                    <w:t>序号</w:t>
                  </w:r>
                </w:p>
              </w:tc>
              <w:tc>
                <w:tcPr>
                  <w:tcW w:w="1518" w:type="dxa"/>
                  <w:tcBorders>
                    <w:top w:val="single" w:color="000000" w:sz="6" w:space="0"/>
                  </w:tcBorders>
                  <w:shd w:val="clear" w:color="auto" w:fill="auto"/>
                  <w:noWrap w:val="0"/>
                  <w:vAlign w:val="center"/>
                </w:tcPr>
                <w:p w14:paraId="33A76172">
                  <w:pPr>
                    <w:shd w:val="clear" w:color="auto" w:fill="auto"/>
                    <w:bidi w:val="0"/>
                    <w:jc w:val="center"/>
                    <w:rPr>
                      <w:b/>
                      <w:bCs/>
                      <w:color w:val="000000"/>
                      <w:highlight w:val="none"/>
                    </w:rPr>
                  </w:pPr>
                  <w:r>
                    <w:rPr>
                      <w:b/>
                      <w:bCs/>
                      <w:color w:val="000000"/>
                      <w:highlight w:val="none"/>
                    </w:rPr>
                    <w:t>排放口编号</w:t>
                  </w:r>
                </w:p>
              </w:tc>
              <w:tc>
                <w:tcPr>
                  <w:tcW w:w="1518" w:type="dxa"/>
                  <w:tcBorders>
                    <w:top w:val="single" w:color="000000" w:sz="6" w:space="0"/>
                  </w:tcBorders>
                  <w:shd w:val="clear" w:color="auto" w:fill="auto"/>
                  <w:noWrap w:val="0"/>
                  <w:vAlign w:val="center"/>
                </w:tcPr>
                <w:p w14:paraId="3D2C77CB">
                  <w:pPr>
                    <w:shd w:val="clear" w:color="auto" w:fill="auto"/>
                    <w:bidi w:val="0"/>
                    <w:jc w:val="center"/>
                    <w:rPr>
                      <w:b/>
                      <w:bCs/>
                      <w:color w:val="000000"/>
                      <w:highlight w:val="none"/>
                    </w:rPr>
                  </w:pPr>
                  <w:r>
                    <w:rPr>
                      <w:b/>
                      <w:bCs/>
                      <w:color w:val="000000"/>
                      <w:highlight w:val="none"/>
                    </w:rPr>
                    <w:t>污染物种类</w:t>
                  </w:r>
                </w:p>
              </w:tc>
              <w:tc>
                <w:tcPr>
                  <w:tcW w:w="1518" w:type="dxa"/>
                  <w:tcBorders>
                    <w:top w:val="single" w:color="000000" w:sz="6" w:space="0"/>
                  </w:tcBorders>
                  <w:shd w:val="clear" w:color="auto" w:fill="auto"/>
                  <w:noWrap w:val="0"/>
                  <w:vAlign w:val="center"/>
                </w:tcPr>
                <w:p w14:paraId="704C0D30">
                  <w:pPr>
                    <w:shd w:val="clear" w:color="auto" w:fill="auto"/>
                    <w:bidi w:val="0"/>
                    <w:jc w:val="center"/>
                    <w:rPr>
                      <w:b/>
                      <w:bCs/>
                      <w:color w:val="000000"/>
                      <w:highlight w:val="none"/>
                    </w:rPr>
                  </w:pPr>
                  <w:r>
                    <w:rPr>
                      <w:b/>
                      <w:bCs/>
                      <w:color w:val="000000"/>
                      <w:highlight w:val="none"/>
                    </w:rPr>
                    <w:t>排放浓度/ （mg/L）</w:t>
                  </w:r>
                </w:p>
              </w:tc>
              <w:tc>
                <w:tcPr>
                  <w:tcW w:w="1518" w:type="dxa"/>
                  <w:tcBorders>
                    <w:top w:val="single" w:color="000000" w:sz="6" w:space="0"/>
                  </w:tcBorders>
                  <w:shd w:val="clear" w:color="auto" w:fill="auto"/>
                  <w:noWrap w:val="0"/>
                  <w:vAlign w:val="center"/>
                </w:tcPr>
                <w:p w14:paraId="7EFDD3D5">
                  <w:pPr>
                    <w:shd w:val="clear" w:color="auto" w:fill="auto"/>
                    <w:bidi w:val="0"/>
                    <w:jc w:val="center"/>
                    <w:rPr>
                      <w:b/>
                      <w:bCs/>
                      <w:color w:val="000000"/>
                      <w:highlight w:val="none"/>
                    </w:rPr>
                  </w:pPr>
                  <w:r>
                    <w:rPr>
                      <w:b/>
                      <w:bCs/>
                      <w:color w:val="000000"/>
                      <w:highlight w:val="none"/>
                    </w:rPr>
                    <w:t>日排放量/</w:t>
                  </w:r>
                </w:p>
                <w:p w14:paraId="7D6D72AE">
                  <w:pPr>
                    <w:shd w:val="clear" w:color="auto" w:fill="auto"/>
                    <w:bidi w:val="0"/>
                    <w:jc w:val="center"/>
                    <w:rPr>
                      <w:b/>
                      <w:bCs/>
                      <w:color w:val="000000"/>
                      <w:highlight w:val="none"/>
                    </w:rPr>
                  </w:pPr>
                  <w:r>
                    <w:rPr>
                      <w:rFonts w:hint="eastAsia"/>
                      <w:b/>
                      <w:bCs/>
                      <w:color w:val="000000"/>
                      <w:highlight w:val="none"/>
                      <w:lang w:eastAsia="zh-CN"/>
                    </w:rPr>
                    <w:t>(</w:t>
                  </w:r>
                  <w:r>
                    <w:rPr>
                      <w:b/>
                      <w:bCs/>
                      <w:color w:val="000000"/>
                      <w:highlight w:val="none"/>
                    </w:rPr>
                    <w:t>t/d</w:t>
                  </w:r>
                  <w:r>
                    <w:rPr>
                      <w:rFonts w:hint="eastAsia"/>
                      <w:b/>
                      <w:bCs/>
                      <w:color w:val="000000"/>
                      <w:highlight w:val="none"/>
                      <w:lang w:eastAsia="zh-CN"/>
                    </w:rPr>
                    <w:t>)</w:t>
                  </w:r>
                </w:p>
              </w:tc>
              <w:tc>
                <w:tcPr>
                  <w:tcW w:w="1518" w:type="dxa"/>
                  <w:tcBorders>
                    <w:top w:val="single" w:color="000000" w:sz="6" w:space="0"/>
                  </w:tcBorders>
                  <w:shd w:val="clear" w:color="auto" w:fill="auto"/>
                  <w:noWrap w:val="0"/>
                  <w:vAlign w:val="center"/>
                </w:tcPr>
                <w:p w14:paraId="55A1EECB">
                  <w:pPr>
                    <w:shd w:val="clear" w:color="auto" w:fill="auto"/>
                    <w:bidi w:val="0"/>
                    <w:jc w:val="center"/>
                    <w:rPr>
                      <w:b/>
                      <w:bCs/>
                      <w:color w:val="000000"/>
                      <w:highlight w:val="none"/>
                    </w:rPr>
                  </w:pPr>
                  <w:r>
                    <w:rPr>
                      <w:b/>
                      <w:bCs/>
                      <w:color w:val="000000"/>
                      <w:highlight w:val="none"/>
                    </w:rPr>
                    <w:t>年排放量/</w:t>
                  </w:r>
                </w:p>
                <w:p w14:paraId="598338B2">
                  <w:pPr>
                    <w:shd w:val="clear" w:color="auto" w:fill="auto"/>
                    <w:bidi w:val="0"/>
                    <w:jc w:val="center"/>
                    <w:rPr>
                      <w:b/>
                      <w:bCs/>
                      <w:color w:val="000000"/>
                      <w:highlight w:val="none"/>
                    </w:rPr>
                  </w:pPr>
                  <w:r>
                    <w:rPr>
                      <w:rFonts w:hint="eastAsia"/>
                      <w:b/>
                      <w:bCs/>
                      <w:color w:val="000000"/>
                      <w:highlight w:val="none"/>
                      <w:lang w:eastAsia="zh-CN"/>
                    </w:rPr>
                    <w:t>(</w:t>
                  </w:r>
                  <w:r>
                    <w:rPr>
                      <w:b/>
                      <w:bCs/>
                      <w:color w:val="000000"/>
                      <w:highlight w:val="none"/>
                    </w:rPr>
                    <w:t>t/a</w:t>
                  </w:r>
                  <w:r>
                    <w:rPr>
                      <w:rFonts w:hint="eastAsia"/>
                      <w:b/>
                      <w:bCs/>
                      <w:color w:val="000000"/>
                      <w:highlight w:val="none"/>
                      <w:lang w:eastAsia="zh-CN"/>
                    </w:rPr>
                    <w:t>)</w:t>
                  </w:r>
                </w:p>
              </w:tc>
            </w:tr>
            <w:tr w14:paraId="1CC7E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72" w:hRule="atLeast"/>
              </w:trPr>
              <w:tc>
                <w:tcPr>
                  <w:tcW w:w="567" w:type="dxa"/>
                  <w:tcBorders>
                    <w:left w:val="single" w:color="000000" w:sz="6" w:space="0"/>
                  </w:tcBorders>
                  <w:shd w:val="clear" w:color="auto" w:fill="auto"/>
                  <w:noWrap w:val="0"/>
                  <w:vAlign w:val="center"/>
                </w:tcPr>
                <w:p w14:paraId="45CB85FE">
                  <w:pPr>
                    <w:shd w:val="clear" w:color="auto" w:fill="auto"/>
                    <w:bidi w:val="0"/>
                    <w:jc w:val="center"/>
                    <w:rPr>
                      <w:rFonts w:hint="eastAsia" w:eastAsia="宋体"/>
                      <w:color w:val="000000"/>
                      <w:highlight w:val="none"/>
                      <w:lang w:val="en-US" w:eastAsia="zh-CN"/>
                    </w:rPr>
                  </w:pPr>
                  <w:r>
                    <w:rPr>
                      <w:rFonts w:hint="eastAsia"/>
                      <w:color w:val="000000"/>
                      <w:highlight w:val="none"/>
                      <w:lang w:val="en-US" w:eastAsia="zh-CN"/>
                    </w:rPr>
                    <w:t>1</w:t>
                  </w:r>
                </w:p>
              </w:tc>
              <w:tc>
                <w:tcPr>
                  <w:tcW w:w="1518" w:type="dxa"/>
                  <w:vMerge w:val="restart"/>
                  <w:shd w:val="clear" w:color="auto" w:fill="auto"/>
                  <w:noWrap w:val="0"/>
                  <w:vAlign w:val="center"/>
                </w:tcPr>
                <w:p w14:paraId="4E533752">
                  <w:pPr>
                    <w:shd w:val="clear" w:color="auto" w:fill="auto"/>
                    <w:bidi w:val="0"/>
                    <w:jc w:val="center"/>
                    <w:rPr>
                      <w:rFonts w:hint="default" w:eastAsia="宋体"/>
                      <w:color w:val="000000"/>
                      <w:highlight w:val="none"/>
                      <w:lang w:val="en-US" w:eastAsia="zh-CN"/>
                    </w:rPr>
                  </w:pPr>
                  <w:r>
                    <w:rPr>
                      <w:rFonts w:hint="eastAsia" w:eastAsia="宋体"/>
                      <w:color w:val="000000"/>
                      <w:highlight w:val="none"/>
                      <w:lang w:val="en-US" w:eastAsia="zh-CN"/>
                    </w:rPr>
                    <w:t>/</w:t>
                  </w:r>
                </w:p>
              </w:tc>
              <w:tc>
                <w:tcPr>
                  <w:tcW w:w="1518" w:type="dxa"/>
                  <w:shd w:val="clear" w:color="auto" w:fill="auto"/>
                  <w:noWrap w:val="0"/>
                  <w:vAlign w:val="top"/>
                </w:tcPr>
                <w:p w14:paraId="66EFE1B4">
                  <w:pPr>
                    <w:shd w:val="clear" w:color="auto" w:fill="auto"/>
                    <w:jc w:val="center"/>
                    <w:rPr>
                      <w:rFonts w:ascii="Arial"/>
                      <w:color w:val="000000"/>
                      <w:kern w:val="2"/>
                      <w:sz w:val="21"/>
                      <w:szCs w:val="21"/>
                      <w:highlight w:val="none"/>
                      <w:lang w:val="en-US" w:eastAsia="zh-CN" w:bidi="ar-SA"/>
                    </w:rPr>
                  </w:pPr>
                  <w:r>
                    <w:rPr>
                      <w:color w:val="000000"/>
                      <w:highlight w:val="none"/>
                    </w:rPr>
                    <w:t>悬浮物</w:t>
                  </w:r>
                </w:p>
              </w:tc>
              <w:tc>
                <w:tcPr>
                  <w:tcW w:w="1518" w:type="dxa"/>
                  <w:shd w:val="clear" w:color="auto" w:fill="auto"/>
                  <w:noWrap w:val="0"/>
                  <w:vAlign w:val="center"/>
                </w:tcPr>
                <w:p w14:paraId="4491C17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rPr>
                    <w:t>13.5</w:t>
                  </w:r>
                </w:p>
              </w:tc>
              <w:tc>
                <w:tcPr>
                  <w:tcW w:w="1518" w:type="dxa"/>
                  <w:shd w:val="clear" w:color="auto" w:fill="auto"/>
                  <w:noWrap w:val="0"/>
                  <w:vAlign w:val="center"/>
                </w:tcPr>
                <w:p w14:paraId="1B63F9C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color w:val="000000"/>
                      <w:kern w:val="2"/>
                      <w:sz w:val="21"/>
                      <w:szCs w:val="21"/>
                      <w:highlight w:val="none"/>
                      <w:lang w:val="en-US" w:eastAsia="zh-CN" w:bidi="ar-SA"/>
                    </w:rPr>
                  </w:pPr>
                  <w:r>
                    <w:rPr>
                      <w:rFonts w:hint="eastAsia" w:ascii="Times New Roman" w:hAnsi="Times New Roman" w:cs="Times New Roman"/>
                      <w:b w:val="0"/>
                      <w:bCs/>
                      <w:color w:val="000000"/>
                      <w:kern w:val="2"/>
                      <w:sz w:val="21"/>
                      <w:szCs w:val="21"/>
                      <w:highlight w:val="none"/>
                      <w:lang w:val="en-US" w:eastAsia="zh-CN" w:bidi="ar-SA"/>
                    </w:rPr>
                    <w:t>0.00017</w:t>
                  </w:r>
                </w:p>
              </w:tc>
              <w:tc>
                <w:tcPr>
                  <w:tcW w:w="1518" w:type="dxa"/>
                  <w:shd w:val="clear" w:color="auto" w:fill="auto"/>
                  <w:noWrap w:val="0"/>
                  <w:vAlign w:val="center"/>
                </w:tcPr>
                <w:p w14:paraId="331D9D7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color w:val="000000"/>
                      <w:kern w:val="2"/>
                      <w:sz w:val="21"/>
                      <w:szCs w:val="21"/>
                      <w:highlight w:val="none"/>
                      <w:lang w:val="en-US" w:eastAsia="zh-CN" w:bidi="ar-SA"/>
                    </w:rPr>
                  </w:pPr>
                  <w:r>
                    <w:rPr>
                      <w:rFonts w:hint="eastAsia" w:ascii="Times New Roman" w:hAnsi="Times New Roman" w:cs="Times New Roman"/>
                      <w:b w:val="0"/>
                      <w:bCs/>
                      <w:color w:val="000000"/>
                      <w:szCs w:val="21"/>
                      <w:highlight w:val="none"/>
                      <w:lang w:val="en-US" w:eastAsia="zh-CN"/>
                    </w:rPr>
                    <w:t>0.05</w:t>
                  </w:r>
                </w:p>
              </w:tc>
            </w:tr>
            <w:tr w14:paraId="29383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72" w:hRule="atLeast"/>
              </w:trPr>
              <w:tc>
                <w:tcPr>
                  <w:tcW w:w="567" w:type="dxa"/>
                  <w:tcBorders>
                    <w:left w:val="single" w:color="000000" w:sz="6" w:space="0"/>
                  </w:tcBorders>
                  <w:shd w:val="clear" w:color="auto" w:fill="auto"/>
                  <w:noWrap w:val="0"/>
                  <w:vAlign w:val="center"/>
                </w:tcPr>
                <w:p w14:paraId="15831927">
                  <w:pPr>
                    <w:shd w:val="clear" w:color="auto" w:fill="auto"/>
                    <w:bidi w:val="0"/>
                    <w:jc w:val="center"/>
                    <w:rPr>
                      <w:rFonts w:hint="default"/>
                      <w:color w:val="000000"/>
                      <w:highlight w:val="none"/>
                      <w:lang w:val="en-US" w:eastAsia="zh-CN"/>
                    </w:rPr>
                  </w:pPr>
                  <w:r>
                    <w:rPr>
                      <w:rFonts w:hint="eastAsia"/>
                      <w:color w:val="000000"/>
                      <w:highlight w:val="none"/>
                      <w:lang w:val="en-US" w:eastAsia="zh-CN"/>
                    </w:rPr>
                    <w:t>2</w:t>
                  </w:r>
                </w:p>
              </w:tc>
              <w:tc>
                <w:tcPr>
                  <w:tcW w:w="1518" w:type="dxa"/>
                  <w:vMerge w:val="continue"/>
                  <w:shd w:val="clear" w:color="auto" w:fill="auto"/>
                  <w:noWrap w:val="0"/>
                  <w:vAlign w:val="center"/>
                </w:tcPr>
                <w:p w14:paraId="4D995A55">
                  <w:pPr>
                    <w:shd w:val="clear" w:color="auto" w:fill="auto"/>
                    <w:bidi w:val="0"/>
                    <w:jc w:val="center"/>
                    <w:rPr>
                      <w:rFonts w:hint="eastAsia"/>
                      <w:color w:val="000000"/>
                      <w:highlight w:val="none"/>
                      <w:lang w:val="en-US" w:eastAsia="zh-CN"/>
                    </w:rPr>
                  </w:pPr>
                </w:p>
              </w:tc>
              <w:tc>
                <w:tcPr>
                  <w:tcW w:w="1518" w:type="dxa"/>
                  <w:shd w:val="clear" w:color="auto" w:fill="auto"/>
                  <w:noWrap w:val="0"/>
                  <w:vAlign w:val="top"/>
                </w:tcPr>
                <w:p w14:paraId="532D34AF">
                  <w:pPr>
                    <w:shd w:val="clear" w:color="auto" w:fill="auto"/>
                    <w:jc w:val="center"/>
                    <w:rPr>
                      <w:color w:val="000000"/>
                      <w:kern w:val="2"/>
                      <w:sz w:val="21"/>
                      <w:szCs w:val="21"/>
                      <w:highlight w:val="none"/>
                      <w:lang w:val="en-US" w:eastAsia="zh-CN" w:bidi="ar-SA"/>
                    </w:rPr>
                  </w:pPr>
                  <w:r>
                    <w:rPr>
                      <w:color w:val="000000"/>
                      <w:highlight w:val="none"/>
                    </w:rPr>
                    <w:t>化学需氧量</w:t>
                  </w:r>
                </w:p>
              </w:tc>
              <w:tc>
                <w:tcPr>
                  <w:tcW w:w="1518" w:type="dxa"/>
                  <w:shd w:val="clear" w:color="auto" w:fill="auto"/>
                  <w:noWrap w:val="0"/>
                  <w:vAlign w:val="center"/>
                </w:tcPr>
                <w:p w14:paraId="3C125CD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rPr>
                    <w:t>44</w:t>
                  </w:r>
                </w:p>
              </w:tc>
              <w:tc>
                <w:tcPr>
                  <w:tcW w:w="1518" w:type="dxa"/>
                  <w:shd w:val="clear" w:color="auto" w:fill="auto"/>
                  <w:noWrap w:val="0"/>
                  <w:vAlign w:val="center"/>
                </w:tcPr>
                <w:p w14:paraId="1E4DF9F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highlight w:val="none"/>
                      <w:lang w:val="en-US" w:eastAsia="zh-CN" w:bidi="ar-SA"/>
                    </w:rPr>
                  </w:pPr>
                  <w:r>
                    <w:rPr>
                      <w:rFonts w:hint="eastAsia" w:ascii="Times New Roman" w:hAnsi="Times New Roman" w:eastAsia="宋体" w:cs="Times New Roman"/>
                      <w:b w:val="0"/>
                      <w:bCs/>
                      <w:color w:val="000000"/>
                      <w:kern w:val="2"/>
                      <w:sz w:val="21"/>
                      <w:szCs w:val="21"/>
                      <w:highlight w:val="none"/>
                      <w:lang w:val="en-US" w:eastAsia="zh-CN" w:bidi="ar-SA"/>
                    </w:rPr>
                    <w:t>0.0005</w:t>
                  </w:r>
                </w:p>
              </w:tc>
              <w:tc>
                <w:tcPr>
                  <w:tcW w:w="1518" w:type="dxa"/>
                  <w:shd w:val="clear" w:color="auto" w:fill="auto"/>
                  <w:noWrap w:val="0"/>
                  <w:vAlign w:val="center"/>
                </w:tcPr>
                <w:p w14:paraId="7AEA89C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highlight w:val="none"/>
                      <w:lang w:val="en-US" w:eastAsia="zh-CN" w:bidi="ar-SA"/>
                    </w:rPr>
                  </w:pPr>
                  <w:r>
                    <w:rPr>
                      <w:rFonts w:hint="eastAsia" w:ascii="Times New Roman" w:hAnsi="Times New Roman" w:eastAsia="宋体" w:cs="Times New Roman"/>
                      <w:b w:val="0"/>
                      <w:bCs/>
                      <w:color w:val="000000"/>
                      <w:szCs w:val="21"/>
                      <w:highlight w:val="none"/>
                      <w:lang w:val="en-US" w:eastAsia="zh-CN"/>
                    </w:rPr>
                    <w:t>0.16</w:t>
                  </w:r>
                </w:p>
              </w:tc>
            </w:tr>
            <w:tr w14:paraId="19A89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72" w:hRule="atLeast"/>
              </w:trPr>
              <w:tc>
                <w:tcPr>
                  <w:tcW w:w="567" w:type="dxa"/>
                  <w:tcBorders>
                    <w:left w:val="single" w:color="000000" w:sz="6" w:space="0"/>
                  </w:tcBorders>
                  <w:shd w:val="clear" w:color="auto" w:fill="auto"/>
                  <w:noWrap w:val="0"/>
                  <w:vAlign w:val="center"/>
                </w:tcPr>
                <w:p w14:paraId="6B0D0446">
                  <w:pPr>
                    <w:shd w:val="clear" w:color="auto" w:fill="auto"/>
                    <w:bidi w:val="0"/>
                    <w:jc w:val="center"/>
                    <w:rPr>
                      <w:rFonts w:hint="default"/>
                      <w:color w:val="000000"/>
                      <w:highlight w:val="none"/>
                      <w:lang w:val="en-US" w:eastAsia="zh-CN"/>
                    </w:rPr>
                  </w:pPr>
                  <w:r>
                    <w:rPr>
                      <w:rFonts w:hint="eastAsia"/>
                      <w:color w:val="000000"/>
                      <w:highlight w:val="none"/>
                      <w:lang w:val="en-US" w:eastAsia="zh-CN"/>
                    </w:rPr>
                    <w:t>3</w:t>
                  </w:r>
                </w:p>
              </w:tc>
              <w:tc>
                <w:tcPr>
                  <w:tcW w:w="1518" w:type="dxa"/>
                  <w:vMerge w:val="continue"/>
                  <w:shd w:val="clear" w:color="auto" w:fill="auto"/>
                  <w:noWrap w:val="0"/>
                  <w:vAlign w:val="center"/>
                </w:tcPr>
                <w:p w14:paraId="56760A77">
                  <w:pPr>
                    <w:shd w:val="clear" w:color="auto" w:fill="auto"/>
                    <w:bidi w:val="0"/>
                    <w:jc w:val="center"/>
                    <w:rPr>
                      <w:rFonts w:hint="eastAsia"/>
                      <w:color w:val="000000"/>
                      <w:highlight w:val="none"/>
                      <w:lang w:val="en-US" w:eastAsia="zh-CN"/>
                    </w:rPr>
                  </w:pPr>
                </w:p>
              </w:tc>
              <w:tc>
                <w:tcPr>
                  <w:tcW w:w="1518" w:type="dxa"/>
                  <w:shd w:val="clear" w:color="auto" w:fill="auto"/>
                  <w:noWrap w:val="0"/>
                  <w:vAlign w:val="top"/>
                </w:tcPr>
                <w:p w14:paraId="628DF201">
                  <w:pPr>
                    <w:shd w:val="clear" w:color="auto" w:fill="auto"/>
                    <w:jc w:val="center"/>
                    <w:rPr>
                      <w:color w:val="000000"/>
                      <w:kern w:val="2"/>
                      <w:sz w:val="21"/>
                      <w:szCs w:val="21"/>
                      <w:highlight w:val="none"/>
                      <w:lang w:val="en-US" w:eastAsia="zh-CN" w:bidi="ar-SA"/>
                    </w:rPr>
                  </w:pPr>
                  <w:r>
                    <w:rPr>
                      <w:color w:val="000000"/>
                      <w:highlight w:val="none"/>
                    </w:rPr>
                    <w:t>五日生化需氧量</w:t>
                  </w:r>
                </w:p>
              </w:tc>
              <w:tc>
                <w:tcPr>
                  <w:tcW w:w="1518" w:type="dxa"/>
                  <w:shd w:val="clear" w:color="auto" w:fill="auto"/>
                  <w:noWrap w:val="0"/>
                  <w:vAlign w:val="center"/>
                </w:tcPr>
                <w:p w14:paraId="1873BF0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rPr>
                    <w:t>13.2</w:t>
                  </w:r>
                </w:p>
              </w:tc>
              <w:tc>
                <w:tcPr>
                  <w:tcW w:w="1518" w:type="dxa"/>
                  <w:shd w:val="clear" w:color="auto" w:fill="auto"/>
                  <w:noWrap w:val="0"/>
                  <w:vAlign w:val="center"/>
                </w:tcPr>
                <w:p w14:paraId="05C0859E">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0.0002</w:t>
                  </w:r>
                </w:p>
              </w:tc>
              <w:tc>
                <w:tcPr>
                  <w:tcW w:w="1518" w:type="dxa"/>
                  <w:shd w:val="clear" w:color="auto" w:fill="auto"/>
                  <w:noWrap w:val="0"/>
                  <w:vAlign w:val="center"/>
                </w:tcPr>
                <w:p w14:paraId="7476A8D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0.048</w:t>
                  </w:r>
                </w:p>
              </w:tc>
            </w:tr>
            <w:tr w14:paraId="4F3B5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72" w:hRule="atLeast"/>
              </w:trPr>
              <w:tc>
                <w:tcPr>
                  <w:tcW w:w="567" w:type="dxa"/>
                  <w:tcBorders>
                    <w:left w:val="single" w:color="000000" w:sz="6" w:space="0"/>
                  </w:tcBorders>
                  <w:shd w:val="clear" w:color="auto" w:fill="auto"/>
                  <w:noWrap w:val="0"/>
                  <w:vAlign w:val="center"/>
                </w:tcPr>
                <w:p w14:paraId="43B01C8D">
                  <w:pPr>
                    <w:shd w:val="clear" w:color="auto" w:fill="auto"/>
                    <w:bidi w:val="0"/>
                    <w:jc w:val="center"/>
                    <w:rPr>
                      <w:rFonts w:hint="default"/>
                      <w:color w:val="000000"/>
                      <w:highlight w:val="none"/>
                      <w:lang w:val="en-US" w:eastAsia="zh-CN"/>
                    </w:rPr>
                  </w:pPr>
                  <w:r>
                    <w:rPr>
                      <w:rFonts w:hint="eastAsia"/>
                      <w:color w:val="000000"/>
                      <w:highlight w:val="none"/>
                      <w:lang w:val="en-US" w:eastAsia="zh-CN"/>
                    </w:rPr>
                    <w:t>4</w:t>
                  </w:r>
                </w:p>
              </w:tc>
              <w:tc>
                <w:tcPr>
                  <w:tcW w:w="1518" w:type="dxa"/>
                  <w:vMerge w:val="continue"/>
                  <w:shd w:val="clear" w:color="auto" w:fill="auto"/>
                  <w:noWrap w:val="0"/>
                  <w:vAlign w:val="center"/>
                </w:tcPr>
                <w:p w14:paraId="5D4C1235">
                  <w:pPr>
                    <w:shd w:val="clear" w:color="auto" w:fill="auto"/>
                    <w:bidi w:val="0"/>
                    <w:jc w:val="center"/>
                    <w:rPr>
                      <w:rFonts w:hint="eastAsia"/>
                      <w:color w:val="000000"/>
                      <w:highlight w:val="none"/>
                      <w:lang w:val="en-US" w:eastAsia="zh-CN"/>
                    </w:rPr>
                  </w:pPr>
                </w:p>
              </w:tc>
              <w:tc>
                <w:tcPr>
                  <w:tcW w:w="1518" w:type="dxa"/>
                  <w:shd w:val="clear" w:color="auto" w:fill="auto"/>
                  <w:noWrap w:val="0"/>
                  <w:vAlign w:val="top"/>
                </w:tcPr>
                <w:p w14:paraId="32D49FBB">
                  <w:pPr>
                    <w:shd w:val="clear" w:color="auto" w:fill="auto"/>
                    <w:jc w:val="center"/>
                    <w:rPr>
                      <w:color w:val="000000"/>
                      <w:kern w:val="2"/>
                      <w:sz w:val="21"/>
                      <w:szCs w:val="21"/>
                      <w:highlight w:val="none"/>
                      <w:lang w:val="en-US" w:eastAsia="zh-CN" w:bidi="ar-SA"/>
                    </w:rPr>
                  </w:pPr>
                  <w:r>
                    <w:rPr>
                      <w:color w:val="000000"/>
                      <w:highlight w:val="none"/>
                    </w:rPr>
                    <w:t>氨氮</w:t>
                  </w:r>
                </w:p>
              </w:tc>
              <w:tc>
                <w:tcPr>
                  <w:tcW w:w="1518" w:type="dxa"/>
                  <w:shd w:val="clear" w:color="auto" w:fill="auto"/>
                  <w:noWrap w:val="0"/>
                  <w:vAlign w:val="center"/>
                </w:tcPr>
                <w:p w14:paraId="42AF540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rPr>
                    <w:t>4.78</w:t>
                  </w:r>
                </w:p>
              </w:tc>
              <w:tc>
                <w:tcPr>
                  <w:tcW w:w="1518" w:type="dxa"/>
                  <w:shd w:val="clear" w:color="auto" w:fill="auto"/>
                  <w:noWrap w:val="0"/>
                  <w:vAlign w:val="center"/>
                </w:tcPr>
                <w:p w14:paraId="38E6C78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0.0001</w:t>
                  </w:r>
                </w:p>
              </w:tc>
              <w:tc>
                <w:tcPr>
                  <w:tcW w:w="1518" w:type="dxa"/>
                  <w:shd w:val="clear" w:color="auto" w:fill="auto"/>
                  <w:noWrap w:val="0"/>
                  <w:vAlign w:val="center"/>
                </w:tcPr>
                <w:p w14:paraId="0CC420E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0.0172</w:t>
                  </w:r>
                </w:p>
              </w:tc>
            </w:tr>
            <w:tr w14:paraId="69F2C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72" w:hRule="atLeast"/>
              </w:trPr>
              <w:tc>
                <w:tcPr>
                  <w:tcW w:w="567" w:type="dxa"/>
                  <w:tcBorders>
                    <w:left w:val="single" w:color="000000" w:sz="6" w:space="0"/>
                  </w:tcBorders>
                  <w:shd w:val="clear" w:color="auto" w:fill="auto"/>
                  <w:noWrap w:val="0"/>
                  <w:vAlign w:val="center"/>
                </w:tcPr>
                <w:p w14:paraId="4BA4D4C0">
                  <w:pPr>
                    <w:shd w:val="clear" w:color="auto" w:fill="auto"/>
                    <w:bidi w:val="0"/>
                    <w:jc w:val="center"/>
                    <w:rPr>
                      <w:rFonts w:hint="default"/>
                      <w:color w:val="000000"/>
                      <w:highlight w:val="none"/>
                      <w:lang w:val="en-US" w:eastAsia="zh-CN"/>
                    </w:rPr>
                  </w:pPr>
                  <w:r>
                    <w:rPr>
                      <w:rFonts w:hint="eastAsia"/>
                      <w:color w:val="000000"/>
                      <w:highlight w:val="none"/>
                      <w:lang w:val="en-US" w:eastAsia="zh-CN"/>
                    </w:rPr>
                    <w:t>5</w:t>
                  </w:r>
                </w:p>
              </w:tc>
              <w:tc>
                <w:tcPr>
                  <w:tcW w:w="1518" w:type="dxa"/>
                  <w:vMerge w:val="continue"/>
                  <w:shd w:val="clear" w:color="auto" w:fill="auto"/>
                  <w:noWrap w:val="0"/>
                  <w:vAlign w:val="center"/>
                </w:tcPr>
                <w:p w14:paraId="6E326BB8">
                  <w:pPr>
                    <w:shd w:val="clear" w:color="auto" w:fill="auto"/>
                    <w:bidi w:val="0"/>
                    <w:jc w:val="center"/>
                    <w:rPr>
                      <w:rFonts w:hint="eastAsia"/>
                      <w:color w:val="000000"/>
                      <w:highlight w:val="none"/>
                      <w:lang w:val="en-US" w:eastAsia="zh-CN"/>
                    </w:rPr>
                  </w:pPr>
                </w:p>
              </w:tc>
              <w:tc>
                <w:tcPr>
                  <w:tcW w:w="1518" w:type="dxa"/>
                  <w:shd w:val="clear" w:color="auto" w:fill="auto"/>
                  <w:noWrap w:val="0"/>
                  <w:vAlign w:val="top"/>
                </w:tcPr>
                <w:p w14:paraId="42C7CC9A">
                  <w:pPr>
                    <w:shd w:val="clear" w:color="auto" w:fill="auto"/>
                    <w:jc w:val="center"/>
                    <w:rPr>
                      <w:color w:val="000000"/>
                      <w:kern w:val="2"/>
                      <w:sz w:val="21"/>
                      <w:szCs w:val="21"/>
                      <w:highlight w:val="none"/>
                      <w:lang w:val="en-US" w:eastAsia="zh-CN" w:bidi="ar-SA"/>
                    </w:rPr>
                  </w:pPr>
                  <w:r>
                    <w:rPr>
                      <w:color w:val="000000"/>
                      <w:highlight w:val="none"/>
                    </w:rPr>
                    <w:t>总氮</w:t>
                  </w:r>
                </w:p>
              </w:tc>
              <w:tc>
                <w:tcPr>
                  <w:tcW w:w="1518" w:type="dxa"/>
                  <w:shd w:val="clear" w:color="auto" w:fill="auto"/>
                  <w:noWrap w:val="0"/>
                  <w:vAlign w:val="center"/>
                </w:tcPr>
                <w:p w14:paraId="78617BE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rPr>
                    <w:t>14.7</w:t>
                  </w:r>
                </w:p>
              </w:tc>
              <w:tc>
                <w:tcPr>
                  <w:tcW w:w="1518" w:type="dxa"/>
                  <w:shd w:val="clear" w:color="auto" w:fill="auto"/>
                  <w:noWrap w:val="0"/>
                  <w:vAlign w:val="center"/>
                </w:tcPr>
                <w:p w14:paraId="7B8D4D3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0.0002</w:t>
                  </w:r>
                </w:p>
              </w:tc>
              <w:tc>
                <w:tcPr>
                  <w:tcW w:w="1518" w:type="dxa"/>
                  <w:shd w:val="clear" w:color="auto" w:fill="auto"/>
                  <w:noWrap w:val="0"/>
                  <w:vAlign w:val="center"/>
                </w:tcPr>
                <w:p w14:paraId="1C521B4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0.053</w:t>
                  </w:r>
                </w:p>
              </w:tc>
            </w:tr>
            <w:tr w14:paraId="33EE6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72" w:hRule="atLeast"/>
              </w:trPr>
              <w:tc>
                <w:tcPr>
                  <w:tcW w:w="567" w:type="dxa"/>
                  <w:tcBorders>
                    <w:left w:val="single" w:color="000000" w:sz="6" w:space="0"/>
                  </w:tcBorders>
                  <w:shd w:val="clear" w:color="auto" w:fill="auto"/>
                  <w:noWrap w:val="0"/>
                  <w:vAlign w:val="center"/>
                </w:tcPr>
                <w:p w14:paraId="003CF54D">
                  <w:pPr>
                    <w:shd w:val="clear" w:color="auto" w:fill="auto"/>
                    <w:bidi w:val="0"/>
                    <w:jc w:val="center"/>
                    <w:rPr>
                      <w:rFonts w:hint="default"/>
                      <w:color w:val="000000"/>
                      <w:highlight w:val="none"/>
                      <w:lang w:val="en-US" w:eastAsia="zh-CN"/>
                    </w:rPr>
                  </w:pPr>
                  <w:r>
                    <w:rPr>
                      <w:rFonts w:hint="eastAsia"/>
                      <w:color w:val="000000"/>
                      <w:highlight w:val="none"/>
                      <w:lang w:val="en-US" w:eastAsia="zh-CN"/>
                    </w:rPr>
                    <w:t>6</w:t>
                  </w:r>
                </w:p>
              </w:tc>
              <w:tc>
                <w:tcPr>
                  <w:tcW w:w="1518" w:type="dxa"/>
                  <w:vMerge w:val="continue"/>
                  <w:shd w:val="clear" w:color="auto" w:fill="auto"/>
                  <w:noWrap w:val="0"/>
                  <w:vAlign w:val="center"/>
                </w:tcPr>
                <w:p w14:paraId="32BEBAD0">
                  <w:pPr>
                    <w:shd w:val="clear" w:color="auto" w:fill="auto"/>
                    <w:bidi w:val="0"/>
                    <w:jc w:val="center"/>
                    <w:rPr>
                      <w:rFonts w:hint="eastAsia"/>
                      <w:color w:val="000000"/>
                      <w:highlight w:val="none"/>
                      <w:lang w:val="en-US" w:eastAsia="zh-CN"/>
                    </w:rPr>
                  </w:pPr>
                </w:p>
              </w:tc>
              <w:tc>
                <w:tcPr>
                  <w:tcW w:w="1518" w:type="dxa"/>
                  <w:shd w:val="clear" w:color="auto" w:fill="auto"/>
                  <w:noWrap w:val="0"/>
                  <w:vAlign w:val="top"/>
                </w:tcPr>
                <w:p w14:paraId="366DCE48">
                  <w:pPr>
                    <w:shd w:val="clear" w:color="auto" w:fill="auto"/>
                    <w:jc w:val="center"/>
                    <w:rPr>
                      <w:color w:val="000000"/>
                      <w:kern w:val="2"/>
                      <w:sz w:val="21"/>
                      <w:szCs w:val="21"/>
                      <w:highlight w:val="none"/>
                      <w:lang w:val="en-US" w:eastAsia="zh-CN" w:bidi="ar-SA"/>
                    </w:rPr>
                  </w:pPr>
                  <w:r>
                    <w:rPr>
                      <w:color w:val="000000"/>
                      <w:highlight w:val="none"/>
                    </w:rPr>
                    <w:t>总磷</w:t>
                  </w:r>
                </w:p>
              </w:tc>
              <w:tc>
                <w:tcPr>
                  <w:tcW w:w="1518" w:type="dxa"/>
                  <w:shd w:val="clear" w:color="auto" w:fill="auto"/>
                  <w:noWrap w:val="0"/>
                  <w:vAlign w:val="center"/>
                </w:tcPr>
                <w:p w14:paraId="308B6D2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highlight w:val="none"/>
                      <w:lang w:val="en-US"/>
                    </w:rPr>
                    <w:t>0.46</w:t>
                  </w:r>
                </w:p>
              </w:tc>
              <w:tc>
                <w:tcPr>
                  <w:tcW w:w="1518" w:type="dxa"/>
                  <w:shd w:val="clear" w:color="auto" w:fill="auto"/>
                  <w:noWrap w:val="0"/>
                  <w:vAlign w:val="center"/>
                </w:tcPr>
                <w:p w14:paraId="78298B1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0.00001</w:t>
                  </w:r>
                </w:p>
              </w:tc>
              <w:tc>
                <w:tcPr>
                  <w:tcW w:w="1518" w:type="dxa"/>
                  <w:shd w:val="clear" w:color="auto" w:fill="auto"/>
                  <w:noWrap w:val="0"/>
                  <w:vAlign w:val="center"/>
                </w:tcPr>
                <w:p w14:paraId="32108B9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0.0017</w:t>
                  </w:r>
                </w:p>
              </w:tc>
            </w:tr>
            <w:tr w14:paraId="535EB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73" w:hRule="atLeast"/>
              </w:trPr>
              <w:tc>
                <w:tcPr>
                  <w:tcW w:w="2085" w:type="dxa"/>
                  <w:gridSpan w:val="2"/>
                  <w:vMerge w:val="restart"/>
                  <w:tcBorders>
                    <w:left w:val="single" w:color="000000" w:sz="6" w:space="0"/>
                  </w:tcBorders>
                  <w:shd w:val="clear" w:color="auto" w:fill="auto"/>
                  <w:noWrap w:val="0"/>
                  <w:vAlign w:val="center"/>
                </w:tcPr>
                <w:p w14:paraId="7522ECE4">
                  <w:pPr>
                    <w:shd w:val="clear" w:color="auto" w:fill="auto"/>
                    <w:bidi w:val="0"/>
                    <w:jc w:val="center"/>
                    <w:rPr>
                      <w:rFonts w:hint="default" w:eastAsia="宋体"/>
                      <w:color w:val="000000"/>
                      <w:highlight w:val="none"/>
                      <w:lang w:val="en-US" w:eastAsia="zh-CN"/>
                    </w:rPr>
                  </w:pPr>
                  <w:r>
                    <w:rPr>
                      <w:color w:val="000000"/>
                      <w:highlight w:val="none"/>
                    </w:rPr>
                    <w:t>全厂合计</w:t>
                  </w:r>
                </w:p>
              </w:tc>
              <w:tc>
                <w:tcPr>
                  <w:tcW w:w="4554" w:type="dxa"/>
                  <w:gridSpan w:val="3"/>
                  <w:shd w:val="clear" w:color="auto" w:fill="auto"/>
                  <w:noWrap w:val="0"/>
                  <w:vAlign w:val="top"/>
                </w:tcPr>
                <w:p w14:paraId="2E195CAA">
                  <w:pPr>
                    <w:shd w:val="clear" w:color="auto" w:fill="auto"/>
                    <w:jc w:val="center"/>
                    <w:rPr>
                      <w:rFonts w:ascii="Arial"/>
                      <w:color w:val="000000"/>
                      <w:kern w:val="2"/>
                      <w:sz w:val="21"/>
                      <w:szCs w:val="21"/>
                      <w:highlight w:val="none"/>
                      <w:lang w:val="en-US" w:eastAsia="zh-CN" w:bidi="ar-SA"/>
                    </w:rPr>
                  </w:pPr>
                  <w:r>
                    <w:rPr>
                      <w:color w:val="000000"/>
                      <w:highlight w:val="none"/>
                    </w:rPr>
                    <w:t>悬浮物</w:t>
                  </w:r>
                </w:p>
              </w:tc>
              <w:tc>
                <w:tcPr>
                  <w:tcW w:w="1518" w:type="dxa"/>
                  <w:shd w:val="clear" w:color="auto" w:fill="auto"/>
                  <w:noWrap w:val="0"/>
                  <w:vAlign w:val="center"/>
                </w:tcPr>
                <w:p w14:paraId="67C7D1F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color w:val="000000"/>
                      <w:kern w:val="2"/>
                      <w:sz w:val="21"/>
                      <w:szCs w:val="21"/>
                      <w:highlight w:val="none"/>
                      <w:lang w:val="en-US" w:eastAsia="zh-CN" w:bidi="ar-SA"/>
                    </w:rPr>
                  </w:pPr>
                  <w:r>
                    <w:rPr>
                      <w:rFonts w:hint="eastAsia" w:ascii="Times New Roman" w:hAnsi="Times New Roman" w:cs="Times New Roman"/>
                      <w:b w:val="0"/>
                      <w:bCs/>
                      <w:color w:val="000000"/>
                      <w:szCs w:val="21"/>
                      <w:highlight w:val="none"/>
                      <w:lang w:val="en-US" w:eastAsia="zh-CN"/>
                    </w:rPr>
                    <w:t>0.05</w:t>
                  </w:r>
                </w:p>
              </w:tc>
            </w:tr>
            <w:tr w14:paraId="0E813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72" w:hRule="atLeast"/>
              </w:trPr>
              <w:tc>
                <w:tcPr>
                  <w:tcW w:w="2085" w:type="dxa"/>
                  <w:gridSpan w:val="2"/>
                  <w:vMerge w:val="continue"/>
                  <w:tcBorders>
                    <w:left w:val="single" w:color="000000" w:sz="6" w:space="0"/>
                  </w:tcBorders>
                  <w:shd w:val="clear" w:color="auto" w:fill="auto"/>
                  <w:noWrap w:val="0"/>
                  <w:vAlign w:val="center"/>
                </w:tcPr>
                <w:p w14:paraId="3A81E3DD">
                  <w:pPr>
                    <w:shd w:val="clear" w:color="auto" w:fill="auto"/>
                    <w:bidi w:val="0"/>
                    <w:jc w:val="center"/>
                    <w:rPr>
                      <w:color w:val="000000"/>
                      <w:highlight w:val="none"/>
                    </w:rPr>
                  </w:pPr>
                </w:p>
              </w:tc>
              <w:tc>
                <w:tcPr>
                  <w:tcW w:w="4554" w:type="dxa"/>
                  <w:gridSpan w:val="3"/>
                  <w:shd w:val="clear" w:color="auto" w:fill="auto"/>
                  <w:noWrap w:val="0"/>
                  <w:vAlign w:val="top"/>
                </w:tcPr>
                <w:p w14:paraId="65588A2F">
                  <w:pPr>
                    <w:shd w:val="clear" w:color="auto" w:fill="auto"/>
                    <w:jc w:val="center"/>
                    <w:rPr>
                      <w:color w:val="000000"/>
                      <w:kern w:val="2"/>
                      <w:sz w:val="21"/>
                      <w:szCs w:val="21"/>
                      <w:highlight w:val="none"/>
                      <w:lang w:val="en-US" w:eastAsia="zh-CN" w:bidi="ar-SA"/>
                    </w:rPr>
                  </w:pPr>
                  <w:r>
                    <w:rPr>
                      <w:color w:val="000000"/>
                      <w:highlight w:val="none"/>
                    </w:rPr>
                    <w:t>化学需氧量</w:t>
                  </w:r>
                </w:p>
              </w:tc>
              <w:tc>
                <w:tcPr>
                  <w:tcW w:w="1518" w:type="dxa"/>
                  <w:shd w:val="clear" w:color="auto" w:fill="auto"/>
                  <w:noWrap w:val="0"/>
                  <w:vAlign w:val="center"/>
                </w:tcPr>
                <w:p w14:paraId="1D75EB2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color w:val="000000"/>
                      <w:kern w:val="2"/>
                      <w:sz w:val="21"/>
                      <w:szCs w:val="21"/>
                      <w:highlight w:val="none"/>
                      <w:lang w:val="en-US" w:eastAsia="zh-CN" w:bidi="ar-SA"/>
                    </w:rPr>
                  </w:pPr>
                  <w:r>
                    <w:rPr>
                      <w:rFonts w:hint="eastAsia" w:ascii="Times New Roman" w:hAnsi="Times New Roman" w:eastAsia="宋体" w:cs="Times New Roman"/>
                      <w:b w:val="0"/>
                      <w:bCs/>
                      <w:color w:val="000000"/>
                      <w:szCs w:val="21"/>
                      <w:highlight w:val="none"/>
                      <w:lang w:val="en-US" w:eastAsia="zh-CN"/>
                    </w:rPr>
                    <w:t>0.16</w:t>
                  </w:r>
                </w:p>
              </w:tc>
            </w:tr>
            <w:tr w14:paraId="5BD5E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88" w:hRule="atLeast"/>
              </w:trPr>
              <w:tc>
                <w:tcPr>
                  <w:tcW w:w="2085" w:type="dxa"/>
                  <w:gridSpan w:val="2"/>
                  <w:vMerge w:val="continue"/>
                  <w:tcBorders>
                    <w:left w:val="single" w:color="000000" w:sz="6" w:space="0"/>
                  </w:tcBorders>
                  <w:shd w:val="clear" w:color="auto" w:fill="auto"/>
                  <w:noWrap w:val="0"/>
                  <w:vAlign w:val="center"/>
                </w:tcPr>
                <w:p w14:paraId="5A9638C0">
                  <w:pPr>
                    <w:shd w:val="clear" w:color="auto" w:fill="auto"/>
                    <w:bidi w:val="0"/>
                    <w:jc w:val="center"/>
                    <w:rPr>
                      <w:color w:val="000000"/>
                      <w:highlight w:val="none"/>
                    </w:rPr>
                  </w:pPr>
                </w:p>
              </w:tc>
              <w:tc>
                <w:tcPr>
                  <w:tcW w:w="4554" w:type="dxa"/>
                  <w:gridSpan w:val="3"/>
                  <w:shd w:val="clear" w:color="auto" w:fill="auto"/>
                  <w:noWrap w:val="0"/>
                  <w:vAlign w:val="top"/>
                </w:tcPr>
                <w:p w14:paraId="3302F6C7">
                  <w:pPr>
                    <w:shd w:val="clear" w:color="auto" w:fill="auto"/>
                    <w:jc w:val="center"/>
                    <w:rPr>
                      <w:color w:val="000000"/>
                      <w:kern w:val="2"/>
                      <w:sz w:val="21"/>
                      <w:szCs w:val="21"/>
                      <w:highlight w:val="none"/>
                      <w:lang w:val="en-US" w:eastAsia="zh-CN" w:bidi="ar-SA"/>
                    </w:rPr>
                  </w:pPr>
                  <w:r>
                    <w:rPr>
                      <w:color w:val="000000"/>
                      <w:highlight w:val="none"/>
                    </w:rPr>
                    <w:t>五日生化需氧量</w:t>
                  </w:r>
                </w:p>
              </w:tc>
              <w:tc>
                <w:tcPr>
                  <w:tcW w:w="1518" w:type="dxa"/>
                  <w:shd w:val="clear" w:color="auto" w:fill="auto"/>
                  <w:noWrap w:val="0"/>
                  <w:vAlign w:val="center"/>
                </w:tcPr>
                <w:p w14:paraId="4AC2A9AF">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0.048</w:t>
                  </w:r>
                </w:p>
              </w:tc>
            </w:tr>
            <w:tr w14:paraId="75F84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311" w:hRule="atLeast"/>
              </w:trPr>
              <w:tc>
                <w:tcPr>
                  <w:tcW w:w="2085" w:type="dxa"/>
                  <w:gridSpan w:val="2"/>
                  <w:vMerge w:val="continue"/>
                  <w:tcBorders>
                    <w:left w:val="single" w:color="000000" w:sz="6" w:space="0"/>
                  </w:tcBorders>
                  <w:shd w:val="clear" w:color="auto" w:fill="auto"/>
                  <w:noWrap w:val="0"/>
                  <w:vAlign w:val="center"/>
                </w:tcPr>
                <w:p w14:paraId="76D1354F">
                  <w:pPr>
                    <w:shd w:val="clear" w:color="auto" w:fill="auto"/>
                    <w:bidi w:val="0"/>
                    <w:jc w:val="center"/>
                    <w:rPr>
                      <w:color w:val="000000"/>
                      <w:highlight w:val="none"/>
                    </w:rPr>
                  </w:pPr>
                </w:p>
              </w:tc>
              <w:tc>
                <w:tcPr>
                  <w:tcW w:w="4554" w:type="dxa"/>
                  <w:gridSpan w:val="3"/>
                  <w:shd w:val="clear" w:color="auto" w:fill="auto"/>
                  <w:noWrap w:val="0"/>
                  <w:vAlign w:val="top"/>
                </w:tcPr>
                <w:p w14:paraId="284E9DEB">
                  <w:pPr>
                    <w:shd w:val="clear" w:color="auto" w:fill="auto"/>
                    <w:jc w:val="center"/>
                    <w:rPr>
                      <w:color w:val="000000"/>
                      <w:kern w:val="2"/>
                      <w:sz w:val="21"/>
                      <w:szCs w:val="21"/>
                      <w:highlight w:val="none"/>
                      <w:lang w:val="en-US" w:eastAsia="zh-CN" w:bidi="ar-SA"/>
                    </w:rPr>
                  </w:pPr>
                  <w:r>
                    <w:rPr>
                      <w:color w:val="000000"/>
                      <w:highlight w:val="none"/>
                    </w:rPr>
                    <w:t>氨氮</w:t>
                  </w:r>
                </w:p>
              </w:tc>
              <w:tc>
                <w:tcPr>
                  <w:tcW w:w="1518" w:type="dxa"/>
                  <w:shd w:val="clear" w:color="auto" w:fill="auto"/>
                  <w:noWrap w:val="0"/>
                  <w:vAlign w:val="center"/>
                </w:tcPr>
                <w:p w14:paraId="23A0182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0.0172</w:t>
                  </w:r>
                </w:p>
              </w:tc>
            </w:tr>
            <w:tr w14:paraId="37E5F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88" w:hRule="atLeast"/>
              </w:trPr>
              <w:tc>
                <w:tcPr>
                  <w:tcW w:w="2085" w:type="dxa"/>
                  <w:gridSpan w:val="2"/>
                  <w:vMerge w:val="continue"/>
                  <w:tcBorders>
                    <w:left w:val="single" w:color="000000" w:sz="6" w:space="0"/>
                  </w:tcBorders>
                  <w:shd w:val="clear" w:color="auto" w:fill="auto"/>
                  <w:noWrap w:val="0"/>
                  <w:vAlign w:val="center"/>
                </w:tcPr>
                <w:p w14:paraId="77329E64">
                  <w:pPr>
                    <w:shd w:val="clear" w:color="auto" w:fill="auto"/>
                    <w:bidi w:val="0"/>
                    <w:jc w:val="center"/>
                    <w:rPr>
                      <w:color w:val="000000"/>
                      <w:highlight w:val="none"/>
                    </w:rPr>
                  </w:pPr>
                </w:p>
              </w:tc>
              <w:tc>
                <w:tcPr>
                  <w:tcW w:w="4554" w:type="dxa"/>
                  <w:gridSpan w:val="3"/>
                  <w:shd w:val="clear" w:color="auto" w:fill="auto"/>
                  <w:noWrap w:val="0"/>
                  <w:vAlign w:val="top"/>
                </w:tcPr>
                <w:p w14:paraId="2C40FB3E">
                  <w:pPr>
                    <w:shd w:val="clear" w:color="auto" w:fill="auto"/>
                    <w:jc w:val="center"/>
                    <w:rPr>
                      <w:color w:val="000000"/>
                      <w:kern w:val="2"/>
                      <w:sz w:val="21"/>
                      <w:szCs w:val="21"/>
                      <w:highlight w:val="none"/>
                      <w:lang w:val="en-US" w:eastAsia="zh-CN" w:bidi="ar-SA"/>
                    </w:rPr>
                  </w:pPr>
                  <w:r>
                    <w:rPr>
                      <w:color w:val="000000"/>
                      <w:highlight w:val="none"/>
                    </w:rPr>
                    <w:t>总氮</w:t>
                  </w:r>
                </w:p>
              </w:tc>
              <w:tc>
                <w:tcPr>
                  <w:tcW w:w="1518" w:type="dxa"/>
                  <w:shd w:val="clear" w:color="auto" w:fill="auto"/>
                  <w:noWrap w:val="0"/>
                  <w:vAlign w:val="center"/>
                </w:tcPr>
                <w:p w14:paraId="08D53785">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0.053</w:t>
                  </w:r>
                </w:p>
              </w:tc>
            </w:tr>
            <w:tr w14:paraId="4929A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88" w:hRule="atLeast"/>
              </w:trPr>
              <w:tc>
                <w:tcPr>
                  <w:tcW w:w="2085" w:type="dxa"/>
                  <w:gridSpan w:val="2"/>
                  <w:vMerge w:val="continue"/>
                  <w:tcBorders>
                    <w:left w:val="single" w:color="000000" w:sz="6" w:space="0"/>
                  </w:tcBorders>
                  <w:shd w:val="clear" w:color="auto" w:fill="auto"/>
                  <w:noWrap w:val="0"/>
                  <w:vAlign w:val="center"/>
                </w:tcPr>
                <w:p w14:paraId="13AF3316">
                  <w:pPr>
                    <w:shd w:val="clear" w:color="auto" w:fill="auto"/>
                    <w:bidi w:val="0"/>
                    <w:jc w:val="center"/>
                    <w:rPr>
                      <w:color w:val="000000"/>
                      <w:highlight w:val="none"/>
                    </w:rPr>
                  </w:pPr>
                </w:p>
              </w:tc>
              <w:tc>
                <w:tcPr>
                  <w:tcW w:w="4554" w:type="dxa"/>
                  <w:gridSpan w:val="3"/>
                  <w:shd w:val="clear" w:color="auto" w:fill="auto"/>
                  <w:noWrap w:val="0"/>
                  <w:vAlign w:val="top"/>
                </w:tcPr>
                <w:p w14:paraId="15E17C86">
                  <w:pPr>
                    <w:shd w:val="clear" w:color="auto" w:fill="auto"/>
                    <w:jc w:val="center"/>
                    <w:rPr>
                      <w:color w:val="000000"/>
                      <w:kern w:val="2"/>
                      <w:sz w:val="21"/>
                      <w:szCs w:val="21"/>
                      <w:highlight w:val="none"/>
                      <w:lang w:val="en-US" w:eastAsia="zh-CN" w:bidi="ar-SA"/>
                    </w:rPr>
                  </w:pPr>
                  <w:r>
                    <w:rPr>
                      <w:color w:val="000000"/>
                      <w:highlight w:val="none"/>
                    </w:rPr>
                    <w:t>总磷</w:t>
                  </w:r>
                </w:p>
              </w:tc>
              <w:tc>
                <w:tcPr>
                  <w:tcW w:w="1518" w:type="dxa"/>
                  <w:shd w:val="clear" w:color="auto" w:fill="auto"/>
                  <w:noWrap w:val="0"/>
                  <w:vAlign w:val="center"/>
                </w:tcPr>
                <w:p w14:paraId="649263B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0.0017</w:t>
                  </w:r>
                </w:p>
              </w:tc>
            </w:tr>
          </w:tbl>
          <w:p w14:paraId="50ADA944">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i w:val="0"/>
                <w:iCs w:val="0"/>
                <w:caps w:val="0"/>
                <w:color w:val="000000"/>
                <w:spacing w:val="0"/>
                <w:sz w:val="21"/>
                <w:szCs w:val="21"/>
                <w:highlight w:val="none"/>
                <w:lang w:val="en-US" w:eastAsia="zh-CN"/>
              </w:rPr>
            </w:pPr>
            <w:r>
              <w:rPr>
                <w:rFonts w:hint="eastAsia" w:cs="Times New Roman"/>
                <w:b/>
                <w:bCs/>
                <w:color w:val="000000"/>
                <w:sz w:val="21"/>
                <w:szCs w:val="21"/>
                <w:highlight w:val="none"/>
                <w:lang w:val="en-US" w:eastAsia="zh-CN"/>
              </w:rPr>
              <w:t>3.</w:t>
            </w:r>
            <w:r>
              <w:rPr>
                <w:rFonts w:hint="eastAsia" w:ascii="Times New Roman" w:hAnsi="Times New Roman" w:eastAsia="宋体" w:cs="Times New Roman"/>
                <w:b/>
                <w:bCs/>
                <w:color w:val="000000"/>
                <w:sz w:val="21"/>
                <w:szCs w:val="21"/>
                <w:highlight w:val="none"/>
              </w:rPr>
              <w:t>废水</w:t>
            </w:r>
            <w:r>
              <w:rPr>
                <w:rFonts w:hint="eastAsia" w:ascii="Times New Roman" w:hAnsi="Times New Roman" w:eastAsia="宋体" w:cs="Times New Roman"/>
                <w:b/>
                <w:bCs/>
                <w:color w:val="000000"/>
                <w:sz w:val="21"/>
                <w:szCs w:val="21"/>
                <w:highlight w:val="none"/>
                <w:lang w:val="en-US" w:eastAsia="zh-CN"/>
              </w:rPr>
              <w:t>处理措施</w:t>
            </w:r>
            <w:r>
              <w:rPr>
                <w:rFonts w:hint="eastAsia" w:ascii="Times New Roman" w:hAnsi="Times New Roman" w:eastAsia="宋体" w:cs="Times New Roman"/>
                <w:b/>
                <w:bCs/>
                <w:color w:val="000000"/>
                <w:sz w:val="21"/>
                <w:szCs w:val="21"/>
                <w:highlight w:val="none"/>
              </w:rPr>
              <w:t>可行性分析</w:t>
            </w:r>
          </w:p>
          <w:p w14:paraId="76C201E7">
            <w:pPr>
              <w:widowControl/>
              <w:shd w:val="clear" w:color="auto" w:fill="auto"/>
              <w:spacing w:line="360" w:lineRule="auto"/>
              <w:ind w:firstLine="420" w:firstLineChars="200"/>
              <w:jc w:val="both"/>
              <w:rPr>
                <w:rFonts w:hint="default" w:ascii="Times New Roman" w:hAnsi="Times New Roman" w:eastAsia="宋体" w:cs="Times New Roman"/>
                <w:i w:val="0"/>
                <w:iCs w:val="0"/>
                <w:caps w:val="0"/>
                <w:color w:val="000000"/>
                <w:spacing w:val="0"/>
                <w:sz w:val="21"/>
                <w:szCs w:val="21"/>
                <w:highlight w:val="none"/>
                <w:lang w:val="en-US" w:eastAsia="zh-CN"/>
              </w:rPr>
            </w:pPr>
            <w:r>
              <w:rPr>
                <w:rFonts w:hint="eastAsia" w:ascii="Times New Roman" w:hAnsi="Times New Roman" w:eastAsia="宋体" w:cs="Times New Roman"/>
                <w:i w:val="0"/>
                <w:iCs w:val="0"/>
                <w:caps w:val="0"/>
                <w:color w:val="000000"/>
                <w:spacing w:val="0"/>
                <w:sz w:val="21"/>
                <w:szCs w:val="21"/>
                <w:highlight w:val="none"/>
                <w:shd w:val="clear" w:color="auto" w:fill="FFFFFF"/>
                <w:lang w:val="en-US" w:eastAsia="zh-CN"/>
              </w:rPr>
              <w:t>（1）污水处理设施可行性</w:t>
            </w:r>
          </w:p>
          <w:p w14:paraId="728C27BF">
            <w:pPr>
              <w:widowControl/>
              <w:shd w:val="clear" w:color="auto" w:fill="auto"/>
              <w:spacing w:line="360" w:lineRule="auto"/>
              <w:ind w:firstLine="420" w:firstLineChars="200"/>
              <w:jc w:val="both"/>
              <w:rPr>
                <w:rFonts w:hint="default" w:ascii="Times New Roman" w:hAnsi="Times New Roman" w:eastAsia="宋体" w:cs="Times New Roman"/>
                <w:i w:val="0"/>
                <w:iCs w:val="0"/>
                <w:caps w:val="0"/>
                <w:color w:val="000000"/>
                <w:spacing w:val="0"/>
                <w:sz w:val="21"/>
                <w:szCs w:val="21"/>
                <w:highlight w:val="none"/>
                <w:lang w:val="en-US" w:eastAsia="zh-CN"/>
              </w:rPr>
            </w:pPr>
            <w:r>
              <w:rPr>
                <w:rFonts w:hint="eastAsia" w:ascii="Times New Roman" w:hAnsi="Times New Roman" w:eastAsia="宋体" w:cs="Times New Roman"/>
                <w:i w:val="0"/>
                <w:iCs w:val="0"/>
                <w:caps w:val="0"/>
                <w:color w:val="000000"/>
                <w:spacing w:val="0"/>
                <w:sz w:val="21"/>
                <w:szCs w:val="21"/>
                <w:highlight w:val="none"/>
                <w:shd w:val="clear" w:color="auto" w:fill="FFFFFF"/>
                <w:lang w:val="en-US" w:eastAsia="zh-CN"/>
              </w:rPr>
              <w:t>①污水处理工艺可行性</w:t>
            </w:r>
            <w:r>
              <w:rPr>
                <w:rFonts w:hint="eastAsia" w:cs="Times New Roman"/>
                <w:i w:val="0"/>
                <w:iCs w:val="0"/>
                <w:caps w:val="0"/>
                <w:color w:val="000000"/>
                <w:spacing w:val="0"/>
                <w:sz w:val="21"/>
                <w:szCs w:val="21"/>
                <w:highlight w:val="none"/>
                <w:shd w:val="clear" w:color="auto" w:fill="FFFFFF"/>
                <w:lang w:val="en-US" w:eastAsia="zh-CN"/>
              </w:rPr>
              <w:t>分析</w:t>
            </w:r>
          </w:p>
          <w:p w14:paraId="2E5FB06E">
            <w:pPr>
              <w:widowControl/>
              <w:shd w:val="clear" w:color="auto" w:fill="auto"/>
              <w:spacing w:line="360" w:lineRule="auto"/>
              <w:ind w:firstLine="420" w:firstLineChars="200"/>
              <w:jc w:val="both"/>
              <w:rPr>
                <w:rFonts w:hint="default" w:ascii="Times New Roman" w:hAnsi="Times New Roman" w:eastAsia="宋体" w:cs="Times New Roman"/>
                <w:i w:val="0"/>
                <w:iCs w:val="0"/>
                <w:caps w:val="0"/>
                <w:color w:val="000000"/>
                <w:spacing w:val="0"/>
                <w:sz w:val="21"/>
                <w:szCs w:val="21"/>
                <w:highlight w:val="none"/>
                <w:lang w:val="en-US" w:eastAsia="zh-CN"/>
              </w:rPr>
            </w:pPr>
            <w:r>
              <w:rPr>
                <w:rFonts w:hint="default" w:ascii="Times New Roman" w:hAnsi="Times New Roman" w:eastAsia="宋体" w:cs="Times New Roman"/>
                <w:i w:val="0"/>
                <w:iCs w:val="0"/>
                <w:caps w:val="0"/>
                <w:color w:val="000000"/>
                <w:spacing w:val="0"/>
                <w:sz w:val="21"/>
                <w:szCs w:val="21"/>
                <w:highlight w:val="none"/>
                <w:shd w:val="clear" w:color="auto" w:fill="FFFFFF"/>
                <w:lang w:val="en-US" w:eastAsia="zh-CN"/>
              </w:rPr>
              <w:t>本项目</w:t>
            </w:r>
            <w:r>
              <w:rPr>
                <w:rFonts w:hint="eastAsia" w:ascii="Times New Roman" w:hAnsi="Times New Roman" w:eastAsia="宋体" w:cs="Times New Roman"/>
                <w:i w:val="0"/>
                <w:iCs w:val="0"/>
                <w:caps w:val="0"/>
                <w:color w:val="000000"/>
                <w:spacing w:val="0"/>
                <w:sz w:val="21"/>
                <w:szCs w:val="21"/>
                <w:highlight w:val="none"/>
                <w:shd w:val="clear" w:color="auto" w:fill="FFFFFF"/>
                <w:lang w:val="en-US" w:eastAsia="zh-CN"/>
              </w:rPr>
              <w:t>污水处理站采用</w:t>
            </w:r>
            <w:r>
              <w:rPr>
                <w:rFonts w:hint="default" w:ascii="Times New Roman" w:hAnsi="Times New Roman" w:eastAsia="宋体" w:cs="Times New Roman"/>
                <w:color w:val="000000"/>
                <w:highlight w:val="none"/>
                <w:lang w:val="en-US" w:eastAsia="zh-CN"/>
              </w:rPr>
              <w:t>厌氧缺氧好氧工艺（A</w:t>
            </w:r>
            <w:r>
              <w:rPr>
                <w:rFonts w:hint="default" w:ascii="Times New Roman" w:hAnsi="Times New Roman" w:eastAsia="宋体" w:cs="Times New Roman"/>
                <w:color w:val="000000"/>
                <w:sz w:val="21"/>
                <w:highlight w:val="none"/>
                <w:vertAlign w:val="superscript"/>
                <w:lang w:val="en-US" w:eastAsia="zh-CN"/>
              </w:rPr>
              <w:t>2</w:t>
            </w:r>
            <w:r>
              <w:rPr>
                <w:rFonts w:hint="default" w:ascii="Times New Roman" w:hAnsi="Times New Roman" w:eastAsia="宋体" w:cs="Times New Roman"/>
                <w:color w:val="000000"/>
                <w:highlight w:val="none"/>
                <w:lang w:val="en-US" w:eastAsia="zh-CN"/>
              </w:rPr>
              <w:t>/O工艺）</w:t>
            </w:r>
            <w:r>
              <w:rPr>
                <w:rFonts w:hint="eastAsia" w:ascii="Times New Roman" w:hAnsi="Times New Roman" w:eastAsia="宋体" w:cs="Times New Roman"/>
                <w:color w:val="000000"/>
                <w:highlight w:val="none"/>
                <w:lang w:val="en-US" w:eastAsia="zh-CN"/>
              </w:rPr>
              <w:t>，属于</w:t>
            </w:r>
            <w:r>
              <w:rPr>
                <w:rFonts w:hint="default" w:ascii="Times New Roman" w:hAnsi="Times New Roman" w:eastAsia="宋体" w:cs="Times New Roman"/>
                <w:i w:val="0"/>
                <w:iCs w:val="0"/>
                <w:caps w:val="0"/>
                <w:color w:val="000000"/>
                <w:spacing w:val="0"/>
                <w:sz w:val="21"/>
                <w:szCs w:val="21"/>
                <w:highlight w:val="none"/>
                <w:shd w:val="clear" w:color="auto" w:fill="FFFFFF"/>
                <w:lang w:val="en-US" w:eastAsia="zh-CN"/>
              </w:rPr>
              <w:t>《排污许可证申请与核发技术规范 酒、饮料制造工业》（HJ 1028-2019）中推荐的废水处理工艺</w:t>
            </w:r>
            <w:r>
              <w:rPr>
                <w:rFonts w:hint="eastAsia" w:ascii="Times New Roman" w:hAnsi="Times New Roman" w:eastAsia="宋体" w:cs="Times New Roman"/>
                <w:i w:val="0"/>
                <w:iCs w:val="0"/>
                <w:caps w:val="0"/>
                <w:color w:val="000000"/>
                <w:spacing w:val="0"/>
                <w:sz w:val="21"/>
                <w:szCs w:val="21"/>
                <w:highlight w:val="none"/>
                <w:shd w:val="clear" w:color="auto" w:fill="FFFFFF"/>
                <w:lang w:val="en-US" w:eastAsia="zh-CN"/>
              </w:rPr>
              <w:t>。</w:t>
            </w:r>
          </w:p>
          <w:p w14:paraId="6A1E3C09">
            <w:pPr>
              <w:widowControl/>
              <w:shd w:val="clear" w:color="auto" w:fill="auto"/>
              <w:spacing w:line="360" w:lineRule="auto"/>
              <w:ind w:firstLine="420" w:firstLineChars="200"/>
              <w:jc w:val="both"/>
              <w:rPr>
                <w:rFonts w:hint="default" w:ascii="Times New Roman" w:hAnsi="Times New Roman" w:eastAsia="宋体" w:cs="Times New Roman"/>
                <w:i w:val="0"/>
                <w:iCs w:val="0"/>
                <w:caps w:val="0"/>
                <w:color w:val="000000"/>
                <w:spacing w:val="0"/>
                <w:sz w:val="21"/>
                <w:szCs w:val="21"/>
                <w:highlight w:val="none"/>
                <w:lang w:val="en-US" w:eastAsia="zh-CN"/>
              </w:rPr>
            </w:pPr>
            <w:r>
              <w:rPr>
                <w:rFonts w:hint="eastAsia" w:ascii="Times New Roman" w:hAnsi="Times New Roman" w:eastAsia="宋体" w:cs="Times New Roman"/>
                <w:i w:val="0"/>
                <w:iCs w:val="0"/>
                <w:caps w:val="0"/>
                <w:color w:val="000000"/>
                <w:spacing w:val="0"/>
                <w:sz w:val="21"/>
                <w:szCs w:val="21"/>
                <w:highlight w:val="none"/>
                <w:shd w:val="clear" w:color="auto" w:fill="FFFFFF"/>
                <w:lang w:val="en-US" w:eastAsia="zh-CN"/>
              </w:rPr>
              <w:t>②污水处理达标</w:t>
            </w:r>
          </w:p>
          <w:p w14:paraId="2115CA3E">
            <w:pPr>
              <w:widowControl/>
              <w:shd w:val="clear" w:color="auto" w:fill="auto"/>
              <w:spacing w:line="360" w:lineRule="auto"/>
              <w:ind w:firstLine="420" w:firstLineChars="200"/>
              <w:jc w:val="both"/>
              <w:rPr>
                <w:rFonts w:hint="eastAsia" w:ascii="Times New Roman" w:hAnsi="Times New Roman" w:eastAsia="宋体" w:cs="Times New Roman"/>
                <w:i w:val="0"/>
                <w:iCs w:val="0"/>
                <w:caps w:val="0"/>
                <w:color w:val="000000"/>
                <w:spacing w:val="0"/>
                <w:sz w:val="21"/>
                <w:szCs w:val="21"/>
                <w:highlight w:val="none"/>
                <w:lang w:val="en-US" w:eastAsia="zh-CN"/>
              </w:rPr>
            </w:pPr>
            <w:r>
              <w:rPr>
                <w:rFonts w:hint="default" w:ascii="Times New Roman" w:hAnsi="Times New Roman" w:eastAsia="宋体" w:cs="Times New Roman"/>
                <w:i w:val="0"/>
                <w:iCs w:val="0"/>
                <w:caps w:val="0"/>
                <w:color w:val="000000"/>
                <w:spacing w:val="0"/>
                <w:sz w:val="21"/>
                <w:szCs w:val="21"/>
                <w:highlight w:val="none"/>
                <w:shd w:val="clear" w:color="auto" w:fill="FFFFFF"/>
                <w:lang w:val="en-US" w:eastAsia="zh-CN"/>
              </w:rPr>
              <w:t>根据源强核算结果，处理后的废水污染物排放浓度均能达到《发酵酒精和白酒工业水污染物排放标准》（GB 27631-2011）中表3水污染物特别排放限值</w:t>
            </w:r>
            <w:r>
              <w:rPr>
                <w:rFonts w:hint="eastAsia" w:ascii="Times New Roman" w:hAnsi="Times New Roman" w:eastAsia="宋体" w:cs="Times New Roman"/>
                <w:i w:val="0"/>
                <w:iCs w:val="0"/>
                <w:caps w:val="0"/>
                <w:color w:val="000000"/>
                <w:spacing w:val="0"/>
                <w:sz w:val="21"/>
                <w:szCs w:val="21"/>
                <w:highlight w:val="none"/>
                <w:shd w:val="clear" w:color="auto" w:fill="FFFFFF"/>
                <w:lang w:val="en-US" w:eastAsia="zh-CN"/>
              </w:rPr>
              <w:t>。</w:t>
            </w:r>
          </w:p>
          <w:p w14:paraId="5DC7FFCA">
            <w:pPr>
              <w:widowControl/>
              <w:shd w:val="clear" w:color="auto" w:fill="auto"/>
              <w:spacing w:line="360" w:lineRule="auto"/>
              <w:ind w:firstLine="420" w:firstLineChars="200"/>
              <w:jc w:val="both"/>
              <w:rPr>
                <w:rFonts w:hint="default" w:ascii="Times New Roman" w:hAnsi="Times New Roman" w:eastAsia="宋体" w:cs="Times New Roman"/>
                <w:i w:val="0"/>
                <w:iCs w:val="0"/>
                <w:caps w:val="0"/>
                <w:color w:val="000000"/>
                <w:spacing w:val="0"/>
                <w:sz w:val="21"/>
                <w:szCs w:val="21"/>
                <w:highlight w:val="none"/>
                <w:lang w:val="en-US" w:eastAsia="zh-CN"/>
              </w:rPr>
            </w:pPr>
            <w:r>
              <w:rPr>
                <w:rFonts w:hint="eastAsia" w:ascii="Times New Roman" w:hAnsi="Times New Roman" w:eastAsia="宋体" w:cs="Times New Roman"/>
                <w:i w:val="0"/>
                <w:iCs w:val="0"/>
                <w:caps w:val="0"/>
                <w:color w:val="000000"/>
                <w:spacing w:val="0"/>
                <w:sz w:val="21"/>
                <w:szCs w:val="21"/>
                <w:highlight w:val="none"/>
                <w:shd w:val="clear" w:color="auto" w:fill="FFFFFF"/>
                <w:lang w:val="en-US" w:eastAsia="zh-CN"/>
              </w:rPr>
              <w:t>③处理能力</w:t>
            </w:r>
          </w:p>
          <w:p w14:paraId="59341306">
            <w:pPr>
              <w:widowControl/>
              <w:shd w:val="clear" w:color="auto" w:fill="auto"/>
              <w:spacing w:line="360" w:lineRule="auto"/>
              <w:ind w:firstLine="420" w:firstLineChars="200"/>
              <w:jc w:val="both"/>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i w:val="0"/>
                <w:iCs w:val="0"/>
                <w:caps w:val="0"/>
                <w:color w:val="000000"/>
                <w:spacing w:val="0"/>
                <w:sz w:val="21"/>
                <w:szCs w:val="21"/>
                <w:highlight w:val="none"/>
                <w:shd w:val="clear" w:color="auto" w:fill="FFFFFF"/>
                <w:lang w:val="en-US" w:eastAsia="zh-CN"/>
              </w:rPr>
              <w:t>根据水平衡分析，项目</w:t>
            </w:r>
            <w:r>
              <w:rPr>
                <w:rFonts w:hint="default" w:ascii="Times New Roman" w:hAnsi="Times New Roman" w:eastAsia="宋体" w:cs="Times New Roman"/>
                <w:color w:val="000000"/>
                <w:sz w:val="21"/>
                <w:szCs w:val="21"/>
                <w:highlight w:val="none"/>
                <w:lang w:val="en-US" w:eastAsia="zh-CN"/>
              </w:rPr>
              <w:t>废水排放总量为</w:t>
            </w:r>
            <w:r>
              <w:rPr>
                <w:rFonts w:hint="eastAsia" w:ascii="Times New Roman" w:hAnsi="Times New Roman" w:eastAsia="宋体" w:cs="Times New Roman"/>
                <w:color w:val="000000"/>
                <w:sz w:val="21"/>
                <w:szCs w:val="21"/>
                <w:highlight w:val="none"/>
                <w:lang w:val="en-US" w:eastAsia="zh-CN"/>
              </w:rPr>
              <w:t>12</w:t>
            </w:r>
            <w:r>
              <w:rPr>
                <w:rFonts w:hint="default" w:ascii="Times New Roman" w:hAnsi="Times New Roman" w:eastAsia="宋体" w:cs="Times New Roman"/>
                <w:color w:val="000000"/>
                <w:sz w:val="21"/>
                <w:szCs w:val="21"/>
                <w:highlight w:val="none"/>
                <w:lang w:val="en-US" w:eastAsia="zh-CN"/>
              </w:rPr>
              <w:t>m³/d，</w:t>
            </w:r>
            <w:r>
              <w:rPr>
                <w:rFonts w:hint="eastAsia" w:cs="Times New Roman"/>
                <w:color w:val="000000"/>
                <w:sz w:val="21"/>
                <w:szCs w:val="21"/>
                <w:highlight w:val="none"/>
                <w:lang w:val="en-US" w:eastAsia="zh-CN"/>
              </w:rPr>
              <w:t>3599.23</w:t>
            </w:r>
            <w:r>
              <w:rPr>
                <w:rFonts w:hint="default" w:ascii="Times New Roman" w:hAnsi="Times New Roman" w:eastAsia="宋体" w:cs="Times New Roman"/>
                <w:color w:val="000000"/>
                <w:sz w:val="21"/>
                <w:szCs w:val="21"/>
                <w:highlight w:val="none"/>
                <w:lang w:val="en-US" w:eastAsia="zh-CN"/>
              </w:rPr>
              <w:t>m³/a，污水处理站废水处理能力为20m³/d，因此废水处理能力可以满足本项目废水处理需要。</w:t>
            </w:r>
          </w:p>
          <w:p w14:paraId="40AC478B">
            <w:pPr>
              <w:widowControl/>
              <w:shd w:val="clear" w:color="auto" w:fill="auto"/>
              <w:spacing w:line="360" w:lineRule="auto"/>
              <w:ind w:firstLine="420" w:firstLineChars="200"/>
              <w:jc w:val="both"/>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综上所述，本项目污水处理设施建设可行。</w:t>
            </w:r>
          </w:p>
          <w:p w14:paraId="4C24D08F">
            <w:pPr>
              <w:widowControl/>
              <w:shd w:val="clear" w:color="auto" w:fill="auto"/>
              <w:spacing w:line="360" w:lineRule="auto"/>
              <w:ind w:firstLine="420" w:firstLineChars="200"/>
              <w:jc w:val="both"/>
              <w:rPr>
                <w:rFonts w:hint="default" w:ascii="Times New Roman" w:hAnsi="Times New Roman" w:eastAsia="宋体" w:cs="Times New Roman"/>
                <w:i w:val="0"/>
                <w:iCs w:val="0"/>
                <w:caps w:val="0"/>
                <w:color w:val="000000"/>
                <w:spacing w:val="0"/>
                <w:sz w:val="21"/>
                <w:szCs w:val="21"/>
                <w:highlight w:val="none"/>
                <w:lang w:val="en-US" w:eastAsia="zh-CN"/>
              </w:rPr>
            </w:pPr>
            <w:r>
              <w:rPr>
                <w:rFonts w:hint="eastAsia" w:ascii="Times New Roman" w:hAnsi="Times New Roman" w:eastAsia="宋体" w:cs="Times New Roman"/>
                <w:i w:val="0"/>
                <w:iCs w:val="0"/>
                <w:caps w:val="0"/>
                <w:color w:val="000000"/>
                <w:spacing w:val="0"/>
                <w:sz w:val="21"/>
                <w:szCs w:val="21"/>
                <w:highlight w:val="none"/>
                <w:shd w:val="clear" w:color="auto" w:fill="FFFFFF"/>
                <w:lang w:val="en-US" w:eastAsia="zh-CN"/>
              </w:rPr>
              <w:t>（2）废水排入污水处理厂</w:t>
            </w:r>
            <w:r>
              <w:rPr>
                <w:rFonts w:hint="eastAsia" w:cs="Times New Roman"/>
                <w:i w:val="0"/>
                <w:iCs w:val="0"/>
                <w:caps w:val="0"/>
                <w:color w:val="000000"/>
                <w:spacing w:val="0"/>
                <w:sz w:val="21"/>
                <w:szCs w:val="21"/>
                <w:highlight w:val="none"/>
                <w:shd w:val="clear" w:color="auto" w:fill="FFFFFF"/>
                <w:lang w:val="en-US" w:eastAsia="zh-CN"/>
              </w:rPr>
              <w:t>的</w:t>
            </w:r>
            <w:r>
              <w:rPr>
                <w:rFonts w:hint="eastAsia" w:ascii="Times New Roman" w:hAnsi="Times New Roman" w:eastAsia="宋体" w:cs="Times New Roman"/>
                <w:i w:val="0"/>
                <w:iCs w:val="0"/>
                <w:caps w:val="0"/>
                <w:color w:val="000000"/>
                <w:spacing w:val="0"/>
                <w:sz w:val="21"/>
                <w:szCs w:val="21"/>
                <w:highlight w:val="none"/>
                <w:shd w:val="clear" w:color="auto" w:fill="FFFFFF"/>
                <w:lang w:val="en-US" w:eastAsia="zh-CN"/>
              </w:rPr>
              <w:t>可行性</w:t>
            </w:r>
          </w:p>
          <w:p w14:paraId="725A0D92">
            <w:pPr>
              <w:widowControl/>
              <w:shd w:val="clear" w:color="auto" w:fill="auto"/>
              <w:spacing w:line="360" w:lineRule="auto"/>
              <w:ind w:firstLine="420" w:firstLineChars="200"/>
              <w:jc w:val="both"/>
              <w:rPr>
                <w:rFonts w:hint="default" w:ascii="Times New Roman" w:hAnsi="Times New Roman" w:eastAsia="宋体" w:cs="Times New Roman"/>
                <w:i w:val="0"/>
                <w:iCs w:val="0"/>
                <w:caps w:val="0"/>
                <w:color w:val="000000"/>
                <w:spacing w:val="0"/>
                <w:sz w:val="21"/>
                <w:szCs w:val="21"/>
                <w:highlight w:val="none"/>
                <w:lang w:val="en-US" w:eastAsia="zh-CN"/>
              </w:rPr>
            </w:pPr>
            <w:r>
              <w:rPr>
                <w:rFonts w:hint="eastAsia" w:ascii="Times New Roman" w:hAnsi="Times New Roman" w:eastAsia="宋体" w:cs="Times New Roman"/>
                <w:i w:val="0"/>
                <w:iCs w:val="0"/>
                <w:caps w:val="0"/>
                <w:color w:val="000000"/>
                <w:spacing w:val="0"/>
                <w:sz w:val="21"/>
                <w:szCs w:val="21"/>
                <w:highlight w:val="none"/>
                <w:shd w:val="clear" w:color="auto" w:fill="FFFFFF"/>
                <w:lang w:val="en-US" w:eastAsia="zh-CN"/>
              </w:rPr>
              <w:t>本项目废水经厂区污水处理站处理达到</w:t>
            </w:r>
            <w:r>
              <w:rPr>
                <w:rFonts w:hint="default" w:ascii="Times New Roman" w:hAnsi="Times New Roman" w:eastAsia="宋体" w:cs="Times New Roman"/>
                <w:i w:val="0"/>
                <w:iCs w:val="0"/>
                <w:caps w:val="0"/>
                <w:color w:val="000000"/>
                <w:spacing w:val="0"/>
                <w:sz w:val="21"/>
                <w:szCs w:val="21"/>
                <w:highlight w:val="none"/>
                <w:shd w:val="clear" w:color="auto" w:fill="FFFFFF"/>
                <w:lang w:val="en-US" w:eastAsia="zh-CN"/>
              </w:rPr>
              <w:t>《发酵酒精和白酒工业水污染物排放标准》（GB 27631-2011）中表3水污染物特别排放限值</w:t>
            </w:r>
            <w:r>
              <w:rPr>
                <w:rFonts w:hint="eastAsia" w:ascii="Times New Roman" w:hAnsi="Times New Roman" w:eastAsia="宋体" w:cs="Times New Roman"/>
                <w:i w:val="0"/>
                <w:iCs w:val="0"/>
                <w:caps w:val="0"/>
                <w:color w:val="000000"/>
                <w:spacing w:val="0"/>
                <w:sz w:val="21"/>
                <w:szCs w:val="21"/>
                <w:highlight w:val="none"/>
                <w:shd w:val="clear" w:color="auto" w:fill="FFFFFF"/>
                <w:lang w:val="en-US" w:eastAsia="zh-CN"/>
              </w:rPr>
              <w:t>后，拉运至宝鸡天龙污水处理有限公司进一步处理（企业已与宝鸡天龙污水处理有限公司签订废水处置协议，详见附件）。</w:t>
            </w:r>
          </w:p>
          <w:p w14:paraId="625D3D95">
            <w:pPr>
              <w:keepNext w:val="0"/>
              <w:keepLines w:val="0"/>
              <w:widowControl/>
              <w:suppressLineNumbers w:val="0"/>
              <w:spacing w:line="360" w:lineRule="auto"/>
              <w:ind w:firstLine="420" w:firstLineChars="200"/>
              <w:jc w:val="left"/>
              <w:rPr>
                <w:rFonts w:hint="eastAsia" w:ascii="Times New Roman" w:hAnsi="Times New Roman" w:eastAsia="宋体" w:cs="Times New Roman"/>
                <w:b/>
                <w:color w:val="000000"/>
                <w:sz w:val="21"/>
                <w:szCs w:val="21"/>
                <w:highlight w:val="none"/>
                <w:lang w:val="en-US" w:eastAsia="zh-CN"/>
              </w:rPr>
            </w:pPr>
            <w:r>
              <w:rPr>
                <w:rFonts w:hint="eastAsia" w:ascii="Times New Roman" w:hAnsi="Times New Roman" w:eastAsia="宋体" w:cs="Times New Roman"/>
                <w:i w:val="0"/>
                <w:iCs w:val="0"/>
                <w:caps w:val="0"/>
                <w:color w:val="000000"/>
                <w:spacing w:val="0"/>
                <w:sz w:val="21"/>
                <w:szCs w:val="21"/>
                <w:highlight w:val="none"/>
                <w:shd w:val="clear" w:color="auto" w:fill="FFFFFF"/>
                <w:lang w:val="en-US" w:eastAsia="zh-CN"/>
              </w:rPr>
              <w:t>宝鸡天龙污水处理有限公司占地约30亩，采用AO（</w:t>
            </w:r>
            <w:r>
              <w:rPr>
                <w:rFonts w:ascii="Arial" w:hAnsi="Arial" w:eastAsia="宋体" w:cs="Arial"/>
                <w:i w:val="0"/>
                <w:iCs w:val="0"/>
                <w:caps w:val="0"/>
                <w:color w:val="333333"/>
                <w:spacing w:val="0"/>
                <w:sz w:val="21"/>
                <w:szCs w:val="21"/>
                <w:highlight w:val="none"/>
                <w:shd w:val="clear" w:color="auto" w:fill="FFFFFF"/>
              </w:rPr>
              <w:t>厌氧好氧</w:t>
            </w:r>
            <w:r>
              <w:rPr>
                <w:rFonts w:hint="eastAsia" w:ascii="Times New Roman" w:hAnsi="Times New Roman" w:eastAsia="宋体" w:cs="Times New Roman"/>
                <w:i w:val="0"/>
                <w:iCs w:val="0"/>
                <w:caps w:val="0"/>
                <w:color w:val="000000"/>
                <w:spacing w:val="0"/>
                <w:sz w:val="21"/>
                <w:szCs w:val="21"/>
                <w:highlight w:val="none"/>
                <w:shd w:val="clear" w:color="auto" w:fill="FFFFFF"/>
                <w:lang w:val="en-US" w:eastAsia="zh-CN"/>
              </w:rPr>
              <w:t>）工艺，处理规模为5000m³/d，目前该污水处理厂实际废水处理量为2600m³/d，污水处理达到《陕西省黄河流域污水综合排放标准》（DB61/224-2018）表1中B级排放标准后排放。本项目总排水量为0.0012万m³/d，占日处理能力的0.24%，可以满足本项目废水处理需求。</w:t>
            </w:r>
          </w:p>
          <w:p w14:paraId="01269D4D">
            <w:pPr>
              <w:widowControl/>
              <w:shd w:val="clear" w:color="auto" w:fill="auto"/>
              <w:spacing w:line="360" w:lineRule="auto"/>
              <w:ind w:firstLine="422" w:firstLineChars="200"/>
              <w:jc w:val="both"/>
              <w:rPr>
                <w:rFonts w:hint="default" w:ascii="Times New Roman" w:hAnsi="Times New Roman" w:eastAsia="宋体" w:cs="Times New Roman"/>
                <w:b/>
                <w:color w:val="000000"/>
                <w:sz w:val="21"/>
                <w:szCs w:val="21"/>
                <w:highlight w:val="none"/>
                <w:lang w:val="en-US" w:eastAsia="zh-CN"/>
              </w:rPr>
            </w:pPr>
            <w:r>
              <w:rPr>
                <w:rFonts w:hint="eastAsia" w:cs="Times New Roman"/>
                <w:b/>
                <w:color w:val="000000"/>
                <w:sz w:val="21"/>
                <w:szCs w:val="21"/>
                <w:highlight w:val="none"/>
                <w:lang w:val="en-US" w:eastAsia="zh-CN"/>
              </w:rPr>
              <w:t>4.</w:t>
            </w:r>
            <w:r>
              <w:rPr>
                <w:rFonts w:hint="eastAsia" w:ascii="Times New Roman" w:hAnsi="Times New Roman" w:eastAsia="宋体" w:cs="Times New Roman"/>
                <w:b/>
                <w:color w:val="000000"/>
                <w:sz w:val="21"/>
                <w:szCs w:val="21"/>
                <w:highlight w:val="none"/>
                <w:lang w:val="en-US" w:eastAsia="zh-CN"/>
              </w:rPr>
              <w:t>废水自行监测方案</w:t>
            </w:r>
          </w:p>
          <w:p w14:paraId="0529B00A">
            <w:pPr>
              <w:shd w:val="clear" w:color="auto" w:fill="auto"/>
              <w:bidi w:val="0"/>
              <w:spacing w:line="360" w:lineRule="auto"/>
              <w:ind w:firstLine="420" w:firstLineChars="200"/>
              <w:rPr>
                <w:rFonts w:hint="default"/>
                <w:color w:val="000000"/>
                <w:highlight w:val="none"/>
                <w:lang w:val="en-US" w:eastAsia="zh-CN"/>
              </w:rPr>
            </w:pPr>
            <w:r>
              <w:rPr>
                <w:rFonts w:hint="eastAsia"/>
                <w:color w:val="000000"/>
                <w:highlight w:val="none"/>
                <w:lang w:val="en-US" w:eastAsia="zh-CN"/>
              </w:rPr>
              <w:t>根据《排污单位自行监测技术指南酒、饮料制造》（HJ1085-2020）完善企业废水自行监测方案。自行监测方案具体见下表。</w:t>
            </w:r>
          </w:p>
          <w:p w14:paraId="4AB9BF34">
            <w:pPr>
              <w:shd w:val="clear" w:color="auto" w:fill="auto"/>
              <w:bidi w:val="0"/>
              <w:jc w:val="center"/>
              <w:rPr>
                <w:color w:val="000000"/>
                <w:highlight w:val="none"/>
              </w:rPr>
            </w:pPr>
            <w:r>
              <w:rPr>
                <w:b/>
                <w:bCs/>
                <w:color w:val="000000"/>
                <w:highlight w:val="none"/>
              </w:rPr>
              <w:t>表</w:t>
            </w:r>
            <w:r>
              <w:rPr>
                <w:rFonts w:hint="eastAsia"/>
                <w:b/>
                <w:bCs/>
                <w:color w:val="000000"/>
                <w:highlight w:val="none"/>
                <w:lang w:val="en-US" w:eastAsia="zh-CN"/>
              </w:rPr>
              <w:t>4-14</w:t>
            </w:r>
            <w:r>
              <w:rPr>
                <w:b/>
                <w:bCs/>
                <w:color w:val="000000"/>
                <w:highlight w:val="none"/>
              </w:rPr>
              <w:t xml:space="preserve">   环境监测计划及记录信息表</w:t>
            </w:r>
          </w:p>
          <w:p w14:paraId="56D48B69">
            <w:pPr>
              <w:shd w:val="clear" w:color="auto" w:fill="auto"/>
              <w:spacing w:line="53" w:lineRule="exact"/>
              <w:rPr>
                <w:color w:val="000000"/>
                <w:highlight w:val="none"/>
              </w:rPr>
            </w:pPr>
          </w:p>
          <w:tbl>
            <w:tblPr>
              <w:tblStyle w:val="14"/>
              <w:tblW w:w="810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fixed"/>
              <w:tblCellMar>
                <w:top w:w="0" w:type="dxa"/>
                <w:left w:w="0" w:type="dxa"/>
                <w:bottom w:w="0" w:type="dxa"/>
                <w:right w:w="0" w:type="dxa"/>
              </w:tblCellMar>
            </w:tblPr>
            <w:tblGrid>
              <w:gridCol w:w="480"/>
              <w:gridCol w:w="1200"/>
              <w:gridCol w:w="863"/>
              <w:gridCol w:w="700"/>
              <w:gridCol w:w="1247"/>
              <w:gridCol w:w="717"/>
              <w:gridCol w:w="808"/>
              <w:gridCol w:w="1108"/>
              <w:gridCol w:w="984"/>
            </w:tblGrid>
            <w:tr w14:paraId="1287E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1084" w:hRule="atLeast"/>
              </w:trPr>
              <w:tc>
                <w:tcPr>
                  <w:tcW w:w="480" w:type="dxa"/>
                  <w:tcBorders>
                    <w:top w:val="single" w:color="000000" w:sz="6" w:space="0"/>
                    <w:left w:val="single" w:color="000000" w:sz="6" w:space="0"/>
                  </w:tcBorders>
                  <w:shd w:val="clear" w:color="auto" w:fill="auto"/>
                  <w:noWrap w:val="0"/>
                  <w:vAlign w:val="center"/>
                </w:tcPr>
                <w:p w14:paraId="6F807EDA">
                  <w:pPr>
                    <w:shd w:val="clear" w:color="auto" w:fill="auto"/>
                    <w:bidi w:val="0"/>
                    <w:jc w:val="center"/>
                    <w:rPr>
                      <w:b/>
                      <w:bCs/>
                      <w:color w:val="000000"/>
                      <w:highlight w:val="none"/>
                    </w:rPr>
                  </w:pPr>
                  <w:r>
                    <w:rPr>
                      <w:b/>
                      <w:bCs/>
                      <w:color w:val="000000"/>
                      <w:highlight w:val="none"/>
                    </w:rPr>
                    <w:t>序号</w:t>
                  </w:r>
                </w:p>
              </w:tc>
              <w:tc>
                <w:tcPr>
                  <w:tcW w:w="1200" w:type="dxa"/>
                  <w:tcBorders>
                    <w:top w:val="single" w:color="000000" w:sz="6" w:space="0"/>
                  </w:tcBorders>
                  <w:shd w:val="clear" w:color="auto" w:fill="auto"/>
                  <w:noWrap w:val="0"/>
                  <w:vAlign w:val="center"/>
                </w:tcPr>
                <w:p w14:paraId="07A22921">
                  <w:pPr>
                    <w:shd w:val="clear" w:color="auto" w:fill="auto"/>
                    <w:bidi w:val="0"/>
                    <w:jc w:val="center"/>
                    <w:rPr>
                      <w:b/>
                      <w:bCs/>
                      <w:color w:val="000000"/>
                      <w:highlight w:val="none"/>
                    </w:rPr>
                  </w:pPr>
                  <w:r>
                    <w:rPr>
                      <w:b/>
                      <w:bCs/>
                      <w:color w:val="000000"/>
                      <w:highlight w:val="none"/>
                    </w:rPr>
                    <w:t>污染物名称</w:t>
                  </w:r>
                </w:p>
              </w:tc>
              <w:tc>
                <w:tcPr>
                  <w:tcW w:w="863" w:type="dxa"/>
                  <w:tcBorders>
                    <w:top w:val="single" w:color="000000" w:sz="6" w:space="0"/>
                  </w:tcBorders>
                  <w:shd w:val="clear" w:color="auto" w:fill="auto"/>
                  <w:noWrap w:val="0"/>
                  <w:vAlign w:val="center"/>
                </w:tcPr>
                <w:p w14:paraId="128C162A">
                  <w:pPr>
                    <w:shd w:val="clear" w:color="auto" w:fill="auto"/>
                    <w:bidi w:val="0"/>
                    <w:jc w:val="center"/>
                    <w:rPr>
                      <w:rFonts w:hint="eastAsia" w:eastAsia="宋体"/>
                      <w:b/>
                      <w:bCs/>
                      <w:color w:val="000000"/>
                      <w:highlight w:val="none"/>
                      <w:lang w:eastAsia="zh-CN"/>
                    </w:rPr>
                  </w:pPr>
                  <w:r>
                    <w:rPr>
                      <w:b/>
                      <w:bCs/>
                      <w:color w:val="000000"/>
                      <w:highlight w:val="none"/>
                    </w:rPr>
                    <w:t>监测</w:t>
                  </w:r>
                  <w:r>
                    <w:rPr>
                      <w:rFonts w:hint="eastAsia"/>
                      <w:b/>
                      <w:bCs/>
                      <w:color w:val="000000"/>
                      <w:highlight w:val="none"/>
                      <w:lang w:val="en-US" w:eastAsia="zh-CN"/>
                    </w:rPr>
                    <w:t>方式</w:t>
                  </w:r>
                </w:p>
              </w:tc>
              <w:tc>
                <w:tcPr>
                  <w:tcW w:w="700" w:type="dxa"/>
                  <w:tcBorders>
                    <w:top w:val="single" w:color="000000" w:sz="6" w:space="0"/>
                  </w:tcBorders>
                  <w:shd w:val="clear" w:color="auto" w:fill="auto"/>
                  <w:noWrap w:val="0"/>
                  <w:vAlign w:val="center"/>
                </w:tcPr>
                <w:p w14:paraId="2D74EB7F">
                  <w:pPr>
                    <w:shd w:val="clear" w:color="auto" w:fill="auto"/>
                    <w:bidi w:val="0"/>
                    <w:jc w:val="center"/>
                    <w:rPr>
                      <w:b/>
                      <w:bCs/>
                      <w:color w:val="000000"/>
                      <w:highlight w:val="none"/>
                    </w:rPr>
                  </w:pPr>
                  <w:r>
                    <w:rPr>
                      <w:b/>
                      <w:bCs/>
                      <w:color w:val="000000"/>
                      <w:highlight w:val="none"/>
                    </w:rPr>
                    <w:t>自动监测设施安装</w:t>
                  </w:r>
                </w:p>
                <w:p w14:paraId="2BACCA5E">
                  <w:pPr>
                    <w:shd w:val="clear" w:color="auto" w:fill="auto"/>
                    <w:bidi w:val="0"/>
                    <w:jc w:val="center"/>
                    <w:rPr>
                      <w:b/>
                      <w:bCs/>
                      <w:color w:val="000000"/>
                      <w:highlight w:val="none"/>
                    </w:rPr>
                  </w:pPr>
                  <w:r>
                    <w:rPr>
                      <w:b/>
                      <w:bCs/>
                      <w:color w:val="000000"/>
                      <w:highlight w:val="none"/>
                    </w:rPr>
                    <w:t>位置</w:t>
                  </w:r>
                </w:p>
              </w:tc>
              <w:tc>
                <w:tcPr>
                  <w:tcW w:w="1247" w:type="dxa"/>
                  <w:tcBorders>
                    <w:top w:val="single" w:color="000000" w:sz="6" w:space="0"/>
                  </w:tcBorders>
                  <w:shd w:val="clear" w:color="auto" w:fill="auto"/>
                  <w:noWrap w:val="0"/>
                  <w:vAlign w:val="center"/>
                </w:tcPr>
                <w:p w14:paraId="1CCBEC85">
                  <w:pPr>
                    <w:shd w:val="clear" w:color="auto" w:fill="auto"/>
                    <w:bidi w:val="0"/>
                    <w:jc w:val="center"/>
                    <w:rPr>
                      <w:b/>
                      <w:bCs/>
                      <w:color w:val="000000"/>
                      <w:highlight w:val="none"/>
                    </w:rPr>
                  </w:pPr>
                  <w:r>
                    <w:rPr>
                      <w:b/>
                      <w:bCs/>
                      <w:color w:val="000000"/>
                      <w:highlight w:val="none"/>
                    </w:rPr>
                    <w:t>自动监测设施的安装、运行、维护等相关管理要求</w:t>
                  </w:r>
                </w:p>
              </w:tc>
              <w:tc>
                <w:tcPr>
                  <w:tcW w:w="717" w:type="dxa"/>
                  <w:tcBorders>
                    <w:top w:val="single" w:color="000000" w:sz="6" w:space="0"/>
                  </w:tcBorders>
                  <w:shd w:val="clear" w:color="auto" w:fill="auto"/>
                  <w:noWrap w:val="0"/>
                  <w:vAlign w:val="center"/>
                </w:tcPr>
                <w:p w14:paraId="04E77ADC">
                  <w:pPr>
                    <w:shd w:val="clear" w:color="auto" w:fill="auto"/>
                    <w:bidi w:val="0"/>
                    <w:jc w:val="center"/>
                    <w:rPr>
                      <w:b/>
                      <w:bCs/>
                      <w:color w:val="000000"/>
                      <w:highlight w:val="none"/>
                    </w:rPr>
                  </w:pPr>
                  <w:r>
                    <w:rPr>
                      <w:b/>
                      <w:bCs/>
                      <w:color w:val="000000"/>
                      <w:highlight w:val="none"/>
                    </w:rPr>
                    <w:t>自动监测是否联网</w:t>
                  </w:r>
                </w:p>
              </w:tc>
              <w:tc>
                <w:tcPr>
                  <w:tcW w:w="808" w:type="dxa"/>
                  <w:tcBorders>
                    <w:top w:val="single" w:color="000000" w:sz="6" w:space="0"/>
                  </w:tcBorders>
                  <w:shd w:val="clear" w:color="auto" w:fill="auto"/>
                  <w:noWrap w:val="0"/>
                  <w:vAlign w:val="center"/>
                </w:tcPr>
                <w:p w14:paraId="40950FE6">
                  <w:pPr>
                    <w:shd w:val="clear" w:color="auto" w:fill="auto"/>
                    <w:bidi w:val="0"/>
                    <w:jc w:val="center"/>
                    <w:rPr>
                      <w:b/>
                      <w:bCs/>
                      <w:color w:val="000000"/>
                      <w:highlight w:val="none"/>
                    </w:rPr>
                  </w:pPr>
                  <w:r>
                    <w:rPr>
                      <w:b/>
                      <w:bCs/>
                      <w:color w:val="000000"/>
                      <w:highlight w:val="none"/>
                    </w:rPr>
                    <w:t>自动监测仪器名称</w:t>
                  </w:r>
                </w:p>
              </w:tc>
              <w:tc>
                <w:tcPr>
                  <w:tcW w:w="1108" w:type="dxa"/>
                  <w:tcBorders>
                    <w:top w:val="single" w:color="000000" w:sz="6" w:space="0"/>
                  </w:tcBorders>
                  <w:shd w:val="clear" w:color="auto" w:fill="auto"/>
                  <w:noWrap w:val="0"/>
                  <w:vAlign w:val="center"/>
                </w:tcPr>
                <w:p w14:paraId="29552CE2">
                  <w:pPr>
                    <w:shd w:val="clear" w:color="auto" w:fill="auto"/>
                    <w:bidi w:val="0"/>
                    <w:jc w:val="center"/>
                    <w:rPr>
                      <w:b/>
                      <w:bCs/>
                      <w:color w:val="000000"/>
                      <w:highlight w:val="none"/>
                    </w:rPr>
                  </w:pPr>
                  <w:r>
                    <w:rPr>
                      <w:b/>
                      <w:bCs/>
                      <w:color w:val="000000"/>
                      <w:highlight w:val="none"/>
                    </w:rPr>
                    <w:t>手工监测采样方法及个数</w:t>
                  </w:r>
                </w:p>
              </w:tc>
              <w:tc>
                <w:tcPr>
                  <w:tcW w:w="984" w:type="dxa"/>
                  <w:tcBorders>
                    <w:top w:val="single" w:color="000000" w:sz="6" w:space="0"/>
                  </w:tcBorders>
                  <w:shd w:val="clear" w:color="auto" w:fill="auto"/>
                  <w:noWrap w:val="0"/>
                  <w:vAlign w:val="center"/>
                </w:tcPr>
                <w:p w14:paraId="3281B9DB">
                  <w:pPr>
                    <w:shd w:val="clear" w:color="auto" w:fill="auto"/>
                    <w:bidi w:val="0"/>
                    <w:jc w:val="center"/>
                    <w:rPr>
                      <w:b/>
                      <w:bCs/>
                      <w:color w:val="000000"/>
                      <w:highlight w:val="none"/>
                    </w:rPr>
                  </w:pPr>
                  <w:r>
                    <w:rPr>
                      <w:b/>
                      <w:bCs/>
                      <w:color w:val="000000"/>
                      <w:highlight w:val="none"/>
                    </w:rPr>
                    <w:t>手工监测频次</w:t>
                  </w:r>
                </w:p>
              </w:tc>
            </w:tr>
            <w:tr w14:paraId="661D0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263" w:hRule="atLeast"/>
              </w:trPr>
              <w:tc>
                <w:tcPr>
                  <w:tcW w:w="480" w:type="dxa"/>
                  <w:tcBorders>
                    <w:left w:val="single" w:color="000000" w:sz="6" w:space="0"/>
                  </w:tcBorders>
                  <w:shd w:val="clear" w:color="auto" w:fill="auto"/>
                  <w:noWrap w:val="0"/>
                  <w:vAlign w:val="center"/>
                </w:tcPr>
                <w:p w14:paraId="728769A3">
                  <w:pPr>
                    <w:shd w:val="clear" w:color="auto" w:fill="auto"/>
                    <w:bidi w:val="0"/>
                    <w:jc w:val="center"/>
                    <w:rPr>
                      <w:rFonts w:hint="eastAsia" w:eastAsia="宋体"/>
                      <w:color w:val="000000"/>
                      <w:highlight w:val="none"/>
                      <w:lang w:val="en-US" w:eastAsia="zh-CN"/>
                    </w:rPr>
                  </w:pPr>
                  <w:r>
                    <w:rPr>
                      <w:rFonts w:hint="eastAsia"/>
                      <w:color w:val="000000"/>
                      <w:highlight w:val="none"/>
                      <w:lang w:val="en-US" w:eastAsia="zh-CN"/>
                    </w:rPr>
                    <w:t>1</w:t>
                  </w:r>
                </w:p>
              </w:tc>
              <w:tc>
                <w:tcPr>
                  <w:tcW w:w="1200" w:type="dxa"/>
                  <w:shd w:val="clear" w:color="auto" w:fill="auto"/>
                  <w:noWrap w:val="0"/>
                  <w:vAlign w:val="center"/>
                </w:tcPr>
                <w:p w14:paraId="49D83235">
                  <w:pPr>
                    <w:shd w:val="clear" w:color="auto" w:fill="auto"/>
                    <w:bidi w:val="0"/>
                    <w:jc w:val="center"/>
                    <w:rPr>
                      <w:rFonts w:hint="eastAsia" w:eastAsia="宋体"/>
                      <w:color w:val="000000"/>
                      <w:highlight w:val="none"/>
                      <w:lang w:val="en-US" w:eastAsia="zh-CN"/>
                    </w:rPr>
                  </w:pPr>
                  <w:r>
                    <w:rPr>
                      <w:color w:val="000000"/>
                      <w:highlight w:val="none"/>
                    </w:rPr>
                    <w:t>pH值、悬浮物、化学需氧量、五 日生化需氧量、氨氮、总氮、总 磷、色度</w:t>
                  </w:r>
                  <w:r>
                    <w:rPr>
                      <w:rFonts w:hint="eastAsia"/>
                      <w:color w:val="000000"/>
                      <w:highlight w:val="none"/>
                      <w:lang w:val="en-US" w:eastAsia="zh-CN"/>
                    </w:rPr>
                    <w:t>等</w:t>
                  </w:r>
                </w:p>
              </w:tc>
              <w:tc>
                <w:tcPr>
                  <w:tcW w:w="863" w:type="dxa"/>
                  <w:shd w:val="clear" w:color="auto" w:fill="auto"/>
                  <w:noWrap w:val="0"/>
                  <w:vAlign w:val="center"/>
                </w:tcPr>
                <w:p w14:paraId="23351322">
                  <w:pPr>
                    <w:shd w:val="clear" w:color="auto" w:fill="auto"/>
                    <w:bidi w:val="0"/>
                    <w:jc w:val="center"/>
                    <w:rPr>
                      <w:rFonts w:hint="eastAsia" w:eastAsia="宋体"/>
                      <w:color w:val="000000"/>
                      <w:highlight w:val="none"/>
                      <w:lang w:val="en-US" w:eastAsia="zh-CN"/>
                    </w:rPr>
                  </w:pPr>
                  <w:r>
                    <w:rPr>
                      <w:rFonts w:hint="eastAsia"/>
                      <w:color w:val="000000"/>
                      <w:highlight w:val="none"/>
                      <w:lang w:val="en-US" w:eastAsia="zh-CN"/>
                    </w:rPr>
                    <w:t>手工</w:t>
                  </w:r>
                </w:p>
              </w:tc>
              <w:tc>
                <w:tcPr>
                  <w:tcW w:w="700" w:type="dxa"/>
                  <w:shd w:val="clear" w:color="auto" w:fill="auto"/>
                  <w:noWrap w:val="0"/>
                  <w:vAlign w:val="center"/>
                </w:tcPr>
                <w:p w14:paraId="29183BE0">
                  <w:pPr>
                    <w:shd w:val="clear" w:color="auto" w:fill="auto"/>
                    <w:bidi w:val="0"/>
                    <w:jc w:val="center"/>
                    <w:rPr>
                      <w:rFonts w:hint="eastAsia" w:eastAsia="宋体"/>
                      <w:color w:val="000000"/>
                      <w:highlight w:val="none"/>
                      <w:lang w:val="en-US" w:eastAsia="zh-CN"/>
                    </w:rPr>
                  </w:pPr>
                  <w:r>
                    <w:rPr>
                      <w:rFonts w:hint="eastAsia"/>
                      <w:color w:val="000000"/>
                      <w:highlight w:val="none"/>
                      <w:lang w:val="en-US" w:eastAsia="zh-CN"/>
                    </w:rPr>
                    <w:t>/</w:t>
                  </w:r>
                </w:p>
              </w:tc>
              <w:tc>
                <w:tcPr>
                  <w:tcW w:w="1247" w:type="dxa"/>
                  <w:shd w:val="clear" w:color="auto" w:fill="auto"/>
                  <w:noWrap w:val="0"/>
                  <w:vAlign w:val="center"/>
                </w:tcPr>
                <w:p w14:paraId="40F87CB2">
                  <w:pPr>
                    <w:shd w:val="clear" w:color="auto" w:fill="auto"/>
                    <w:bidi w:val="0"/>
                    <w:jc w:val="center"/>
                    <w:rPr>
                      <w:rFonts w:hint="eastAsia" w:eastAsia="宋体"/>
                      <w:color w:val="000000"/>
                      <w:highlight w:val="none"/>
                      <w:lang w:val="en-US" w:eastAsia="zh-CN"/>
                    </w:rPr>
                  </w:pPr>
                  <w:r>
                    <w:rPr>
                      <w:rFonts w:hint="eastAsia"/>
                      <w:color w:val="000000"/>
                      <w:highlight w:val="none"/>
                      <w:lang w:val="en-US" w:eastAsia="zh-CN"/>
                    </w:rPr>
                    <w:t>/</w:t>
                  </w:r>
                </w:p>
              </w:tc>
              <w:tc>
                <w:tcPr>
                  <w:tcW w:w="717" w:type="dxa"/>
                  <w:shd w:val="clear" w:color="auto" w:fill="auto"/>
                  <w:noWrap w:val="0"/>
                  <w:vAlign w:val="center"/>
                </w:tcPr>
                <w:p w14:paraId="78FE60E6">
                  <w:pPr>
                    <w:shd w:val="clear" w:color="auto" w:fill="auto"/>
                    <w:bidi w:val="0"/>
                    <w:jc w:val="center"/>
                    <w:rPr>
                      <w:rFonts w:hint="eastAsia" w:eastAsia="宋体"/>
                      <w:color w:val="000000"/>
                      <w:highlight w:val="none"/>
                      <w:lang w:val="en-US" w:eastAsia="zh-CN"/>
                    </w:rPr>
                  </w:pPr>
                  <w:r>
                    <w:rPr>
                      <w:rFonts w:hint="eastAsia"/>
                      <w:color w:val="000000"/>
                      <w:highlight w:val="none"/>
                      <w:lang w:val="en-US" w:eastAsia="zh-CN"/>
                    </w:rPr>
                    <w:t>/</w:t>
                  </w:r>
                </w:p>
              </w:tc>
              <w:tc>
                <w:tcPr>
                  <w:tcW w:w="808" w:type="dxa"/>
                  <w:shd w:val="clear" w:color="auto" w:fill="auto"/>
                  <w:noWrap w:val="0"/>
                  <w:vAlign w:val="center"/>
                </w:tcPr>
                <w:p w14:paraId="2E8EBBA9">
                  <w:pPr>
                    <w:shd w:val="clear" w:color="auto" w:fill="auto"/>
                    <w:bidi w:val="0"/>
                    <w:jc w:val="center"/>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rPr>
                    <w:t>/</w:t>
                  </w:r>
                </w:p>
              </w:tc>
              <w:tc>
                <w:tcPr>
                  <w:tcW w:w="1108" w:type="dxa"/>
                  <w:shd w:val="clear" w:color="auto" w:fill="auto"/>
                  <w:noWrap w:val="0"/>
                  <w:vAlign w:val="center"/>
                </w:tcPr>
                <w:p w14:paraId="33F6B31F">
                  <w:pPr>
                    <w:shd w:val="clear" w:color="auto" w:fill="auto"/>
                    <w:bidi w:val="0"/>
                    <w:jc w:val="center"/>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i w:val="0"/>
                      <w:iCs w:val="0"/>
                      <w:caps w:val="0"/>
                      <w:color w:val="000000"/>
                      <w:spacing w:val="0"/>
                      <w:sz w:val="21"/>
                      <w:szCs w:val="21"/>
                      <w:highlight w:val="none"/>
                      <w:shd w:val="clear" w:color="auto" w:fill="FFFFFF"/>
                    </w:rPr>
                    <w:t>混合采样</w:t>
                  </w:r>
                  <w:r>
                    <w:rPr>
                      <w:rFonts w:hint="default" w:ascii="Times New Roman" w:hAnsi="Times New Roman" w:eastAsia="宋体" w:cs="Times New Roman"/>
                      <w:i w:val="0"/>
                      <w:iCs w:val="0"/>
                      <w:caps w:val="0"/>
                      <w:color w:val="000000"/>
                      <w:spacing w:val="0"/>
                      <w:sz w:val="21"/>
                      <w:szCs w:val="21"/>
                      <w:highlight w:val="none"/>
                      <w:shd w:val="clear" w:color="auto" w:fill="FFFFFF"/>
                      <w:lang w:eastAsia="zh-CN"/>
                    </w:rPr>
                    <w:t>，</w:t>
                  </w:r>
                  <w:r>
                    <w:rPr>
                      <w:rFonts w:hint="default" w:ascii="Times New Roman" w:hAnsi="Times New Roman" w:eastAsia="宋体" w:cs="Times New Roman"/>
                      <w:i w:val="0"/>
                      <w:iCs w:val="0"/>
                      <w:caps w:val="0"/>
                      <w:color w:val="000000"/>
                      <w:spacing w:val="0"/>
                      <w:sz w:val="21"/>
                      <w:szCs w:val="21"/>
                      <w:highlight w:val="none"/>
                      <w:shd w:val="clear" w:color="auto" w:fill="FFFFFF"/>
                    </w:rPr>
                    <w:t>至少4个混合样</w:t>
                  </w:r>
                  <w:r>
                    <w:rPr>
                      <w:rFonts w:hint="eastAsia" w:cs="Times New Roman"/>
                      <w:i w:val="0"/>
                      <w:iCs w:val="0"/>
                      <w:caps w:val="0"/>
                      <w:color w:val="000000"/>
                      <w:spacing w:val="0"/>
                      <w:sz w:val="21"/>
                      <w:szCs w:val="21"/>
                      <w:highlight w:val="none"/>
                      <w:shd w:val="clear" w:color="auto" w:fill="FFFFFF"/>
                      <w:lang w:val="en-US" w:eastAsia="zh-CN"/>
                    </w:rPr>
                    <w:t>本</w:t>
                  </w:r>
                </w:p>
              </w:tc>
              <w:tc>
                <w:tcPr>
                  <w:tcW w:w="984" w:type="dxa"/>
                  <w:shd w:val="clear" w:color="auto" w:fill="auto"/>
                  <w:noWrap w:val="0"/>
                  <w:vAlign w:val="center"/>
                </w:tcPr>
                <w:p w14:paraId="1EF17DEF">
                  <w:pPr>
                    <w:shd w:val="clear" w:color="auto" w:fill="auto"/>
                    <w:bidi w:val="0"/>
                    <w:jc w:val="center"/>
                    <w:rPr>
                      <w:rFonts w:hint="default" w:ascii="Times New Roman" w:hAnsi="Times New Roman" w:eastAsia="宋体" w:cs="Times New Roman"/>
                      <w:color w:val="000000"/>
                      <w:highlight w:val="none"/>
                      <w:lang w:val="en-US" w:eastAsia="zh-CN"/>
                    </w:rPr>
                  </w:pPr>
                  <w:r>
                    <w:rPr>
                      <w:rFonts w:hint="default" w:ascii="Times New Roman" w:hAnsi="Times New Roman" w:cs="Times New Roman"/>
                      <w:color w:val="000000"/>
                      <w:highlight w:val="none"/>
                      <w:lang w:val="en-US" w:eastAsia="zh-CN"/>
                    </w:rPr>
                    <w:t>1次/半年</w:t>
                  </w:r>
                </w:p>
              </w:tc>
            </w:tr>
          </w:tbl>
          <w:p w14:paraId="0CBD2608">
            <w:pPr>
              <w:widowControl/>
              <w:shd w:val="clear" w:color="auto" w:fill="auto"/>
              <w:spacing w:line="360" w:lineRule="auto"/>
              <w:ind w:firstLine="422" w:firstLineChars="200"/>
              <w:jc w:val="both"/>
              <w:rPr>
                <w:rFonts w:hint="eastAsia" w:ascii="Times New Roman" w:hAnsi="Times New Roman" w:eastAsia="宋体" w:cs="Times New Roman"/>
                <w:b/>
                <w:color w:val="000000"/>
                <w:sz w:val="21"/>
                <w:szCs w:val="21"/>
                <w:highlight w:val="none"/>
              </w:rPr>
            </w:pPr>
            <w:r>
              <w:rPr>
                <w:rFonts w:hint="eastAsia" w:ascii="Times New Roman" w:hAnsi="Times New Roman" w:eastAsia="宋体" w:cs="Times New Roman"/>
                <w:b/>
                <w:color w:val="000000"/>
                <w:sz w:val="21"/>
                <w:szCs w:val="21"/>
                <w:highlight w:val="none"/>
              </w:rPr>
              <w:t>三、运营期噪声环境影响和保护措施</w:t>
            </w:r>
          </w:p>
          <w:p w14:paraId="456F87DB">
            <w:pPr>
              <w:shd w:val="clear" w:color="auto" w:fill="auto"/>
              <w:spacing w:line="360" w:lineRule="auto"/>
              <w:ind w:firstLine="422" w:firstLineChars="200"/>
              <w:rPr>
                <w:rFonts w:ascii="Times New Roman" w:hAnsi="Times New Roman" w:eastAsia="宋体" w:cs="Times New Roman"/>
                <w:b/>
                <w:bCs/>
                <w:color w:val="000000"/>
                <w:sz w:val="21"/>
                <w:szCs w:val="21"/>
                <w:highlight w:val="none"/>
              </w:rPr>
            </w:pPr>
            <w:r>
              <w:rPr>
                <w:rFonts w:hint="eastAsia" w:cs="Times New Roman"/>
                <w:b/>
                <w:bCs/>
                <w:color w:val="000000"/>
                <w:sz w:val="21"/>
                <w:szCs w:val="21"/>
                <w:highlight w:val="none"/>
                <w:lang w:val="en-US" w:eastAsia="zh-CN"/>
              </w:rPr>
              <w:t>1.</w:t>
            </w:r>
            <w:r>
              <w:rPr>
                <w:rFonts w:hint="eastAsia" w:ascii="Times New Roman" w:hAnsi="Times New Roman" w:eastAsia="宋体" w:cs="Times New Roman"/>
                <w:b/>
                <w:bCs/>
                <w:color w:val="000000"/>
                <w:sz w:val="21"/>
                <w:szCs w:val="21"/>
                <w:highlight w:val="none"/>
              </w:rPr>
              <w:t>噪声源强分析</w:t>
            </w:r>
          </w:p>
          <w:p w14:paraId="0CF9B517">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textAlignment w:val="auto"/>
              <w:rPr>
                <w:rFonts w:hint="eastAsia"/>
                <w:snapToGrid w:val="0"/>
                <w:color w:val="000000"/>
                <w:kern w:val="0"/>
                <w:sz w:val="21"/>
                <w:szCs w:val="21"/>
                <w:highlight w:val="none"/>
              </w:rPr>
            </w:pPr>
            <w:r>
              <w:rPr>
                <w:rFonts w:hint="eastAsia"/>
                <w:color w:val="000000"/>
                <w:sz w:val="21"/>
                <w:szCs w:val="21"/>
                <w:highlight w:val="none"/>
              </w:rPr>
              <w:t>本</w:t>
            </w:r>
            <w:r>
              <w:rPr>
                <w:color w:val="000000"/>
                <w:sz w:val="21"/>
                <w:szCs w:val="21"/>
                <w:highlight w:val="none"/>
              </w:rPr>
              <w:t>项目</w:t>
            </w:r>
            <w:r>
              <w:rPr>
                <w:rFonts w:hint="eastAsia"/>
                <w:color w:val="000000"/>
                <w:sz w:val="21"/>
                <w:szCs w:val="21"/>
                <w:highlight w:val="none"/>
              </w:rPr>
              <w:t>运营期</w:t>
            </w:r>
            <w:r>
              <w:rPr>
                <w:color w:val="000000"/>
                <w:sz w:val="21"/>
                <w:szCs w:val="21"/>
                <w:highlight w:val="none"/>
              </w:rPr>
              <w:t>主要噪声源</w:t>
            </w:r>
            <w:r>
              <w:rPr>
                <w:rFonts w:hint="eastAsia"/>
                <w:color w:val="000000"/>
                <w:sz w:val="21"/>
                <w:szCs w:val="21"/>
                <w:highlight w:val="none"/>
              </w:rPr>
              <w:t>为</w:t>
            </w:r>
            <w:r>
              <w:rPr>
                <w:rFonts w:hint="eastAsia"/>
                <w:color w:val="000000"/>
                <w:sz w:val="21"/>
                <w:szCs w:val="21"/>
                <w:highlight w:val="none"/>
                <w:lang w:val="en-US" w:eastAsia="zh-CN"/>
              </w:rPr>
              <w:t>粉碎机、风机、泵</w:t>
            </w:r>
            <w:r>
              <w:rPr>
                <w:rFonts w:hint="eastAsia"/>
                <w:color w:val="000000"/>
                <w:sz w:val="21"/>
                <w:szCs w:val="21"/>
                <w:highlight w:val="none"/>
              </w:rPr>
              <w:t>等</w:t>
            </w:r>
            <w:r>
              <w:rPr>
                <w:color w:val="000000"/>
                <w:sz w:val="21"/>
                <w:szCs w:val="21"/>
                <w:highlight w:val="none"/>
              </w:rPr>
              <w:t>设备运行</w:t>
            </w:r>
            <w:r>
              <w:rPr>
                <w:rFonts w:hint="eastAsia"/>
                <w:color w:val="000000"/>
                <w:sz w:val="21"/>
                <w:szCs w:val="21"/>
                <w:highlight w:val="none"/>
              </w:rPr>
              <w:t>过程中产生的</w:t>
            </w:r>
            <w:r>
              <w:rPr>
                <w:snapToGrid w:val="0"/>
                <w:color w:val="000000"/>
                <w:kern w:val="0"/>
                <w:sz w:val="21"/>
                <w:szCs w:val="21"/>
                <w:highlight w:val="none"/>
              </w:rPr>
              <w:t>噪声</w:t>
            </w:r>
            <w:r>
              <w:rPr>
                <w:rFonts w:hint="eastAsia"/>
                <w:snapToGrid w:val="0"/>
                <w:color w:val="000000"/>
                <w:kern w:val="0"/>
                <w:sz w:val="21"/>
                <w:szCs w:val="21"/>
                <w:highlight w:val="none"/>
              </w:rPr>
              <w:t>。</w:t>
            </w:r>
          </w:p>
          <w:p w14:paraId="2B5EE14E">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textAlignment w:val="auto"/>
              <w:rPr>
                <w:rFonts w:hint="eastAsia"/>
                <w:color w:val="000000"/>
                <w:sz w:val="21"/>
                <w:szCs w:val="21"/>
                <w:highlight w:val="none"/>
              </w:rPr>
            </w:pPr>
            <w:r>
              <w:rPr>
                <w:rFonts w:hint="eastAsia"/>
                <w:bCs/>
                <w:color w:val="000000"/>
                <w:sz w:val="21"/>
                <w:szCs w:val="21"/>
                <w:highlight w:val="none"/>
                <w:lang w:val="en-US" w:eastAsia="zh-CN"/>
              </w:rPr>
              <w:t>根据</w:t>
            </w:r>
            <w:r>
              <w:rPr>
                <w:bCs/>
                <w:color w:val="000000"/>
                <w:sz w:val="21"/>
                <w:szCs w:val="21"/>
                <w:highlight w:val="none"/>
              </w:rPr>
              <w:t>《环境影响评价技术导则 声环境》（HJ2.4</w:t>
            </w:r>
            <w:r>
              <w:rPr>
                <w:rFonts w:hint="eastAsia"/>
                <w:bCs/>
                <w:color w:val="000000"/>
                <w:sz w:val="21"/>
                <w:szCs w:val="21"/>
                <w:highlight w:val="none"/>
                <w:lang w:val="en-US" w:eastAsia="zh-CN"/>
              </w:rPr>
              <w:t>-</w:t>
            </w:r>
            <w:r>
              <w:rPr>
                <w:bCs/>
                <w:color w:val="000000"/>
                <w:sz w:val="21"/>
                <w:szCs w:val="21"/>
                <w:highlight w:val="none"/>
              </w:rPr>
              <w:t>20</w:t>
            </w:r>
            <w:r>
              <w:rPr>
                <w:rFonts w:hint="eastAsia"/>
                <w:bCs/>
                <w:color w:val="000000"/>
                <w:sz w:val="21"/>
                <w:szCs w:val="21"/>
                <w:highlight w:val="none"/>
                <w:lang w:val="en-US" w:eastAsia="zh-CN"/>
              </w:rPr>
              <w:t>21</w:t>
            </w:r>
            <w:r>
              <w:rPr>
                <w:bCs/>
                <w:color w:val="000000"/>
                <w:sz w:val="21"/>
                <w:szCs w:val="21"/>
                <w:highlight w:val="none"/>
              </w:rPr>
              <w:t>）</w:t>
            </w:r>
            <w:r>
              <w:rPr>
                <w:rFonts w:hint="eastAsia"/>
                <w:bCs/>
                <w:color w:val="000000"/>
                <w:sz w:val="21"/>
                <w:szCs w:val="21"/>
                <w:highlight w:val="none"/>
                <w:lang w:val="en-US" w:eastAsia="zh-CN"/>
              </w:rPr>
              <w:t>中附录D的推荐表格进行声源调查，以车间西南角为坐标原点建立坐标系，</w:t>
            </w:r>
            <w:r>
              <w:rPr>
                <w:color w:val="000000"/>
                <w:sz w:val="21"/>
                <w:szCs w:val="21"/>
                <w:highlight w:val="none"/>
              </w:rPr>
              <w:t>各声源声级值详见</w:t>
            </w:r>
            <w:r>
              <w:rPr>
                <w:rFonts w:hint="eastAsia"/>
                <w:color w:val="000000"/>
                <w:sz w:val="21"/>
                <w:szCs w:val="21"/>
                <w:highlight w:val="none"/>
                <w:lang w:val="en-US" w:eastAsia="zh-CN"/>
              </w:rPr>
              <w:t>下</w:t>
            </w:r>
            <w:r>
              <w:rPr>
                <w:color w:val="000000"/>
                <w:sz w:val="21"/>
                <w:szCs w:val="21"/>
                <w:highlight w:val="none"/>
              </w:rPr>
              <w:t>表。</w:t>
            </w:r>
          </w:p>
          <w:p w14:paraId="15C869A8">
            <w:pPr>
              <w:keepNext w:val="0"/>
              <w:keepLines w:val="0"/>
              <w:pageBreakBefore w:val="0"/>
              <w:widowControl/>
              <w:shd w:val="clear" w:color="auto" w:fill="auto"/>
              <w:kinsoku/>
              <w:wordWrap/>
              <w:overflowPunct/>
              <w:topLinePunct w:val="0"/>
              <w:autoSpaceDE/>
              <w:autoSpaceDN/>
              <w:bidi w:val="0"/>
              <w:adjustRightInd w:val="0"/>
              <w:snapToGrid w:val="0"/>
              <w:spacing w:line="240" w:lineRule="auto"/>
              <w:jc w:val="center"/>
              <w:textAlignment w:val="auto"/>
              <w:rPr>
                <w:rFonts w:hint="eastAsia"/>
                <w:b/>
                <w:color w:val="000000"/>
                <w:sz w:val="21"/>
                <w:szCs w:val="21"/>
                <w:highlight w:val="none"/>
                <w:lang w:eastAsia="zh-CN"/>
              </w:rPr>
            </w:pPr>
            <w:r>
              <w:rPr>
                <w:rFonts w:hint="eastAsia"/>
                <w:b/>
                <w:color w:val="000000"/>
                <w:sz w:val="21"/>
                <w:szCs w:val="21"/>
                <w:highlight w:val="none"/>
              </w:rPr>
              <w:t>表</w:t>
            </w:r>
            <w:r>
              <w:rPr>
                <w:b/>
                <w:color w:val="000000"/>
                <w:sz w:val="21"/>
                <w:szCs w:val="21"/>
                <w:highlight w:val="none"/>
              </w:rPr>
              <w:t>4</w:t>
            </w:r>
            <w:r>
              <w:rPr>
                <w:rFonts w:hint="eastAsia"/>
                <w:b/>
                <w:color w:val="000000"/>
                <w:sz w:val="21"/>
                <w:szCs w:val="21"/>
                <w:highlight w:val="none"/>
              </w:rPr>
              <w:t>-</w:t>
            </w:r>
            <w:r>
              <w:rPr>
                <w:rFonts w:hint="eastAsia"/>
                <w:b/>
                <w:color w:val="000000"/>
                <w:sz w:val="21"/>
                <w:szCs w:val="21"/>
                <w:highlight w:val="none"/>
                <w:lang w:val="en-US" w:eastAsia="zh-CN"/>
              </w:rPr>
              <w:t>15</w:t>
            </w:r>
            <w:r>
              <w:rPr>
                <w:rFonts w:hint="eastAsia"/>
                <w:b/>
                <w:color w:val="000000"/>
                <w:sz w:val="21"/>
                <w:szCs w:val="21"/>
                <w:highlight w:val="none"/>
              </w:rPr>
              <w:t xml:space="preserve">  噪声源声级值</w:t>
            </w:r>
            <w:r>
              <w:rPr>
                <w:rFonts w:hint="eastAsia"/>
                <w:b/>
                <w:color w:val="000000"/>
                <w:sz w:val="21"/>
                <w:szCs w:val="21"/>
                <w:highlight w:val="none"/>
                <w:lang w:eastAsia="zh-CN"/>
              </w:rPr>
              <w:t>（</w:t>
            </w:r>
            <w:r>
              <w:rPr>
                <w:rFonts w:hint="eastAsia"/>
                <w:b/>
                <w:color w:val="000000"/>
                <w:sz w:val="21"/>
                <w:szCs w:val="21"/>
                <w:highlight w:val="none"/>
                <w:lang w:val="en-US" w:eastAsia="zh-CN"/>
              </w:rPr>
              <w:t>室内声源</w:t>
            </w:r>
            <w:r>
              <w:rPr>
                <w:rFonts w:hint="eastAsia"/>
                <w:b/>
                <w:color w:val="000000"/>
                <w:sz w:val="21"/>
                <w:szCs w:val="21"/>
                <w:highlight w:val="none"/>
                <w:lang w:eastAsia="zh-CN"/>
              </w:rPr>
              <w:t>）</w:t>
            </w:r>
          </w:p>
          <w:tbl>
            <w:tblPr>
              <w:tblStyle w:val="21"/>
              <w:tblW w:w="500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367"/>
              <w:gridCol w:w="432"/>
              <w:gridCol w:w="992"/>
              <w:gridCol w:w="538"/>
              <w:gridCol w:w="735"/>
              <w:gridCol w:w="471"/>
              <w:gridCol w:w="407"/>
              <w:gridCol w:w="451"/>
              <w:gridCol w:w="621"/>
              <w:gridCol w:w="621"/>
              <w:gridCol w:w="621"/>
              <w:gridCol w:w="623"/>
              <w:gridCol w:w="623"/>
              <w:gridCol w:w="641"/>
            </w:tblGrid>
            <w:tr w14:paraId="0C278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225" w:type="pct"/>
                  <w:vMerge w:val="restart"/>
                  <w:tcBorders>
                    <w:tl2br w:val="nil"/>
                    <w:tr2bl w:val="nil"/>
                  </w:tcBorders>
                  <w:shd w:val="clear" w:color="auto" w:fill="auto"/>
                  <w:noWrap w:val="0"/>
                  <w:vAlign w:val="center"/>
                </w:tcPr>
                <w:p w14:paraId="4B8022AE">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序号</w:t>
                  </w:r>
                </w:p>
              </w:tc>
              <w:tc>
                <w:tcPr>
                  <w:tcW w:w="265" w:type="pct"/>
                  <w:vMerge w:val="restart"/>
                  <w:tcBorders>
                    <w:tl2br w:val="nil"/>
                    <w:tr2bl w:val="nil"/>
                  </w:tcBorders>
                  <w:shd w:val="clear" w:color="auto" w:fill="auto"/>
                  <w:noWrap w:val="0"/>
                  <w:vAlign w:val="center"/>
                </w:tcPr>
                <w:p w14:paraId="641B07CB">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建筑物名称</w:t>
                  </w:r>
                </w:p>
              </w:tc>
              <w:tc>
                <w:tcPr>
                  <w:tcW w:w="608" w:type="pct"/>
                  <w:vMerge w:val="restart"/>
                  <w:tcBorders>
                    <w:tl2br w:val="nil"/>
                    <w:tr2bl w:val="nil"/>
                  </w:tcBorders>
                  <w:shd w:val="clear" w:color="auto" w:fill="auto"/>
                  <w:noWrap w:val="0"/>
                  <w:vAlign w:val="center"/>
                </w:tcPr>
                <w:p w14:paraId="48B86AB0">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声源名称</w:t>
                  </w:r>
                </w:p>
              </w:tc>
              <w:tc>
                <w:tcPr>
                  <w:tcW w:w="330" w:type="pct"/>
                  <w:vMerge w:val="restart"/>
                  <w:tcBorders>
                    <w:tl2br w:val="nil"/>
                    <w:tr2bl w:val="nil"/>
                  </w:tcBorders>
                  <w:shd w:val="clear" w:color="auto" w:fill="auto"/>
                  <w:noWrap w:val="0"/>
                  <w:vAlign w:val="center"/>
                </w:tcPr>
                <w:p w14:paraId="30F3DB1E">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声功率级</w:t>
                  </w:r>
                </w:p>
                <w:p w14:paraId="25FB25BA">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eastAsia="zh-CN"/>
                    </w:rPr>
                  </w:pPr>
                  <w:r>
                    <w:rPr>
                      <w:rFonts w:hint="default" w:ascii="Times New Roman" w:hAnsi="Times New Roman" w:cs="Times New Roman"/>
                      <w:color w:val="000000"/>
                      <w:sz w:val="21"/>
                      <w:szCs w:val="21"/>
                      <w:highlight w:val="none"/>
                    </w:rPr>
                    <w:t>/dB</w:t>
                  </w:r>
                  <w:r>
                    <w:rPr>
                      <w:rFonts w:hint="eastAsia"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rPr>
                    <w:t>A</w:t>
                  </w:r>
                  <w:r>
                    <w:rPr>
                      <w:rFonts w:hint="eastAsia" w:ascii="Times New Roman" w:hAnsi="Times New Roman" w:cs="Times New Roman"/>
                      <w:color w:val="000000"/>
                      <w:sz w:val="21"/>
                      <w:szCs w:val="21"/>
                      <w:highlight w:val="none"/>
                      <w:lang w:eastAsia="zh-CN"/>
                    </w:rPr>
                    <w:t>)</w:t>
                  </w:r>
                </w:p>
              </w:tc>
              <w:tc>
                <w:tcPr>
                  <w:tcW w:w="451" w:type="pct"/>
                  <w:vMerge w:val="restart"/>
                  <w:tcBorders>
                    <w:tl2br w:val="nil"/>
                    <w:tr2bl w:val="nil"/>
                  </w:tcBorders>
                  <w:shd w:val="clear" w:color="auto" w:fill="auto"/>
                  <w:noWrap w:val="0"/>
                  <w:vAlign w:val="center"/>
                </w:tcPr>
                <w:p w14:paraId="0316932E">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声源</w:t>
                  </w:r>
                </w:p>
                <w:p w14:paraId="1363C411">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控制</w:t>
                  </w:r>
                </w:p>
                <w:p w14:paraId="07D5C09C">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措施</w:t>
                  </w:r>
                </w:p>
              </w:tc>
              <w:tc>
                <w:tcPr>
                  <w:tcW w:w="815" w:type="pct"/>
                  <w:gridSpan w:val="3"/>
                  <w:tcBorders>
                    <w:tl2br w:val="nil"/>
                    <w:tr2bl w:val="nil"/>
                  </w:tcBorders>
                  <w:shd w:val="clear" w:color="auto" w:fill="auto"/>
                  <w:noWrap w:val="0"/>
                  <w:vAlign w:val="center"/>
                </w:tcPr>
                <w:p w14:paraId="79F2ED9A">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Times New Roman" w:cs="Times New Roman"/>
                      <w:color w:val="000000"/>
                      <w:sz w:val="21"/>
                      <w:szCs w:val="21"/>
                      <w:highlight w:val="none"/>
                    </w:rPr>
                  </w:pPr>
                  <w:r>
                    <w:rPr>
                      <w:rFonts w:hint="default" w:ascii="Times New Roman" w:hAnsi="Times New Roman" w:cs="Times New Roman"/>
                      <w:color w:val="000000"/>
                      <w:sz w:val="21"/>
                      <w:szCs w:val="21"/>
                      <w:highlight w:val="none"/>
                    </w:rPr>
                    <w:t>空间相对位置</w:t>
                  </w:r>
                  <w:r>
                    <w:rPr>
                      <w:rFonts w:hint="default" w:ascii="Times New Roman" w:hAnsi="Times New Roman" w:eastAsia="Times New Roman" w:cs="Times New Roman"/>
                      <w:color w:val="000000"/>
                      <w:sz w:val="21"/>
                      <w:szCs w:val="21"/>
                      <w:highlight w:val="none"/>
                    </w:rPr>
                    <w:t>/m</w:t>
                  </w:r>
                </w:p>
              </w:tc>
              <w:tc>
                <w:tcPr>
                  <w:tcW w:w="381" w:type="pct"/>
                  <w:vMerge w:val="restart"/>
                  <w:tcBorders>
                    <w:tl2br w:val="nil"/>
                    <w:tr2bl w:val="nil"/>
                  </w:tcBorders>
                  <w:shd w:val="clear" w:color="auto" w:fill="auto"/>
                  <w:noWrap w:val="0"/>
                  <w:vAlign w:val="center"/>
                </w:tcPr>
                <w:p w14:paraId="64CFD53A">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运行时段</w:t>
                  </w:r>
                </w:p>
              </w:tc>
              <w:tc>
                <w:tcPr>
                  <w:tcW w:w="381" w:type="pct"/>
                  <w:vMerge w:val="restart"/>
                  <w:tcBorders>
                    <w:tl2br w:val="nil"/>
                    <w:tr2bl w:val="nil"/>
                  </w:tcBorders>
                  <w:shd w:val="clear" w:color="auto" w:fill="auto"/>
                  <w:noWrap w:val="0"/>
                  <w:vAlign w:val="center"/>
                </w:tcPr>
                <w:p w14:paraId="39F4BA9A">
                  <w:pPr>
                    <w:keepNext w:val="0"/>
                    <w:keepLines w:val="0"/>
                    <w:pageBreakBefore w:val="0"/>
                    <w:widowControl/>
                    <w:suppressLineNumbers w:val="0"/>
                    <w:shd w:val="clear" w:color="auto" w:fill="auto"/>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highlight w:val="none"/>
                    </w:rPr>
                  </w:pPr>
                  <w:r>
                    <w:rPr>
                      <w:rFonts w:hint="default" w:ascii="Times New Roman" w:hAnsi="Times New Roman" w:eastAsia="新宋体" w:cs="Times New Roman"/>
                      <w:color w:val="000000"/>
                      <w:kern w:val="0"/>
                      <w:sz w:val="21"/>
                      <w:szCs w:val="21"/>
                      <w:highlight w:val="none"/>
                      <w:lang w:val="en-US" w:eastAsia="zh-CN" w:bidi="zh-HK"/>
                    </w:rPr>
                    <w:t>距室内边</w:t>
                  </w:r>
                </w:p>
                <w:p w14:paraId="10903C1A">
                  <w:pPr>
                    <w:keepNext w:val="0"/>
                    <w:keepLines w:val="0"/>
                    <w:pageBreakBefore w:val="0"/>
                    <w:widowControl/>
                    <w:suppressLineNumbers w:val="0"/>
                    <w:shd w:val="clear" w:color="auto" w:fill="auto"/>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eastAsia="新宋体" w:cs="Times New Roman"/>
                      <w:color w:val="000000"/>
                      <w:kern w:val="0"/>
                      <w:sz w:val="21"/>
                      <w:szCs w:val="21"/>
                      <w:highlight w:val="none"/>
                      <w:lang w:val="en-US" w:eastAsia="zh-CN" w:bidi="zh-HK"/>
                    </w:rPr>
                    <w:t>界距离</w:t>
                  </w:r>
                  <w:r>
                    <w:rPr>
                      <w:rFonts w:hint="default" w:ascii="Times New Roman" w:hAnsi="Times New Roman" w:eastAsia="宋体" w:cs="Times New Roman"/>
                      <w:color w:val="000000"/>
                      <w:kern w:val="0"/>
                      <w:sz w:val="21"/>
                      <w:szCs w:val="21"/>
                      <w:highlight w:val="none"/>
                      <w:lang w:val="en-US" w:eastAsia="zh-CN" w:bidi="zh-HK"/>
                    </w:rPr>
                    <w:t>/m</w:t>
                  </w:r>
                </w:p>
              </w:tc>
              <w:tc>
                <w:tcPr>
                  <w:tcW w:w="381" w:type="pct"/>
                  <w:vMerge w:val="restart"/>
                  <w:tcBorders>
                    <w:tl2br w:val="nil"/>
                    <w:tr2bl w:val="nil"/>
                  </w:tcBorders>
                  <w:shd w:val="clear" w:color="auto" w:fill="auto"/>
                  <w:noWrap w:val="0"/>
                  <w:vAlign w:val="center"/>
                </w:tcPr>
                <w:p w14:paraId="634C207E">
                  <w:pPr>
                    <w:keepNext w:val="0"/>
                    <w:keepLines w:val="0"/>
                    <w:pageBreakBefore w:val="0"/>
                    <w:widowControl/>
                    <w:suppressLineNumbers w:val="0"/>
                    <w:shd w:val="clear" w:color="auto" w:fill="auto"/>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新宋体" w:cs="Times New Roman"/>
                      <w:color w:val="000000"/>
                      <w:kern w:val="0"/>
                      <w:sz w:val="21"/>
                      <w:szCs w:val="21"/>
                      <w:highlight w:val="none"/>
                      <w:lang w:val="en-US" w:eastAsia="zh-CN" w:bidi="zh-HK"/>
                    </w:rPr>
                  </w:pPr>
                  <w:r>
                    <w:rPr>
                      <w:rFonts w:hint="default" w:ascii="Times New Roman" w:hAnsi="Times New Roman" w:eastAsia="新宋体" w:cs="Times New Roman"/>
                      <w:color w:val="000000"/>
                      <w:kern w:val="0"/>
                      <w:sz w:val="21"/>
                      <w:szCs w:val="21"/>
                      <w:highlight w:val="none"/>
                      <w:lang w:val="en-US" w:eastAsia="zh-CN" w:bidi="zh-HK"/>
                    </w:rPr>
                    <w:t>室内边界声级</w:t>
                  </w:r>
                </w:p>
                <w:p w14:paraId="2B8C207A">
                  <w:pPr>
                    <w:keepNext w:val="0"/>
                    <w:keepLines w:val="0"/>
                    <w:pageBreakBefore w:val="0"/>
                    <w:widowControl/>
                    <w:suppressLineNumbers w:val="0"/>
                    <w:shd w:val="clear" w:color="auto" w:fill="auto"/>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新宋体" w:cs="Times New Roman"/>
                      <w:color w:val="000000"/>
                      <w:kern w:val="0"/>
                      <w:sz w:val="21"/>
                      <w:szCs w:val="21"/>
                      <w:highlight w:val="none"/>
                      <w:lang w:val="en-US" w:eastAsia="zh-CN" w:bidi="zh-HK"/>
                    </w:rPr>
                  </w:pPr>
                  <w:r>
                    <w:rPr>
                      <w:rFonts w:hint="default" w:ascii="Times New Roman" w:hAnsi="Times New Roman" w:eastAsia="宋体" w:cs="Times New Roman"/>
                      <w:color w:val="000000"/>
                      <w:kern w:val="0"/>
                      <w:sz w:val="21"/>
                      <w:szCs w:val="21"/>
                      <w:highlight w:val="none"/>
                      <w:lang w:val="en-US" w:eastAsia="zh-CN" w:bidi="zh-HK"/>
                    </w:rPr>
                    <w:t>/dB</w:t>
                  </w:r>
                  <w:r>
                    <w:rPr>
                      <w:rFonts w:hint="eastAsia" w:cs="Times New Roman"/>
                      <w:color w:val="000000"/>
                      <w:kern w:val="0"/>
                      <w:sz w:val="21"/>
                      <w:szCs w:val="21"/>
                      <w:highlight w:val="none"/>
                      <w:lang w:val="en-US" w:eastAsia="zh-CN" w:bidi="zh-HK"/>
                    </w:rPr>
                    <w:t>(</w:t>
                  </w:r>
                  <w:r>
                    <w:rPr>
                      <w:rFonts w:hint="default" w:ascii="Times New Roman" w:hAnsi="Times New Roman" w:eastAsia="宋体" w:cs="Times New Roman"/>
                      <w:color w:val="000000"/>
                      <w:kern w:val="0"/>
                      <w:sz w:val="21"/>
                      <w:szCs w:val="21"/>
                      <w:highlight w:val="none"/>
                      <w:lang w:val="en-US" w:eastAsia="zh-CN" w:bidi="zh-HK"/>
                    </w:rPr>
                    <w:t>A</w:t>
                  </w:r>
                  <w:r>
                    <w:rPr>
                      <w:rFonts w:hint="eastAsia" w:cs="Times New Roman"/>
                      <w:color w:val="000000"/>
                      <w:kern w:val="0"/>
                      <w:sz w:val="21"/>
                      <w:szCs w:val="21"/>
                      <w:highlight w:val="none"/>
                      <w:lang w:val="en-US" w:eastAsia="zh-CN" w:bidi="zh-HK"/>
                    </w:rPr>
                    <w:t>)</w:t>
                  </w:r>
                </w:p>
              </w:tc>
              <w:tc>
                <w:tcPr>
                  <w:tcW w:w="382" w:type="pct"/>
                  <w:vMerge w:val="restart"/>
                  <w:tcBorders>
                    <w:tl2br w:val="nil"/>
                    <w:tr2bl w:val="nil"/>
                  </w:tcBorders>
                  <w:shd w:val="clear" w:color="auto" w:fill="auto"/>
                  <w:noWrap w:val="0"/>
                  <w:vAlign w:val="center"/>
                </w:tcPr>
                <w:p w14:paraId="14F53455">
                  <w:pPr>
                    <w:keepNext w:val="0"/>
                    <w:keepLines w:val="0"/>
                    <w:pageBreakBefore w:val="0"/>
                    <w:widowControl/>
                    <w:suppressLineNumbers w:val="0"/>
                    <w:shd w:val="clear" w:color="auto" w:fill="auto"/>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highlight w:val="none"/>
                    </w:rPr>
                  </w:pPr>
                  <w:r>
                    <w:rPr>
                      <w:rFonts w:hint="default" w:ascii="Times New Roman" w:hAnsi="Times New Roman" w:eastAsia="新宋体" w:cs="Times New Roman"/>
                      <w:color w:val="000000"/>
                      <w:kern w:val="0"/>
                      <w:sz w:val="21"/>
                      <w:szCs w:val="21"/>
                      <w:highlight w:val="none"/>
                      <w:lang w:val="en-US" w:eastAsia="zh-CN" w:bidi="zh-HK"/>
                    </w:rPr>
                    <w:t>建筑物插</w:t>
                  </w:r>
                </w:p>
                <w:p w14:paraId="3F18443D">
                  <w:pPr>
                    <w:keepNext w:val="0"/>
                    <w:keepLines w:val="0"/>
                    <w:pageBreakBefore w:val="0"/>
                    <w:widowControl/>
                    <w:suppressLineNumbers w:val="0"/>
                    <w:shd w:val="clear" w:color="auto" w:fill="auto"/>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0"/>
                      <w:sz w:val="21"/>
                      <w:szCs w:val="21"/>
                      <w:highlight w:val="none"/>
                      <w:lang w:val="en-US" w:eastAsia="zh-CN" w:bidi="zh-HK"/>
                    </w:rPr>
                  </w:pPr>
                  <w:r>
                    <w:rPr>
                      <w:rFonts w:hint="default" w:ascii="Times New Roman" w:hAnsi="Times New Roman" w:eastAsia="新宋体" w:cs="Times New Roman"/>
                      <w:color w:val="000000"/>
                      <w:kern w:val="0"/>
                      <w:sz w:val="21"/>
                      <w:szCs w:val="21"/>
                      <w:highlight w:val="none"/>
                      <w:lang w:val="en-US" w:eastAsia="zh-CN" w:bidi="zh-HK"/>
                    </w:rPr>
                    <w:t>入损失</w:t>
                  </w:r>
                  <w:r>
                    <w:rPr>
                      <w:rFonts w:hint="default" w:ascii="Times New Roman" w:hAnsi="Times New Roman" w:eastAsia="宋体" w:cs="Times New Roman"/>
                      <w:color w:val="000000"/>
                      <w:kern w:val="0"/>
                      <w:sz w:val="21"/>
                      <w:szCs w:val="21"/>
                      <w:highlight w:val="none"/>
                      <w:lang w:val="en-US" w:eastAsia="zh-CN" w:bidi="zh-HK"/>
                    </w:rPr>
                    <w:t>/</w:t>
                  </w:r>
                </w:p>
                <w:p w14:paraId="5581F029">
                  <w:pPr>
                    <w:keepNext w:val="0"/>
                    <w:keepLines w:val="0"/>
                    <w:pageBreakBefore w:val="0"/>
                    <w:widowControl/>
                    <w:suppressLineNumbers w:val="0"/>
                    <w:shd w:val="clear" w:color="auto" w:fill="auto"/>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eastAsia="宋体" w:cs="Times New Roman"/>
                      <w:color w:val="000000"/>
                      <w:kern w:val="0"/>
                      <w:sz w:val="21"/>
                      <w:szCs w:val="21"/>
                      <w:highlight w:val="none"/>
                      <w:lang w:val="en-US" w:eastAsia="zh-CN" w:bidi="zh-HK"/>
                    </w:rPr>
                    <w:t>dB（A）</w:t>
                  </w:r>
                </w:p>
              </w:tc>
              <w:tc>
                <w:tcPr>
                  <w:tcW w:w="775" w:type="pct"/>
                  <w:gridSpan w:val="2"/>
                  <w:tcBorders>
                    <w:tl2br w:val="nil"/>
                    <w:tr2bl w:val="nil"/>
                  </w:tcBorders>
                  <w:shd w:val="clear" w:color="auto" w:fill="auto"/>
                  <w:noWrap w:val="0"/>
                  <w:vAlign w:val="center"/>
                </w:tcPr>
                <w:p w14:paraId="398966C0">
                  <w:pPr>
                    <w:keepNext w:val="0"/>
                    <w:keepLines w:val="0"/>
                    <w:pageBreakBefore w:val="0"/>
                    <w:widowControl/>
                    <w:suppressLineNumbers w:val="0"/>
                    <w:shd w:val="clear" w:color="auto" w:fill="auto"/>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新宋体" w:cs="Times New Roman"/>
                      <w:color w:val="000000"/>
                      <w:kern w:val="0"/>
                      <w:sz w:val="21"/>
                      <w:szCs w:val="21"/>
                      <w:highlight w:val="none"/>
                      <w:lang w:val="en-US" w:eastAsia="zh-CN" w:bidi="zh-HK"/>
                    </w:rPr>
                  </w:pPr>
                  <w:r>
                    <w:rPr>
                      <w:rFonts w:hint="default" w:ascii="Times New Roman" w:hAnsi="Times New Roman" w:eastAsia="新宋体" w:cs="Times New Roman"/>
                      <w:color w:val="000000"/>
                      <w:kern w:val="0"/>
                      <w:sz w:val="21"/>
                      <w:szCs w:val="21"/>
                      <w:highlight w:val="none"/>
                      <w:lang w:val="en-US" w:eastAsia="zh-CN" w:bidi="zh-HK"/>
                    </w:rPr>
                    <w:t>建筑物外</w:t>
                  </w:r>
                </w:p>
                <w:p w14:paraId="67552335">
                  <w:pPr>
                    <w:keepNext w:val="0"/>
                    <w:keepLines w:val="0"/>
                    <w:pageBreakBefore w:val="0"/>
                    <w:widowControl/>
                    <w:suppressLineNumbers w:val="0"/>
                    <w:shd w:val="clear" w:color="auto" w:fill="auto"/>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eastAsia="新宋体" w:cs="Times New Roman"/>
                      <w:color w:val="000000"/>
                      <w:kern w:val="0"/>
                      <w:sz w:val="21"/>
                      <w:szCs w:val="21"/>
                      <w:highlight w:val="none"/>
                      <w:lang w:val="en-US" w:eastAsia="zh-CN" w:bidi="zh-HK"/>
                    </w:rPr>
                    <w:t>噪声</w:t>
                  </w:r>
                </w:p>
              </w:tc>
            </w:tr>
            <w:tr w14:paraId="3A060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225" w:type="pct"/>
                  <w:vMerge w:val="continue"/>
                  <w:tcBorders>
                    <w:tl2br w:val="nil"/>
                    <w:tr2bl w:val="nil"/>
                  </w:tcBorders>
                  <w:shd w:val="clear" w:color="auto" w:fill="auto"/>
                  <w:noWrap w:val="0"/>
                  <w:vAlign w:val="center"/>
                </w:tcPr>
                <w:p w14:paraId="5660B30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265" w:type="pct"/>
                  <w:vMerge w:val="continue"/>
                  <w:tcBorders>
                    <w:tl2br w:val="nil"/>
                    <w:tr2bl w:val="nil"/>
                  </w:tcBorders>
                  <w:shd w:val="clear" w:color="auto" w:fill="auto"/>
                  <w:noWrap w:val="0"/>
                  <w:vAlign w:val="center"/>
                </w:tcPr>
                <w:p w14:paraId="47D7B08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608" w:type="pct"/>
                  <w:vMerge w:val="continue"/>
                  <w:tcBorders>
                    <w:tl2br w:val="nil"/>
                    <w:tr2bl w:val="nil"/>
                  </w:tcBorders>
                  <w:shd w:val="clear" w:color="auto" w:fill="auto"/>
                  <w:noWrap w:val="0"/>
                  <w:vAlign w:val="center"/>
                </w:tcPr>
                <w:p w14:paraId="3038BB9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330" w:type="pct"/>
                  <w:vMerge w:val="continue"/>
                  <w:tcBorders>
                    <w:tl2br w:val="nil"/>
                    <w:tr2bl w:val="nil"/>
                  </w:tcBorders>
                  <w:shd w:val="clear" w:color="auto" w:fill="auto"/>
                  <w:noWrap w:val="0"/>
                  <w:vAlign w:val="center"/>
                </w:tcPr>
                <w:p w14:paraId="41993A1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451" w:type="pct"/>
                  <w:vMerge w:val="continue"/>
                  <w:tcBorders>
                    <w:tl2br w:val="nil"/>
                    <w:tr2bl w:val="nil"/>
                  </w:tcBorders>
                  <w:shd w:val="clear" w:color="auto" w:fill="auto"/>
                  <w:noWrap w:val="0"/>
                  <w:vAlign w:val="center"/>
                </w:tcPr>
                <w:p w14:paraId="2E79393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289" w:type="pct"/>
                  <w:tcBorders>
                    <w:tl2br w:val="nil"/>
                    <w:tr2bl w:val="nil"/>
                  </w:tcBorders>
                  <w:shd w:val="clear" w:color="auto" w:fill="auto"/>
                  <w:noWrap w:val="0"/>
                  <w:vAlign w:val="center"/>
                </w:tcPr>
                <w:p w14:paraId="04EFCE34">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i/>
                      <w:color w:val="000000"/>
                      <w:sz w:val="21"/>
                      <w:szCs w:val="21"/>
                      <w:highlight w:val="none"/>
                    </w:rPr>
                  </w:pPr>
                  <w:r>
                    <w:rPr>
                      <w:rFonts w:hint="default" w:ascii="Times New Roman" w:hAnsi="Times New Roman" w:cs="Times New Roman"/>
                      <w:i/>
                      <w:color w:val="000000"/>
                      <w:sz w:val="21"/>
                      <w:szCs w:val="21"/>
                      <w:highlight w:val="none"/>
                    </w:rPr>
                    <w:t>X</w:t>
                  </w:r>
                </w:p>
              </w:tc>
              <w:tc>
                <w:tcPr>
                  <w:tcW w:w="249" w:type="pct"/>
                  <w:tcBorders>
                    <w:tl2br w:val="nil"/>
                    <w:tr2bl w:val="nil"/>
                  </w:tcBorders>
                  <w:shd w:val="clear" w:color="auto" w:fill="auto"/>
                  <w:noWrap w:val="0"/>
                  <w:vAlign w:val="center"/>
                </w:tcPr>
                <w:p w14:paraId="4AC1B3BD">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i/>
                      <w:color w:val="000000"/>
                      <w:sz w:val="21"/>
                      <w:szCs w:val="21"/>
                      <w:highlight w:val="none"/>
                    </w:rPr>
                  </w:pPr>
                  <w:r>
                    <w:rPr>
                      <w:rFonts w:hint="default" w:ascii="Times New Roman" w:hAnsi="Times New Roman" w:cs="Times New Roman"/>
                      <w:i/>
                      <w:color w:val="000000"/>
                      <w:sz w:val="21"/>
                      <w:szCs w:val="21"/>
                      <w:highlight w:val="none"/>
                    </w:rPr>
                    <w:t>Y</w:t>
                  </w:r>
                </w:p>
              </w:tc>
              <w:tc>
                <w:tcPr>
                  <w:tcW w:w="276" w:type="pct"/>
                  <w:tcBorders>
                    <w:tl2br w:val="nil"/>
                    <w:tr2bl w:val="nil"/>
                  </w:tcBorders>
                  <w:shd w:val="clear" w:color="auto" w:fill="auto"/>
                  <w:noWrap w:val="0"/>
                  <w:vAlign w:val="center"/>
                </w:tcPr>
                <w:p w14:paraId="74A00256">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i/>
                      <w:color w:val="000000"/>
                      <w:sz w:val="21"/>
                      <w:szCs w:val="21"/>
                      <w:highlight w:val="none"/>
                    </w:rPr>
                  </w:pPr>
                  <w:r>
                    <w:rPr>
                      <w:rFonts w:hint="default" w:ascii="Times New Roman" w:hAnsi="Times New Roman" w:cs="Times New Roman"/>
                      <w:i/>
                      <w:color w:val="000000"/>
                      <w:sz w:val="21"/>
                      <w:szCs w:val="21"/>
                      <w:highlight w:val="none"/>
                    </w:rPr>
                    <w:t>Z</w:t>
                  </w:r>
                </w:p>
              </w:tc>
              <w:tc>
                <w:tcPr>
                  <w:tcW w:w="381" w:type="pct"/>
                  <w:vMerge w:val="continue"/>
                  <w:tcBorders>
                    <w:tl2br w:val="nil"/>
                    <w:tr2bl w:val="nil"/>
                  </w:tcBorders>
                  <w:shd w:val="clear" w:color="auto" w:fill="auto"/>
                  <w:noWrap w:val="0"/>
                  <w:vAlign w:val="center"/>
                </w:tcPr>
                <w:p w14:paraId="5378A85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381" w:type="pct"/>
                  <w:vMerge w:val="continue"/>
                  <w:tcBorders>
                    <w:tl2br w:val="nil"/>
                    <w:tr2bl w:val="nil"/>
                  </w:tcBorders>
                  <w:shd w:val="clear" w:color="auto" w:fill="auto"/>
                  <w:noWrap w:val="0"/>
                  <w:vAlign w:val="center"/>
                </w:tcPr>
                <w:p w14:paraId="189B349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381" w:type="pct"/>
                  <w:vMerge w:val="continue"/>
                  <w:tcBorders>
                    <w:tl2br w:val="nil"/>
                    <w:tr2bl w:val="nil"/>
                  </w:tcBorders>
                  <w:shd w:val="clear" w:color="auto" w:fill="auto"/>
                  <w:noWrap w:val="0"/>
                  <w:vAlign w:val="center"/>
                </w:tcPr>
                <w:p w14:paraId="4AAE334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382" w:type="pct"/>
                  <w:vMerge w:val="continue"/>
                  <w:tcBorders>
                    <w:tl2br w:val="nil"/>
                    <w:tr2bl w:val="nil"/>
                  </w:tcBorders>
                  <w:shd w:val="clear" w:color="auto" w:fill="auto"/>
                  <w:noWrap w:val="0"/>
                  <w:vAlign w:val="center"/>
                </w:tcPr>
                <w:p w14:paraId="2467ADD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382" w:type="pct"/>
                  <w:tcBorders>
                    <w:tl2br w:val="nil"/>
                    <w:tr2bl w:val="nil"/>
                  </w:tcBorders>
                  <w:shd w:val="clear" w:color="auto" w:fill="auto"/>
                  <w:noWrap w:val="0"/>
                  <w:vAlign w:val="center"/>
                </w:tcPr>
                <w:p w14:paraId="7A5436B4">
                  <w:pPr>
                    <w:keepNext w:val="0"/>
                    <w:keepLines w:val="0"/>
                    <w:pageBreakBefore w:val="0"/>
                    <w:widowControl/>
                    <w:suppressLineNumbers w:val="0"/>
                    <w:shd w:val="clear" w:color="auto" w:fill="auto"/>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highlight w:val="none"/>
                    </w:rPr>
                  </w:pPr>
                  <w:r>
                    <w:rPr>
                      <w:rFonts w:hint="default" w:ascii="Times New Roman" w:hAnsi="Times New Roman" w:eastAsia="新宋体" w:cs="Times New Roman"/>
                      <w:color w:val="000000"/>
                      <w:kern w:val="0"/>
                      <w:sz w:val="21"/>
                      <w:szCs w:val="21"/>
                      <w:highlight w:val="none"/>
                      <w:lang w:val="en-US" w:eastAsia="zh-CN" w:bidi="zh-HK"/>
                    </w:rPr>
                    <w:t>声压级</w:t>
                  </w:r>
                </w:p>
                <w:p w14:paraId="646D477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eastAsia="宋体" w:cs="Times New Roman"/>
                      <w:color w:val="000000"/>
                      <w:kern w:val="0"/>
                      <w:sz w:val="21"/>
                      <w:szCs w:val="21"/>
                      <w:highlight w:val="none"/>
                      <w:lang w:val="en-US" w:eastAsia="zh-CN" w:bidi="zh-HK"/>
                    </w:rPr>
                    <w:t>dB（A）</w:t>
                  </w:r>
                </w:p>
              </w:tc>
              <w:tc>
                <w:tcPr>
                  <w:tcW w:w="393" w:type="pct"/>
                  <w:tcBorders>
                    <w:tl2br w:val="nil"/>
                    <w:tr2bl w:val="nil"/>
                  </w:tcBorders>
                  <w:shd w:val="clear" w:color="auto" w:fill="auto"/>
                  <w:noWrap w:val="0"/>
                  <w:vAlign w:val="center"/>
                </w:tcPr>
                <w:p w14:paraId="42873570">
                  <w:pPr>
                    <w:keepNext w:val="0"/>
                    <w:keepLines w:val="0"/>
                    <w:pageBreakBefore w:val="0"/>
                    <w:widowControl/>
                    <w:suppressLineNumbers w:val="0"/>
                    <w:shd w:val="clear" w:color="auto" w:fill="auto"/>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highlight w:val="none"/>
                    </w:rPr>
                  </w:pPr>
                  <w:r>
                    <w:rPr>
                      <w:rFonts w:hint="default" w:ascii="Times New Roman" w:hAnsi="Times New Roman" w:eastAsia="新宋体" w:cs="Times New Roman"/>
                      <w:color w:val="000000"/>
                      <w:kern w:val="0"/>
                      <w:sz w:val="21"/>
                      <w:szCs w:val="21"/>
                      <w:highlight w:val="none"/>
                      <w:lang w:val="en-US" w:eastAsia="zh-CN" w:bidi="zh-HK"/>
                    </w:rPr>
                    <w:t>建筑物外</w:t>
                  </w:r>
                </w:p>
                <w:p w14:paraId="1A508325">
                  <w:pPr>
                    <w:keepNext w:val="0"/>
                    <w:keepLines w:val="0"/>
                    <w:pageBreakBefore w:val="0"/>
                    <w:widowControl/>
                    <w:suppressLineNumbers w:val="0"/>
                    <w:shd w:val="clear" w:color="auto" w:fill="auto"/>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eastAsia="新宋体" w:cs="Times New Roman"/>
                      <w:color w:val="000000"/>
                      <w:kern w:val="0"/>
                      <w:sz w:val="21"/>
                      <w:szCs w:val="21"/>
                      <w:highlight w:val="none"/>
                      <w:lang w:val="en-US" w:eastAsia="zh-CN" w:bidi="zh-HK"/>
                    </w:rPr>
                    <w:t>距离</w:t>
                  </w:r>
                </w:p>
              </w:tc>
            </w:tr>
            <w:tr w14:paraId="566A9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225" w:type="pct"/>
                  <w:tcBorders>
                    <w:tl2br w:val="nil"/>
                    <w:tr2bl w:val="nil"/>
                  </w:tcBorders>
                  <w:shd w:val="clear" w:color="auto" w:fill="auto"/>
                  <w:noWrap w:val="0"/>
                  <w:vAlign w:val="center"/>
                </w:tcPr>
                <w:p w14:paraId="0B51676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w:t>
                  </w:r>
                </w:p>
              </w:tc>
              <w:tc>
                <w:tcPr>
                  <w:tcW w:w="265" w:type="pct"/>
                  <w:vMerge w:val="restart"/>
                  <w:tcBorders>
                    <w:tl2br w:val="nil"/>
                    <w:tr2bl w:val="nil"/>
                  </w:tcBorders>
                  <w:shd w:val="clear" w:color="auto" w:fill="auto"/>
                  <w:noWrap w:val="0"/>
                  <w:vAlign w:val="center"/>
                </w:tcPr>
                <w:p w14:paraId="467D751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辅助车间</w:t>
                  </w:r>
                </w:p>
              </w:tc>
              <w:tc>
                <w:tcPr>
                  <w:tcW w:w="608" w:type="pct"/>
                  <w:tcBorders>
                    <w:tl2br w:val="nil"/>
                    <w:tr2bl w:val="nil"/>
                  </w:tcBorders>
                  <w:shd w:val="clear" w:color="auto" w:fill="auto"/>
                  <w:noWrap w:val="0"/>
                  <w:vAlign w:val="center"/>
                </w:tcPr>
                <w:p w14:paraId="50206B3D">
                  <w:pPr>
                    <w:shd w:val="clear" w:color="auto" w:fill="auto"/>
                    <w:jc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粉碎机</w:t>
                  </w:r>
                </w:p>
              </w:tc>
              <w:tc>
                <w:tcPr>
                  <w:tcW w:w="330" w:type="pct"/>
                  <w:tcBorders>
                    <w:tl2br w:val="nil"/>
                    <w:tr2bl w:val="nil"/>
                  </w:tcBorders>
                  <w:shd w:val="clear" w:color="auto" w:fill="auto"/>
                  <w:noWrap w:val="0"/>
                  <w:vAlign w:val="center"/>
                </w:tcPr>
                <w:p w14:paraId="235237F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bCs/>
                      <w:color w:val="000000"/>
                      <w:sz w:val="21"/>
                      <w:szCs w:val="21"/>
                      <w:highlight w:val="none"/>
                      <w:lang w:val="en-US" w:eastAsia="zh-CN"/>
                    </w:rPr>
                    <w:t>8</w:t>
                  </w:r>
                  <w:r>
                    <w:rPr>
                      <w:rFonts w:hint="eastAsia" w:ascii="Times New Roman" w:hAnsi="Times New Roman" w:cs="Times New Roman"/>
                      <w:bCs/>
                      <w:color w:val="000000"/>
                      <w:sz w:val="21"/>
                      <w:szCs w:val="21"/>
                      <w:highlight w:val="none"/>
                      <w:lang w:val="en-US" w:eastAsia="zh-CN"/>
                    </w:rPr>
                    <w:t>5</w:t>
                  </w:r>
                </w:p>
              </w:tc>
              <w:tc>
                <w:tcPr>
                  <w:tcW w:w="451" w:type="pct"/>
                  <w:vMerge w:val="restart"/>
                  <w:tcBorders>
                    <w:tl2br w:val="nil"/>
                    <w:tr2bl w:val="nil"/>
                  </w:tcBorders>
                  <w:shd w:val="clear" w:color="auto" w:fill="auto"/>
                  <w:noWrap w:val="0"/>
                  <w:vAlign w:val="center"/>
                </w:tcPr>
                <w:p w14:paraId="6E995D2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cs="Times New Roman"/>
                      <w:snapToGrid w:val="0"/>
                      <w:color w:val="000000"/>
                      <w:sz w:val="21"/>
                      <w:szCs w:val="21"/>
                      <w:highlight w:val="none"/>
                    </w:rPr>
                  </w:pPr>
                  <w:r>
                    <w:rPr>
                      <w:rFonts w:hint="default" w:ascii="Times New Roman" w:hAnsi="Times New Roman" w:cs="Times New Roman"/>
                      <w:snapToGrid w:val="0"/>
                      <w:color w:val="000000"/>
                      <w:sz w:val="21"/>
                      <w:szCs w:val="21"/>
                      <w:highlight w:val="none"/>
                    </w:rPr>
                    <w:t>基础</w:t>
                  </w:r>
                </w:p>
                <w:p w14:paraId="036F0C9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right="0" w:firstLine="0" w:firstLineChars="0"/>
                    <w:jc w:val="center"/>
                    <w:textAlignment w:val="auto"/>
                    <w:rPr>
                      <w:rFonts w:hint="eastAsia" w:ascii="Times New Roman" w:hAnsi="Times New Roman" w:eastAsia="宋体" w:cs="Times New Roman"/>
                      <w:snapToGrid w:val="0"/>
                      <w:color w:val="000000"/>
                      <w:sz w:val="21"/>
                      <w:szCs w:val="21"/>
                      <w:highlight w:val="none"/>
                      <w:lang w:eastAsia="zh-CN"/>
                    </w:rPr>
                  </w:pPr>
                  <w:r>
                    <w:rPr>
                      <w:rFonts w:hint="default" w:ascii="Times New Roman" w:hAnsi="Times New Roman" w:cs="Times New Roman"/>
                      <w:snapToGrid w:val="0"/>
                      <w:color w:val="000000"/>
                      <w:sz w:val="21"/>
                      <w:szCs w:val="21"/>
                      <w:highlight w:val="none"/>
                    </w:rPr>
                    <w:t>减振</w:t>
                  </w:r>
                  <w:r>
                    <w:rPr>
                      <w:rFonts w:hint="eastAsia" w:ascii="Times New Roman" w:hAnsi="Times New Roman" w:cs="Times New Roman"/>
                      <w:snapToGrid w:val="0"/>
                      <w:color w:val="000000"/>
                      <w:sz w:val="21"/>
                      <w:szCs w:val="21"/>
                      <w:highlight w:val="none"/>
                      <w:lang w:eastAsia="zh-CN"/>
                    </w:rPr>
                    <w:t>、</w:t>
                  </w:r>
                </w:p>
                <w:p w14:paraId="2CB9FF1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cs="Times New Roman"/>
                      <w:snapToGrid w:val="0"/>
                      <w:color w:val="000000"/>
                      <w:sz w:val="21"/>
                      <w:szCs w:val="21"/>
                      <w:highlight w:val="none"/>
                    </w:rPr>
                  </w:pPr>
                  <w:r>
                    <w:rPr>
                      <w:rFonts w:hint="default" w:ascii="Times New Roman" w:hAnsi="Times New Roman" w:cs="Times New Roman"/>
                      <w:snapToGrid w:val="0"/>
                      <w:color w:val="000000"/>
                      <w:sz w:val="21"/>
                      <w:szCs w:val="21"/>
                      <w:highlight w:val="none"/>
                    </w:rPr>
                    <w:t>厂房</w:t>
                  </w:r>
                </w:p>
                <w:p w14:paraId="4F726D0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right="0" w:firstLine="0" w:firstLineChars="0"/>
                    <w:jc w:val="center"/>
                    <w:textAlignment w:val="auto"/>
                    <w:rPr>
                      <w:rFonts w:hint="eastAsia" w:ascii="Times New Roman" w:hAnsi="Times New Roman" w:eastAsia="宋体" w:cs="Times New Roman"/>
                      <w:snapToGrid w:val="0"/>
                      <w:color w:val="000000"/>
                      <w:sz w:val="21"/>
                      <w:szCs w:val="21"/>
                      <w:highlight w:val="none"/>
                      <w:lang w:eastAsia="zh-CN"/>
                    </w:rPr>
                  </w:pPr>
                  <w:r>
                    <w:rPr>
                      <w:rFonts w:hint="default" w:ascii="Times New Roman" w:hAnsi="Times New Roman" w:cs="Times New Roman"/>
                      <w:snapToGrid w:val="0"/>
                      <w:color w:val="000000"/>
                      <w:sz w:val="21"/>
                      <w:szCs w:val="21"/>
                      <w:highlight w:val="none"/>
                    </w:rPr>
                    <w:t>隔声</w:t>
                  </w:r>
                  <w:r>
                    <w:rPr>
                      <w:rFonts w:hint="eastAsia" w:ascii="Times New Roman" w:hAnsi="Times New Roman" w:cs="Times New Roman"/>
                      <w:snapToGrid w:val="0"/>
                      <w:color w:val="000000"/>
                      <w:sz w:val="21"/>
                      <w:szCs w:val="21"/>
                      <w:highlight w:val="none"/>
                      <w:lang w:eastAsia="zh-CN"/>
                    </w:rPr>
                    <w:t>、</w:t>
                  </w:r>
                </w:p>
                <w:p w14:paraId="4570ED86">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snapToGrid w:val="0"/>
                      <w:color w:val="000000"/>
                      <w:sz w:val="21"/>
                      <w:szCs w:val="21"/>
                      <w:highlight w:val="none"/>
                    </w:rPr>
                  </w:pPr>
                  <w:r>
                    <w:rPr>
                      <w:rFonts w:hint="default" w:ascii="Times New Roman" w:hAnsi="Times New Roman" w:cs="Times New Roman"/>
                      <w:snapToGrid w:val="0"/>
                      <w:color w:val="000000"/>
                      <w:sz w:val="21"/>
                      <w:szCs w:val="21"/>
                      <w:highlight w:val="none"/>
                    </w:rPr>
                    <w:t>距离</w:t>
                  </w:r>
                </w:p>
                <w:p w14:paraId="77913447">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snapToGrid w:val="0"/>
                      <w:color w:val="000000"/>
                      <w:sz w:val="21"/>
                      <w:szCs w:val="21"/>
                      <w:highlight w:val="none"/>
                    </w:rPr>
                    <w:t>衰减</w:t>
                  </w:r>
                  <w:r>
                    <w:rPr>
                      <w:rFonts w:hint="eastAsia" w:ascii="Times New Roman" w:hAnsi="Times New Roman" w:cs="Times New Roman"/>
                      <w:snapToGrid w:val="0"/>
                      <w:color w:val="000000"/>
                      <w:sz w:val="21"/>
                      <w:szCs w:val="21"/>
                      <w:highlight w:val="none"/>
                      <w:lang w:eastAsia="zh-CN"/>
                    </w:rPr>
                    <w:t>、</w:t>
                  </w:r>
                  <w:r>
                    <w:rPr>
                      <w:rFonts w:hint="eastAsia" w:ascii="Times New Roman" w:hAnsi="Times New Roman" w:cs="Times New Roman"/>
                      <w:snapToGrid w:val="0"/>
                      <w:color w:val="000000"/>
                      <w:sz w:val="21"/>
                      <w:szCs w:val="21"/>
                      <w:highlight w:val="none"/>
                      <w:lang w:val="en-US" w:eastAsia="zh-CN"/>
                    </w:rPr>
                    <w:t>风机加装隔声罩、合理布局</w:t>
                  </w:r>
                </w:p>
              </w:tc>
              <w:tc>
                <w:tcPr>
                  <w:tcW w:w="289" w:type="pct"/>
                  <w:tcBorders>
                    <w:tl2br w:val="nil"/>
                    <w:tr2bl w:val="nil"/>
                  </w:tcBorders>
                  <w:shd w:val="clear" w:color="auto" w:fill="auto"/>
                  <w:noWrap w:val="0"/>
                  <w:vAlign w:val="center"/>
                </w:tcPr>
                <w:p w14:paraId="1D727CD6">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42</w:t>
                  </w:r>
                </w:p>
              </w:tc>
              <w:tc>
                <w:tcPr>
                  <w:tcW w:w="249" w:type="pct"/>
                  <w:tcBorders>
                    <w:tl2br w:val="nil"/>
                    <w:tr2bl w:val="nil"/>
                  </w:tcBorders>
                  <w:shd w:val="clear" w:color="auto" w:fill="auto"/>
                  <w:noWrap w:val="0"/>
                  <w:vAlign w:val="center"/>
                </w:tcPr>
                <w:p w14:paraId="4BB4609B">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17</w:t>
                  </w:r>
                </w:p>
              </w:tc>
              <w:tc>
                <w:tcPr>
                  <w:tcW w:w="276" w:type="pct"/>
                  <w:tcBorders>
                    <w:tl2br w:val="nil"/>
                    <w:tr2bl w:val="nil"/>
                  </w:tcBorders>
                  <w:shd w:val="clear" w:color="auto" w:fill="auto"/>
                  <w:noWrap w:val="0"/>
                  <w:vAlign w:val="center"/>
                </w:tcPr>
                <w:p w14:paraId="6F0D849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w:t>
                  </w:r>
                </w:p>
              </w:tc>
              <w:tc>
                <w:tcPr>
                  <w:tcW w:w="381" w:type="pct"/>
                  <w:tcBorders>
                    <w:tl2br w:val="nil"/>
                    <w:tr2bl w:val="nil"/>
                  </w:tcBorders>
                  <w:shd w:val="clear" w:color="auto" w:fill="auto"/>
                  <w:noWrap w:val="0"/>
                  <w:vAlign w:val="center"/>
                </w:tcPr>
                <w:p w14:paraId="4D482CB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昼间</w:t>
                  </w:r>
                </w:p>
              </w:tc>
              <w:tc>
                <w:tcPr>
                  <w:tcW w:w="381" w:type="pct"/>
                  <w:tcBorders>
                    <w:tl2br w:val="nil"/>
                    <w:tr2bl w:val="nil"/>
                  </w:tcBorders>
                  <w:shd w:val="clear" w:color="auto" w:fill="auto"/>
                  <w:noWrap w:val="0"/>
                  <w:vAlign w:val="center"/>
                </w:tcPr>
                <w:p w14:paraId="559D8DA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w:t>
                  </w:r>
                </w:p>
              </w:tc>
              <w:tc>
                <w:tcPr>
                  <w:tcW w:w="381" w:type="pct"/>
                  <w:tcBorders>
                    <w:tl2br w:val="nil"/>
                    <w:tr2bl w:val="nil"/>
                  </w:tcBorders>
                  <w:shd w:val="clear" w:color="auto" w:fill="auto"/>
                  <w:noWrap w:val="0"/>
                  <w:vAlign w:val="center"/>
                </w:tcPr>
                <w:p w14:paraId="2CF6AF6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68</w:t>
                  </w:r>
                </w:p>
              </w:tc>
              <w:tc>
                <w:tcPr>
                  <w:tcW w:w="382" w:type="pct"/>
                  <w:tcBorders>
                    <w:tl2br w:val="nil"/>
                    <w:tr2bl w:val="nil"/>
                  </w:tcBorders>
                  <w:shd w:val="clear" w:color="auto" w:fill="auto"/>
                  <w:noWrap w:val="0"/>
                  <w:vAlign w:val="center"/>
                </w:tcPr>
                <w:p w14:paraId="5BF3C4E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snapToGrid w:val="0"/>
                      <w:color w:val="000000"/>
                      <w:sz w:val="21"/>
                      <w:szCs w:val="21"/>
                      <w:highlight w:val="none"/>
                      <w:lang w:val="en-US" w:eastAsia="zh-CN"/>
                    </w:rPr>
                    <w:t>15</w:t>
                  </w:r>
                </w:p>
              </w:tc>
              <w:tc>
                <w:tcPr>
                  <w:tcW w:w="382" w:type="pct"/>
                  <w:tcBorders>
                    <w:tl2br w:val="nil"/>
                    <w:tr2bl w:val="nil"/>
                  </w:tcBorders>
                  <w:shd w:val="clear" w:color="auto" w:fill="auto"/>
                  <w:noWrap w:val="0"/>
                  <w:vAlign w:val="center"/>
                </w:tcPr>
                <w:p w14:paraId="71815A6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53</w:t>
                  </w:r>
                </w:p>
              </w:tc>
              <w:tc>
                <w:tcPr>
                  <w:tcW w:w="393" w:type="pct"/>
                  <w:tcBorders>
                    <w:tl2br w:val="nil"/>
                    <w:tr2bl w:val="nil"/>
                  </w:tcBorders>
                  <w:shd w:val="clear" w:color="auto" w:fill="auto"/>
                  <w:noWrap w:val="0"/>
                  <w:vAlign w:val="center"/>
                </w:tcPr>
                <w:p w14:paraId="6FD494D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1</w:t>
                  </w:r>
                </w:p>
              </w:tc>
            </w:tr>
            <w:tr w14:paraId="75A33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5" w:type="pct"/>
                  <w:tcBorders>
                    <w:tl2br w:val="nil"/>
                    <w:tr2bl w:val="nil"/>
                  </w:tcBorders>
                  <w:shd w:val="clear" w:color="auto" w:fill="auto"/>
                  <w:noWrap w:val="0"/>
                  <w:vAlign w:val="center"/>
                </w:tcPr>
                <w:p w14:paraId="41A44C7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2</w:t>
                  </w:r>
                </w:p>
              </w:tc>
              <w:tc>
                <w:tcPr>
                  <w:tcW w:w="265" w:type="pct"/>
                  <w:vMerge w:val="continue"/>
                  <w:tcBorders>
                    <w:tl2br w:val="nil"/>
                    <w:tr2bl w:val="nil"/>
                  </w:tcBorders>
                  <w:shd w:val="clear" w:color="auto" w:fill="auto"/>
                  <w:noWrap w:val="0"/>
                  <w:vAlign w:val="center"/>
                </w:tcPr>
                <w:p w14:paraId="1D2023D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608" w:type="pct"/>
                  <w:tcBorders>
                    <w:tl2br w:val="nil"/>
                    <w:tr2bl w:val="nil"/>
                  </w:tcBorders>
                  <w:shd w:val="clear" w:color="auto" w:fill="auto"/>
                  <w:noWrap w:val="0"/>
                  <w:vAlign w:val="center"/>
                </w:tcPr>
                <w:p w14:paraId="7B1E5B9E">
                  <w:pPr>
                    <w:shd w:val="clear" w:color="auto" w:fill="auto"/>
                    <w:jc w:val="center"/>
                    <w:textAlignment w:val="center"/>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粉碎机</w:t>
                  </w:r>
                </w:p>
              </w:tc>
              <w:tc>
                <w:tcPr>
                  <w:tcW w:w="330" w:type="pct"/>
                  <w:tcBorders>
                    <w:tl2br w:val="nil"/>
                    <w:tr2bl w:val="nil"/>
                  </w:tcBorders>
                  <w:shd w:val="clear" w:color="auto" w:fill="auto"/>
                  <w:noWrap w:val="0"/>
                  <w:vAlign w:val="center"/>
                </w:tcPr>
                <w:p w14:paraId="2BFEBA2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bCs/>
                      <w:color w:val="000000"/>
                      <w:sz w:val="21"/>
                      <w:szCs w:val="21"/>
                      <w:highlight w:val="none"/>
                      <w:lang w:val="en-US" w:eastAsia="zh-CN"/>
                    </w:rPr>
                    <w:t>8</w:t>
                  </w:r>
                  <w:r>
                    <w:rPr>
                      <w:rFonts w:hint="eastAsia" w:ascii="Times New Roman" w:hAnsi="Times New Roman" w:cs="Times New Roman"/>
                      <w:bCs/>
                      <w:color w:val="000000"/>
                      <w:sz w:val="21"/>
                      <w:szCs w:val="21"/>
                      <w:highlight w:val="none"/>
                      <w:lang w:val="en-US" w:eastAsia="zh-CN"/>
                    </w:rPr>
                    <w:t>5</w:t>
                  </w:r>
                </w:p>
              </w:tc>
              <w:tc>
                <w:tcPr>
                  <w:tcW w:w="451" w:type="pct"/>
                  <w:vMerge w:val="continue"/>
                  <w:tcBorders>
                    <w:tl2br w:val="nil"/>
                    <w:tr2bl w:val="nil"/>
                  </w:tcBorders>
                  <w:shd w:val="clear" w:color="auto" w:fill="auto"/>
                  <w:noWrap w:val="0"/>
                  <w:vAlign w:val="center"/>
                </w:tcPr>
                <w:p w14:paraId="38520A44">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289" w:type="pct"/>
                  <w:tcBorders>
                    <w:tl2br w:val="nil"/>
                    <w:tr2bl w:val="nil"/>
                  </w:tcBorders>
                  <w:shd w:val="clear" w:color="auto" w:fill="auto"/>
                  <w:noWrap w:val="0"/>
                  <w:vAlign w:val="center"/>
                </w:tcPr>
                <w:p w14:paraId="50859031">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43</w:t>
                  </w:r>
                </w:p>
              </w:tc>
              <w:tc>
                <w:tcPr>
                  <w:tcW w:w="249" w:type="pct"/>
                  <w:tcBorders>
                    <w:tl2br w:val="nil"/>
                    <w:tr2bl w:val="nil"/>
                  </w:tcBorders>
                  <w:shd w:val="clear" w:color="auto" w:fill="auto"/>
                  <w:noWrap w:val="0"/>
                  <w:vAlign w:val="center"/>
                </w:tcPr>
                <w:p w14:paraId="083F3DC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17</w:t>
                  </w:r>
                </w:p>
              </w:tc>
              <w:tc>
                <w:tcPr>
                  <w:tcW w:w="276" w:type="pct"/>
                  <w:tcBorders>
                    <w:tl2br w:val="nil"/>
                    <w:tr2bl w:val="nil"/>
                  </w:tcBorders>
                  <w:shd w:val="clear" w:color="auto" w:fill="auto"/>
                  <w:noWrap w:val="0"/>
                  <w:vAlign w:val="center"/>
                </w:tcPr>
                <w:p w14:paraId="2EB68CC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1</w:t>
                  </w:r>
                </w:p>
              </w:tc>
              <w:tc>
                <w:tcPr>
                  <w:tcW w:w="381" w:type="pct"/>
                  <w:tcBorders>
                    <w:tl2br w:val="nil"/>
                    <w:tr2bl w:val="nil"/>
                  </w:tcBorders>
                  <w:shd w:val="clear" w:color="auto" w:fill="auto"/>
                  <w:noWrap w:val="0"/>
                  <w:vAlign w:val="center"/>
                </w:tcPr>
                <w:p w14:paraId="1EF7CB5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昼间</w:t>
                  </w:r>
                </w:p>
              </w:tc>
              <w:tc>
                <w:tcPr>
                  <w:tcW w:w="381" w:type="pct"/>
                  <w:tcBorders>
                    <w:tl2br w:val="nil"/>
                    <w:tr2bl w:val="nil"/>
                  </w:tcBorders>
                  <w:shd w:val="clear" w:color="auto" w:fill="auto"/>
                  <w:noWrap w:val="0"/>
                  <w:vAlign w:val="center"/>
                </w:tcPr>
                <w:p w14:paraId="1EEE169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w:t>
                  </w:r>
                </w:p>
              </w:tc>
              <w:tc>
                <w:tcPr>
                  <w:tcW w:w="381" w:type="pct"/>
                  <w:tcBorders>
                    <w:tl2br w:val="nil"/>
                    <w:tr2bl w:val="nil"/>
                  </w:tcBorders>
                  <w:shd w:val="clear" w:color="auto" w:fill="auto"/>
                  <w:noWrap w:val="0"/>
                  <w:vAlign w:val="center"/>
                </w:tcPr>
                <w:p w14:paraId="57BAD2C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68</w:t>
                  </w:r>
                </w:p>
              </w:tc>
              <w:tc>
                <w:tcPr>
                  <w:tcW w:w="382" w:type="pct"/>
                  <w:tcBorders>
                    <w:tl2br w:val="nil"/>
                    <w:tr2bl w:val="nil"/>
                  </w:tcBorders>
                  <w:shd w:val="clear" w:color="auto" w:fill="auto"/>
                  <w:noWrap w:val="0"/>
                  <w:vAlign w:val="center"/>
                </w:tcPr>
                <w:p w14:paraId="0D36952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snapToGrid w:val="0"/>
                      <w:color w:val="000000"/>
                      <w:sz w:val="21"/>
                      <w:szCs w:val="21"/>
                      <w:highlight w:val="none"/>
                      <w:lang w:val="en-US" w:eastAsia="zh-CN"/>
                    </w:rPr>
                    <w:t>15</w:t>
                  </w:r>
                </w:p>
              </w:tc>
              <w:tc>
                <w:tcPr>
                  <w:tcW w:w="382" w:type="pct"/>
                  <w:tcBorders>
                    <w:tl2br w:val="nil"/>
                    <w:tr2bl w:val="nil"/>
                  </w:tcBorders>
                  <w:shd w:val="clear" w:color="auto" w:fill="auto"/>
                  <w:noWrap w:val="0"/>
                  <w:vAlign w:val="center"/>
                </w:tcPr>
                <w:p w14:paraId="558330A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53</w:t>
                  </w:r>
                </w:p>
              </w:tc>
              <w:tc>
                <w:tcPr>
                  <w:tcW w:w="393" w:type="pct"/>
                  <w:tcBorders>
                    <w:tl2br w:val="nil"/>
                    <w:tr2bl w:val="nil"/>
                  </w:tcBorders>
                  <w:shd w:val="clear" w:color="auto" w:fill="auto"/>
                  <w:noWrap w:val="0"/>
                  <w:vAlign w:val="center"/>
                </w:tcPr>
                <w:p w14:paraId="390D721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1</w:t>
                  </w:r>
                </w:p>
              </w:tc>
            </w:tr>
            <w:tr w14:paraId="07DEB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225" w:type="pct"/>
                  <w:tcBorders>
                    <w:tl2br w:val="nil"/>
                    <w:tr2bl w:val="nil"/>
                  </w:tcBorders>
                  <w:shd w:val="clear" w:color="auto" w:fill="auto"/>
                  <w:noWrap w:val="0"/>
                  <w:vAlign w:val="center"/>
                </w:tcPr>
                <w:p w14:paraId="6722E6E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3</w:t>
                  </w:r>
                </w:p>
              </w:tc>
              <w:tc>
                <w:tcPr>
                  <w:tcW w:w="265" w:type="pct"/>
                  <w:vMerge w:val="continue"/>
                  <w:tcBorders>
                    <w:tl2br w:val="nil"/>
                    <w:tr2bl w:val="nil"/>
                  </w:tcBorders>
                  <w:shd w:val="clear" w:color="auto" w:fill="auto"/>
                  <w:noWrap w:val="0"/>
                  <w:vAlign w:val="center"/>
                </w:tcPr>
                <w:p w14:paraId="0D4D7C4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608" w:type="pct"/>
                  <w:tcBorders>
                    <w:tl2br w:val="nil"/>
                    <w:tr2bl w:val="nil"/>
                  </w:tcBorders>
                  <w:shd w:val="clear" w:color="auto" w:fill="auto"/>
                  <w:noWrap w:val="0"/>
                  <w:vAlign w:val="center"/>
                </w:tcPr>
                <w:p w14:paraId="2F9EF776">
                  <w:pPr>
                    <w:shd w:val="clear" w:color="auto" w:fill="auto"/>
                    <w:jc w:val="center"/>
                    <w:textAlignment w:val="center"/>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风机（环保设备）</w:t>
                  </w:r>
                </w:p>
              </w:tc>
              <w:tc>
                <w:tcPr>
                  <w:tcW w:w="330" w:type="pct"/>
                  <w:tcBorders>
                    <w:tl2br w:val="nil"/>
                    <w:tr2bl w:val="nil"/>
                  </w:tcBorders>
                  <w:shd w:val="clear" w:color="auto" w:fill="auto"/>
                  <w:noWrap w:val="0"/>
                  <w:vAlign w:val="center"/>
                </w:tcPr>
                <w:p w14:paraId="510796E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cs="Times New Roman"/>
                      <w:bCs/>
                      <w:color w:val="000000"/>
                      <w:sz w:val="21"/>
                      <w:szCs w:val="21"/>
                      <w:highlight w:val="none"/>
                      <w:lang w:val="en-US" w:eastAsia="zh-CN"/>
                    </w:rPr>
                  </w:pPr>
                  <w:r>
                    <w:rPr>
                      <w:rFonts w:hint="eastAsia" w:ascii="Times New Roman" w:hAnsi="Times New Roman" w:cs="Times New Roman"/>
                      <w:bCs/>
                      <w:color w:val="000000"/>
                      <w:sz w:val="21"/>
                      <w:szCs w:val="21"/>
                      <w:highlight w:val="none"/>
                      <w:lang w:val="en-US" w:eastAsia="zh-CN"/>
                    </w:rPr>
                    <w:t>90</w:t>
                  </w:r>
                </w:p>
              </w:tc>
              <w:tc>
                <w:tcPr>
                  <w:tcW w:w="451" w:type="pct"/>
                  <w:vMerge w:val="continue"/>
                  <w:tcBorders>
                    <w:tl2br w:val="nil"/>
                    <w:tr2bl w:val="nil"/>
                  </w:tcBorders>
                  <w:shd w:val="clear" w:color="auto" w:fill="auto"/>
                  <w:noWrap w:val="0"/>
                  <w:vAlign w:val="center"/>
                </w:tcPr>
                <w:p w14:paraId="4A683D2D">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289" w:type="pct"/>
                  <w:tcBorders>
                    <w:tl2br w:val="nil"/>
                    <w:tr2bl w:val="nil"/>
                  </w:tcBorders>
                  <w:shd w:val="clear" w:color="auto" w:fill="auto"/>
                  <w:noWrap w:val="0"/>
                  <w:vAlign w:val="center"/>
                </w:tcPr>
                <w:p w14:paraId="630157B2">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0"/>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48</w:t>
                  </w:r>
                </w:p>
              </w:tc>
              <w:tc>
                <w:tcPr>
                  <w:tcW w:w="249" w:type="pct"/>
                  <w:tcBorders>
                    <w:tl2br w:val="nil"/>
                    <w:tr2bl w:val="nil"/>
                  </w:tcBorders>
                  <w:shd w:val="clear" w:color="auto" w:fill="auto"/>
                  <w:noWrap w:val="0"/>
                  <w:vAlign w:val="center"/>
                </w:tcPr>
                <w:p w14:paraId="39FBE7E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19</w:t>
                  </w:r>
                </w:p>
              </w:tc>
              <w:tc>
                <w:tcPr>
                  <w:tcW w:w="276" w:type="pct"/>
                  <w:tcBorders>
                    <w:tl2br w:val="nil"/>
                    <w:tr2bl w:val="nil"/>
                  </w:tcBorders>
                  <w:shd w:val="clear" w:color="auto" w:fill="auto"/>
                  <w:noWrap w:val="0"/>
                  <w:vAlign w:val="center"/>
                </w:tcPr>
                <w:p w14:paraId="1D3476C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1</w:t>
                  </w:r>
                </w:p>
              </w:tc>
              <w:tc>
                <w:tcPr>
                  <w:tcW w:w="381" w:type="pct"/>
                  <w:tcBorders>
                    <w:tl2br w:val="nil"/>
                    <w:tr2bl w:val="nil"/>
                  </w:tcBorders>
                  <w:shd w:val="clear" w:color="auto" w:fill="auto"/>
                  <w:noWrap w:val="0"/>
                  <w:vAlign w:val="center"/>
                </w:tcPr>
                <w:p w14:paraId="2BAAAC8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昼间</w:t>
                  </w:r>
                </w:p>
              </w:tc>
              <w:tc>
                <w:tcPr>
                  <w:tcW w:w="381" w:type="pct"/>
                  <w:tcBorders>
                    <w:tl2br w:val="nil"/>
                    <w:tr2bl w:val="nil"/>
                  </w:tcBorders>
                  <w:shd w:val="clear" w:color="auto" w:fill="auto"/>
                  <w:noWrap w:val="0"/>
                  <w:vAlign w:val="center"/>
                </w:tcPr>
                <w:p w14:paraId="15D253A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2</w:t>
                  </w:r>
                </w:p>
              </w:tc>
              <w:tc>
                <w:tcPr>
                  <w:tcW w:w="381" w:type="pct"/>
                  <w:tcBorders>
                    <w:tl2br w:val="nil"/>
                    <w:tr2bl w:val="nil"/>
                  </w:tcBorders>
                  <w:shd w:val="clear" w:color="auto" w:fill="auto"/>
                  <w:noWrap w:val="0"/>
                  <w:vAlign w:val="center"/>
                </w:tcPr>
                <w:p w14:paraId="36286AC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73</w:t>
                  </w:r>
                </w:p>
              </w:tc>
              <w:tc>
                <w:tcPr>
                  <w:tcW w:w="382" w:type="pct"/>
                  <w:tcBorders>
                    <w:tl2br w:val="nil"/>
                    <w:tr2bl w:val="nil"/>
                  </w:tcBorders>
                  <w:shd w:val="clear" w:color="auto" w:fill="auto"/>
                  <w:noWrap w:val="0"/>
                  <w:vAlign w:val="center"/>
                </w:tcPr>
                <w:p w14:paraId="08FBDF5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bidi="ar-SA"/>
                    </w:rPr>
                  </w:pPr>
                  <w:r>
                    <w:rPr>
                      <w:rFonts w:hint="default" w:ascii="Times New Roman" w:hAnsi="Times New Roman" w:cs="Times New Roman"/>
                      <w:snapToGrid w:val="0"/>
                      <w:color w:val="000000"/>
                      <w:sz w:val="21"/>
                      <w:szCs w:val="21"/>
                      <w:highlight w:val="none"/>
                      <w:lang w:val="en-US" w:eastAsia="zh-CN"/>
                    </w:rPr>
                    <w:t>15</w:t>
                  </w:r>
                </w:p>
              </w:tc>
              <w:tc>
                <w:tcPr>
                  <w:tcW w:w="382" w:type="pct"/>
                  <w:tcBorders>
                    <w:tl2br w:val="nil"/>
                    <w:tr2bl w:val="nil"/>
                  </w:tcBorders>
                  <w:shd w:val="clear" w:color="auto" w:fill="auto"/>
                  <w:noWrap w:val="0"/>
                  <w:vAlign w:val="center"/>
                </w:tcPr>
                <w:p w14:paraId="3F3E9D5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58</w:t>
                  </w:r>
                </w:p>
              </w:tc>
              <w:tc>
                <w:tcPr>
                  <w:tcW w:w="393" w:type="pct"/>
                  <w:tcBorders>
                    <w:tl2br w:val="nil"/>
                    <w:tr2bl w:val="nil"/>
                  </w:tcBorders>
                  <w:shd w:val="clear" w:color="auto" w:fill="auto"/>
                  <w:noWrap w:val="0"/>
                  <w:vAlign w:val="center"/>
                </w:tcPr>
                <w:p w14:paraId="21DC6B4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1</w:t>
                  </w:r>
                </w:p>
              </w:tc>
            </w:tr>
            <w:tr w14:paraId="7A15F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225" w:type="pct"/>
                  <w:tcBorders>
                    <w:tl2br w:val="nil"/>
                    <w:tr2bl w:val="nil"/>
                  </w:tcBorders>
                  <w:shd w:val="clear" w:color="auto" w:fill="auto"/>
                  <w:noWrap w:val="0"/>
                  <w:vAlign w:val="center"/>
                </w:tcPr>
                <w:p w14:paraId="61837C0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w:t>
                  </w:r>
                </w:p>
              </w:tc>
              <w:tc>
                <w:tcPr>
                  <w:tcW w:w="265" w:type="pct"/>
                  <w:vMerge w:val="continue"/>
                  <w:tcBorders>
                    <w:tl2br w:val="nil"/>
                    <w:tr2bl w:val="nil"/>
                  </w:tcBorders>
                  <w:shd w:val="clear" w:color="auto" w:fill="auto"/>
                  <w:noWrap w:val="0"/>
                  <w:vAlign w:val="center"/>
                </w:tcPr>
                <w:p w14:paraId="5A169F6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608" w:type="pct"/>
                  <w:tcBorders>
                    <w:tl2br w:val="nil"/>
                    <w:tr2bl w:val="nil"/>
                  </w:tcBorders>
                  <w:shd w:val="clear" w:color="auto" w:fill="auto"/>
                  <w:noWrap w:val="0"/>
                  <w:vAlign w:val="center"/>
                </w:tcPr>
                <w:p w14:paraId="7C638738">
                  <w:pPr>
                    <w:shd w:val="clear" w:color="auto" w:fill="auto"/>
                    <w:jc w:val="center"/>
                    <w:textAlignment w:val="center"/>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风机（环保设备）</w:t>
                  </w:r>
                </w:p>
              </w:tc>
              <w:tc>
                <w:tcPr>
                  <w:tcW w:w="330" w:type="pct"/>
                  <w:tcBorders>
                    <w:tl2br w:val="nil"/>
                    <w:tr2bl w:val="nil"/>
                  </w:tcBorders>
                  <w:shd w:val="clear" w:color="auto" w:fill="auto"/>
                  <w:noWrap w:val="0"/>
                  <w:vAlign w:val="center"/>
                </w:tcPr>
                <w:p w14:paraId="611F881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cs="Times New Roman"/>
                      <w:bCs/>
                      <w:color w:val="000000"/>
                      <w:sz w:val="21"/>
                      <w:szCs w:val="21"/>
                      <w:highlight w:val="none"/>
                      <w:lang w:val="en-US" w:eastAsia="zh-CN"/>
                    </w:rPr>
                  </w:pPr>
                  <w:r>
                    <w:rPr>
                      <w:rFonts w:hint="eastAsia" w:ascii="Times New Roman" w:hAnsi="Times New Roman" w:cs="Times New Roman"/>
                      <w:bCs/>
                      <w:color w:val="000000"/>
                      <w:sz w:val="21"/>
                      <w:szCs w:val="21"/>
                      <w:highlight w:val="none"/>
                      <w:lang w:val="en-US" w:eastAsia="zh-CN"/>
                    </w:rPr>
                    <w:t>90</w:t>
                  </w:r>
                </w:p>
              </w:tc>
              <w:tc>
                <w:tcPr>
                  <w:tcW w:w="451" w:type="pct"/>
                  <w:vMerge w:val="continue"/>
                  <w:tcBorders>
                    <w:tl2br w:val="nil"/>
                    <w:tr2bl w:val="nil"/>
                  </w:tcBorders>
                  <w:shd w:val="clear" w:color="auto" w:fill="auto"/>
                  <w:noWrap w:val="0"/>
                  <w:vAlign w:val="center"/>
                </w:tcPr>
                <w:p w14:paraId="69449CF8">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289" w:type="pct"/>
                  <w:tcBorders>
                    <w:tl2br w:val="nil"/>
                    <w:tr2bl w:val="nil"/>
                  </w:tcBorders>
                  <w:shd w:val="clear" w:color="auto" w:fill="auto"/>
                  <w:noWrap w:val="0"/>
                  <w:vAlign w:val="center"/>
                </w:tcPr>
                <w:p w14:paraId="6F546DAA">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kern w:val="0"/>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46</w:t>
                  </w:r>
                </w:p>
              </w:tc>
              <w:tc>
                <w:tcPr>
                  <w:tcW w:w="249" w:type="pct"/>
                  <w:tcBorders>
                    <w:tl2br w:val="nil"/>
                    <w:tr2bl w:val="nil"/>
                  </w:tcBorders>
                  <w:shd w:val="clear" w:color="auto" w:fill="auto"/>
                  <w:noWrap w:val="0"/>
                  <w:vAlign w:val="center"/>
                </w:tcPr>
                <w:p w14:paraId="1509827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4</w:t>
                  </w:r>
                </w:p>
              </w:tc>
              <w:tc>
                <w:tcPr>
                  <w:tcW w:w="276" w:type="pct"/>
                  <w:tcBorders>
                    <w:tl2br w:val="nil"/>
                    <w:tr2bl w:val="nil"/>
                  </w:tcBorders>
                  <w:shd w:val="clear" w:color="auto" w:fill="auto"/>
                  <w:noWrap w:val="0"/>
                  <w:vAlign w:val="center"/>
                </w:tcPr>
                <w:p w14:paraId="45F6561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1</w:t>
                  </w:r>
                </w:p>
              </w:tc>
              <w:tc>
                <w:tcPr>
                  <w:tcW w:w="381" w:type="pct"/>
                  <w:tcBorders>
                    <w:tl2br w:val="nil"/>
                    <w:tr2bl w:val="nil"/>
                  </w:tcBorders>
                  <w:shd w:val="clear" w:color="auto" w:fill="auto"/>
                  <w:noWrap w:val="0"/>
                  <w:vAlign w:val="center"/>
                </w:tcPr>
                <w:p w14:paraId="4F5FFCA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昼</w:t>
                  </w:r>
                  <w:r>
                    <w:rPr>
                      <w:rFonts w:hint="default" w:ascii="Times New Roman" w:hAnsi="Times New Roman" w:cs="Times New Roman"/>
                      <w:color w:val="000000"/>
                      <w:sz w:val="21"/>
                      <w:szCs w:val="21"/>
                      <w:highlight w:val="none"/>
                      <w:lang w:val="en-US" w:eastAsia="zh-CN"/>
                    </w:rPr>
                    <w:t>间</w:t>
                  </w:r>
                </w:p>
              </w:tc>
              <w:tc>
                <w:tcPr>
                  <w:tcW w:w="381" w:type="pct"/>
                  <w:tcBorders>
                    <w:tl2br w:val="nil"/>
                    <w:tr2bl w:val="nil"/>
                  </w:tcBorders>
                  <w:shd w:val="clear" w:color="auto" w:fill="auto"/>
                  <w:noWrap w:val="0"/>
                  <w:vAlign w:val="center"/>
                </w:tcPr>
                <w:p w14:paraId="2D161EC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4</w:t>
                  </w:r>
                </w:p>
              </w:tc>
              <w:tc>
                <w:tcPr>
                  <w:tcW w:w="381" w:type="pct"/>
                  <w:tcBorders>
                    <w:tl2br w:val="nil"/>
                    <w:tr2bl w:val="nil"/>
                  </w:tcBorders>
                  <w:shd w:val="clear" w:color="auto" w:fill="auto"/>
                  <w:noWrap w:val="0"/>
                  <w:vAlign w:val="center"/>
                </w:tcPr>
                <w:p w14:paraId="39FE4E7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85</w:t>
                  </w:r>
                </w:p>
              </w:tc>
              <w:tc>
                <w:tcPr>
                  <w:tcW w:w="382" w:type="pct"/>
                  <w:tcBorders>
                    <w:tl2br w:val="nil"/>
                    <w:tr2bl w:val="nil"/>
                  </w:tcBorders>
                  <w:shd w:val="clear" w:color="auto" w:fill="auto"/>
                  <w:noWrap w:val="0"/>
                  <w:vAlign w:val="center"/>
                </w:tcPr>
                <w:p w14:paraId="5CEDA28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000000"/>
                      <w:kern w:val="2"/>
                      <w:sz w:val="21"/>
                      <w:szCs w:val="21"/>
                      <w:highlight w:val="none"/>
                      <w:lang w:val="en-US" w:eastAsia="zh-CN" w:bidi="ar-SA"/>
                    </w:rPr>
                  </w:pPr>
                  <w:r>
                    <w:rPr>
                      <w:rFonts w:hint="eastAsia" w:ascii="Times New Roman" w:hAnsi="Times New Roman" w:cs="Times New Roman"/>
                      <w:snapToGrid w:val="0"/>
                      <w:color w:val="000000"/>
                      <w:sz w:val="21"/>
                      <w:szCs w:val="21"/>
                      <w:highlight w:val="none"/>
                      <w:lang w:val="en-US" w:eastAsia="zh-CN"/>
                    </w:rPr>
                    <w:t>20</w:t>
                  </w:r>
                </w:p>
              </w:tc>
              <w:tc>
                <w:tcPr>
                  <w:tcW w:w="382" w:type="pct"/>
                  <w:tcBorders>
                    <w:tl2br w:val="nil"/>
                    <w:tr2bl w:val="nil"/>
                  </w:tcBorders>
                  <w:shd w:val="clear" w:color="auto" w:fill="auto"/>
                  <w:noWrap w:val="0"/>
                  <w:vAlign w:val="center"/>
                </w:tcPr>
                <w:p w14:paraId="5637C9F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65</w:t>
                  </w:r>
                </w:p>
              </w:tc>
              <w:tc>
                <w:tcPr>
                  <w:tcW w:w="393" w:type="pct"/>
                  <w:tcBorders>
                    <w:tl2br w:val="nil"/>
                    <w:tr2bl w:val="nil"/>
                  </w:tcBorders>
                  <w:shd w:val="clear" w:color="auto" w:fill="auto"/>
                  <w:noWrap w:val="0"/>
                  <w:vAlign w:val="center"/>
                </w:tcPr>
                <w:p w14:paraId="26E2618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1</w:t>
                  </w:r>
                </w:p>
              </w:tc>
            </w:tr>
            <w:tr w14:paraId="42EF9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225" w:type="pct"/>
                  <w:tcBorders>
                    <w:tl2br w:val="nil"/>
                    <w:tr2bl w:val="nil"/>
                  </w:tcBorders>
                  <w:shd w:val="clear" w:color="auto" w:fill="auto"/>
                  <w:noWrap w:val="0"/>
                  <w:vAlign w:val="center"/>
                </w:tcPr>
                <w:p w14:paraId="049C80A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5</w:t>
                  </w:r>
                </w:p>
              </w:tc>
              <w:tc>
                <w:tcPr>
                  <w:tcW w:w="265" w:type="pct"/>
                  <w:vMerge w:val="restart"/>
                  <w:tcBorders>
                    <w:tl2br w:val="nil"/>
                    <w:tr2bl w:val="nil"/>
                  </w:tcBorders>
                  <w:shd w:val="clear" w:color="auto" w:fill="auto"/>
                  <w:noWrap w:val="0"/>
                  <w:vAlign w:val="center"/>
                </w:tcPr>
                <w:p w14:paraId="37D274D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制酒车间</w:t>
                  </w:r>
                </w:p>
              </w:tc>
              <w:tc>
                <w:tcPr>
                  <w:tcW w:w="608" w:type="pct"/>
                  <w:tcBorders>
                    <w:tl2br w:val="nil"/>
                    <w:tr2bl w:val="nil"/>
                  </w:tcBorders>
                  <w:shd w:val="clear" w:color="auto" w:fill="auto"/>
                  <w:noWrap w:val="0"/>
                  <w:vAlign w:val="center"/>
                </w:tcPr>
                <w:p w14:paraId="4A2DF10B">
                  <w:pPr>
                    <w:shd w:val="clear" w:color="auto" w:fill="auto"/>
                    <w:jc w:val="center"/>
                    <w:rPr>
                      <w:rFonts w:hint="default" w:ascii="Times New Roman" w:hAnsi="Times New Roman" w:cs="Times New Roman"/>
                      <w:color w:val="000000"/>
                      <w:spacing w:val="-17"/>
                      <w:sz w:val="21"/>
                      <w:highlight w:val="none"/>
                      <w:lang w:val="en-US" w:eastAsia="zh-CN"/>
                    </w:rPr>
                  </w:pPr>
                  <w:r>
                    <w:rPr>
                      <w:rFonts w:hint="eastAsia" w:ascii="Times New Roman" w:hAnsi="Times New Roman" w:cs="Times New Roman"/>
                      <w:color w:val="000000"/>
                      <w:spacing w:val="-17"/>
                      <w:sz w:val="21"/>
                      <w:highlight w:val="none"/>
                      <w:lang w:val="en-US" w:eastAsia="zh-CN"/>
                    </w:rPr>
                    <w:t>风冷器</w:t>
                  </w:r>
                </w:p>
              </w:tc>
              <w:tc>
                <w:tcPr>
                  <w:tcW w:w="330" w:type="pct"/>
                  <w:tcBorders>
                    <w:tl2br w:val="nil"/>
                    <w:tr2bl w:val="nil"/>
                  </w:tcBorders>
                  <w:shd w:val="clear" w:color="auto" w:fill="auto"/>
                  <w:noWrap w:val="0"/>
                  <w:vAlign w:val="center"/>
                </w:tcPr>
                <w:p w14:paraId="2417693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color w:val="000000"/>
                      <w:sz w:val="21"/>
                      <w:szCs w:val="21"/>
                      <w:highlight w:val="none"/>
                      <w:lang w:val="en-US" w:eastAsia="zh-CN"/>
                    </w:rPr>
                  </w:pPr>
                  <w:r>
                    <w:rPr>
                      <w:rFonts w:hint="default" w:ascii="Times New Roman" w:hAnsi="Times New Roman" w:cs="Times New Roman"/>
                      <w:bCs/>
                      <w:color w:val="000000"/>
                      <w:sz w:val="21"/>
                      <w:szCs w:val="21"/>
                      <w:highlight w:val="none"/>
                      <w:lang w:val="en-US" w:eastAsia="zh-CN"/>
                    </w:rPr>
                    <w:t>80</w:t>
                  </w:r>
                </w:p>
              </w:tc>
              <w:tc>
                <w:tcPr>
                  <w:tcW w:w="451" w:type="pct"/>
                  <w:vMerge w:val="continue"/>
                  <w:tcBorders>
                    <w:tl2br w:val="nil"/>
                    <w:tr2bl w:val="nil"/>
                  </w:tcBorders>
                  <w:shd w:val="clear" w:color="auto" w:fill="auto"/>
                  <w:noWrap w:val="0"/>
                  <w:vAlign w:val="center"/>
                </w:tcPr>
                <w:p w14:paraId="730C25B6">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p>
              </w:tc>
              <w:tc>
                <w:tcPr>
                  <w:tcW w:w="289" w:type="pct"/>
                  <w:tcBorders>
                    <w:tl2br w:val="nil"/>
                    <w:tr2bl w:val="nil"/>
                  </w:tcBorders>
                  <w:shd w:val="clear" w:color="auto" w:fill="auto"/>
                  <w:noWrap w:val="0"/>
                  <w:vAlign w:val="center"/>
                </w:tcPr>
                <w:p w14:paraId="724042B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46</w:t>
                  </w:r>
                </w:p>
              </w:tc>
              <w:tc>
                <w:tcPr>
                  <w:tcW w:w="249" w:type="pct"/>
                  <w:tcBorders>
                    <w:tl2br w:val="nil"/>
                    <w:tr2bl w:val="nil"/>
                  </w:tcBorders>
                  <w:shd w:val="clear" w:color="auto" w:fill="auto"/>
                  <w:noWrap w:val="0"/>
                  <w:vAlign w:val="center"/>
                </w:tcPr>
                <w:p w14:paraId="2154049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19</w:t>
                  </w:r>
                </w:p>
              </w:tc>
              <w:tc>
                <w:tcPr>
                  <w:tcW w:w="276" w:type="pct"/>
                  <w:tcBorders>
                    <w:tl2br w:val="nil"/>
                    <w:tr2bl w:val="nil"/>
                  </w:tcBorders>
                  <w:shd w:val="clear" w:color="auto" w:fill="auto"/>
                  <w:noWrap w:val="0"/>
                  <w:vAlign w:val="center"/>
                </w:tcPr>
                <w:p w14:paraId="58E4E0C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w:t>
                  </w:r>
                </w:p>
              </w:tc>
              <w:tc>
                <w:tcPr>
                  <w:tcW w:w="381" w:type="pct"/>
                  <w:tcBorders>
                    <w:tl2br w:val="nil"/>
                    <w:tr2bl w:val="nil"/>
                  </w:tcBorders>
                  <w:shd w:val="clear" w:color="auto" w:fill="auto"/>
                  <w:noWrap w:val="0"/>
                  <w:vAlign w:val="center"/>
                </w:tcPr>
                <w:p w14:paraId="4D36642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昼间</w:t>
                  </w:r>
                </w:p>
              </w:tc>
              <w:tc>
                <w:tcPr>
                  <w:tcW w:w="381" w:type="pct"/>
                  <w:tcBorders>
                    <w:tl2br w:val="nil"/>
                    <w:tr2bl w:val="nil"/>
                  </w:tcBorders>
                  <w:shd w:val="clear" w:color="auto" w:fill="auto"/>
                  <w:noWrap w:val="0"/>
                  <w:vAlign w:val="center"/>
                </w:tcPr>
                <w:p w14:paraId="41E711F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w:t>
                  </w:r>
                </w:p>
              </w:tc>
              <w:tc>
                <w:tcPr>
                  <w:tcW w:w="381" w:type="pct"/>
                  <w:tcBorders>
                    <w:tl2br w:val="nil"/>
                    <w:tr2bl w:val="nil"/>
                  </w:tcBorders>
                  <w:shd w:val="clear" w:color="auto" w:fill="auto"/>
                  <w:noWrap w:val="0"/>
                  <w:vAlign w:val="center"/>
                </w:tcPr>
                <w:p w14:paraId="3F83BA2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73</w:t>
                  </w:r>
                </w:p>
              </w:tc>
              <w:tc>
                <w:tcPr>
                  <w:tcW w:w="382" w:type="pct"/>
                  <w:tcBorders>
                    <w:tl2br w:val="nil"/>
                    <w:tr2bl w:val="nil"/>
                  </w:tcBorders>
                  <w:shd w:val="clear" w:color="auto" w:fill="auto"/>
                  <w:noWrap w:val="0"/>
                  <w:vAlign w:val="center"/>
                </w:tcPr>
                <w:p w14:paraId="374977D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snapToGrid w:val="0"/>
                      <w:color w:val="000000"/>
                      <w:sz w:val="21"/>
                      <w:szCs w:val="21"/>
                      <w:highlight w:val="none"/>
                      <w:lang w:val="en-US" w:eastAsia="zh-CN"/>
                    </w:rPr>
                    <w:t>15</w:t>
                  </w:r>
                </w:p>
              </w:tc>
              <w:tc>
                <w:tcPr>
                  <w:tcW w:w="382" w:type="pct"/>
                  <w:tcBorders>
                    <w:tl2br w:val="nil"/>
                    <w:tr2bl w:val="nil"/>
                  </w:tcBorders>
                  <w:shd w:val="clear" w:color="auto" w:fill="auto"/>
                  <w:noWrap w:val="0"/>
                  <w:vAlign w:val="center"/>
                </w:tcPr>
                <w:p w14:paraId="729AC3E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58</w:t>
                  </w:r>
                </w:p>
              </w:tc>
              <w:tc>
                <w:tcPr>
                  <w:tcW w:w="393" w:type="pct"/>
                  <w:tcBorders>
                    <w:tl2br w:val="nil"/>
                    <w:tr2bl w:val="nil"/>
                  </w:tcBorders>
                  <w:shd w:val="clear" w:color="auto" w:fill="auto"/>
                  <w:noWrap w:val="0"/>
                  <w:vAlign w:val="center"/>
                </w:tcPr>
                <w:p w14:paraId="3DF416D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1</w:t>
                  </w:r>
                </w:p>
              </w:tc>
            </w:tr>
            <w:tr w14:paraId="48D79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225" w:type="pct"/>
                  <w:tcBorders>
                    <w:tl2br w:val="nil"/>
                    <w:tr2bl w:val="nil"/>
                  </w:tcBorders>
                  <w:shd w:val="clear" w:color="auto" w:fill="auto"/>
                  <w:noWrap w:val="0"/>
                  <w:vAlign w:val="center"/>
                </w:tcPr>
                <w:p w14:paraId="627F0EF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6</w:t>
                  </w:r>
                </w:p>
              </w:tc>
              <w:tc>
                <w:tcPr>
                  <w:tcW w:w="265" w:type="pct"/>
                  <w:vMerge w:val="continue"/>
                  <w:tcBorders>
                    <w:tl2br w:val="nil"/>
                    <w:tr2bl w:val="nil"/>
                  </w:tcBorders>
                  <w:shd w:val="clear" w:color="auto" w:fill="auto"/>
                  <w:noWrap w:val="0"/>
                  <w:vAlign w:val="center"/>
                </w:tcPr>
                <w:p w14:paraId="319CFA3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608" w:type="pct"/>
                  <w:tcBorders>
                    <w:tl2br w:val="nil"/>
                    <w:tr2bl w:val="nil"/>
                  </w:tcBorders>
                  <w:shd w:val="clear" w:color="auto" w:fill="auto"/>
                  <w:noWrap w:val="0"/>
                  <w:vAlign w:val="center"/>
                </w:tcPr>
                <w:p w14:paraId="46C03498">
                  <w:pPr>
                    <w:keepNext w:val="0"/>
                    <w:keepLines w:val="0"/>
                    <w:pageBreakBefore w:val="0"/>
                    <w:widowControl w:val="0"/>
                    <w:shd w:val="clear" w:color="auto" w:fill="auto"/>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cs="Times New Roman"/>
                      <w:color w:val="000000"/>
                      <w:spacing w:val="-17"/>
                      <w:sz w:val="21"/>
                      <w:highlight w:val="none"/>
                      <w:lang w:val="en-US" w:eastAsia="zh-CN"/>
                    </w:rPr>
                  </w:pPr>
                  <w:r>
                    <w:rPr>
                      <w:rFonts w:hint="eastAsia" w:ascii="Times New Roman" w:hAnsi="Times New Roman" w:cs="Times New Roman"/>
                      <w:color w:val="000000"/>
                      <w:spacing w:val="-17"/>
                      <w:sz w:val="21"/>
                      <w:highlight w:val="none"/>
                      <w:lang w:val="en-US" w:eastAsia="zh-CN"/>
                    </w:rPr>
                    <w:t>风冷器</w:t>
                  </w:r>
                </w:p>
              </w:tc>
              <w:tc>
                <w:tcPr>
                  <w:tcW w:w="330" w:type="pct"/>
                  <w:tcBorders>
                    <w:tl2br w:val="nil"/>
                    <w:tr2bl w:val="nil"/>
                  </w:tcBorders>
                  <w:shd w:val="clear" w:color="auto" w:fill="auto"/>
                  <w:noWrap w:val="0"/>
                  <w:vAlign w:val="center"/>
                </w:tcPr>
                <w:p w14:paraId="3FE89FF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color w:val="000000"/>
                      <w:sz w:val="21"/>
                      <w:szCs w:val="21"/>
                      <w:highlight w:val="none"/>
                      <w:lang w:val="en-US" w:eastAsia="zh-CN"/>
                    </w:rPr>
                  </w:pPr>
                  <w:r>
                    <w:rPr>
                      <w:rFonts w:hint="default" w:ascii="Times New Roman" w:hAnsi="Times New Roman" w:cs="Times New Roman"/>
                      <w:bCs/>
                      <w:color w:val="000000"/>
                      <w:sz w:val="21"/>
                      <w:szCs w:val="21"/>
                      <w:highlight w:val="none"/>
                      <w:lang w:val="en-US" w:eastAsia="zh-CN"/>
                    </w:rPr>
                    <w:t>80</w:t>
                  </w:r>
                </w:p>
              </w:tc>
              <w:tc>
                <w:tcPr>
                  <w:tcW w:w="451" w:type="pct"/>
                  <w:vMerge w:val="continue"/>
                  <w:tcBorders>
                    <w:tl2br w:val="nil"/>
                    <w:tr2bl w:val="nil"/>
                  </w:tcBorders>
                  <w:shd w:val="clear" w:color="auto" w:fill="auto"/>
                  <w:noWrap w:val="0"/>
                  <w:vAlign w:val="center"/>
                </w:tcPr>
                <w:p w14:paraId="3C8D4DF4">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289" w:type="pct"/>
                  <w:tcBorders>
                    <w:tl2br w:val="nil"/>
                    <w:tr2bl w:val="nil"/>
                  </w:tcBorders>
                  <w:shd w:val="clear" w:color="auto" w:fill="auto"/>
                  <w:noWrap w:val="0"/>
                  <w:vAlign w:val="center"/>
                </w:tcPr>
                <w:p w14:paraId="2C31DAA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47</w:t>
                  </w:r>
                </w:p>
              </w:tc>
              <w:tc>
                <w:tcPr>
                  <w:tcW w:w="249" w:type="pct"/>
                  <w:tcBorders>
                    <w:tl2br w:val="nil"/>
                    <w:tr2bl w:val="nil"/>
                  </w:tcBorders>
                  <w:shd w:val="clear" w:color="auto" w:fill="auto"/>
                  <w:noWrap w:val="0"/>
                  <w:vAlign w:val="center"/>
                </w:tcPr>
                <w:p w14:paraId="44ECD49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19</w:t>
                  </w:r>
                </w:p>
              </w:tc>
              <w:tc>
                <w:tcPr>
                  <w:tcW w:w="276" w:type="pct"/>
                  <w:tcBorders>
                    <w:tl2br w:val="nil"/>
                    <w:tr2bl w:val="nil"/>
                  </w:tcBorders>
                  <w:shd w:val="clear" w:color="auto" w:fill="auto"/>
                  <w:noWrap w:val="0"/>
                  <w:vAlign w:val="center"/>
                </w:tcPr>
                <w:p w14:paraId="0806949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w:t>
                  </w:r>
                </w:p>
              </w:tc>
              <w:tc>
                <w:tcPr>
                  <w:tcW w:w="381" w:type="pct"/>
                  <w:tcBorders>
                    <w:tl2br w:val="nil"/>
                    <w:tr2bl w:val="nil"/>
                  </w:tcBorders>
                  <w:shd w:val="clear" w:color="auto" w:fill="auto"/>
                  <w:noWrap w:val="0"/>
                  <w:vAlign w:val="center"/>
                </w:tcPr>
                <w:p w14:paraId="01BD762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昼间</w:t>
                  </w:r>
                </w:p>
              </w:tc>
              <w:tc>
                <w:tcPr>
                  <w:tcW w:w="381" w:type="pct"/>
                  <w:tcBorders>
                    <w:tl2br w:val="nil"/>
                    <w:tr2bl w:val="nil"/>
                  </w:tcBorders>
                  <w:shd w:val="clear" w:color="auto" w:fill="auto"/>
                  <w:noWrap w:val="0"/>
                  <w:vAlign w:val="center"/>
                </w:tcPr>
                <w:p w14:paraId="4CFC166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w:t>
                  </w:r>
                </w:p>
              </w:tc>
              <w:tc>
                <w:tcPr>
                  <w:tcW w:w="381" w:type="pct"/>
                  <w:tcBorders>
                    <w:tl2br w:val="nil"/>
                    <w:tr2bl w:val="nil"/>
                  </w:tcBorders>
                  <w:shd w:val="clear" w:color="auto" w:fill="auto"/>
                  <w:noWrap w:val="0"/>
                  <w:vAlign w:val="center"/>
                </w:tcPr>
                <w:p w14:paraId="0A6BFAB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73</w:t>
                  </w:r>
                </w:p>
              </w:tc>
              <w:tc>
                <w:tcPr>
                  <w:tcW w:w="382" w:type="pct"/>
                  <w:tcBorders>
                    <w:tl2br w:val="nil"/>
                    <w:tr2bl w:val="nil"/>
                  </w:tcBorders>
                  <w:shd w:val="clear" w:color="auto" w:fill="auto"/>
                  <w:noWrap w:val="0"/>
                  <w:vAlign w:val="center"/>
                </w:tcPr>
                <w:p w14:paraId="7E1A59B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snapToGrid w:val="0"/>
                      <w:color w:val="000000"/>
                      <w:sz w:val="21"/>
                      <w:szCs w:val="21"/>
                      <w:highlight w:val="none"/>
                      <w:lang w:val="en-US" w:eastAsia="zh-CN"/>
                    </w:rPr>
                    <w:t>15</w:t>
                  </w:r>
                </w:p>
              </w:tc>
              <w:tc>
                <w:tcPr>
                  <w:tcW w:w="382" w:type="pct"/>
                  <w:tcBorders>
                    <w:tl2br w:val="nil"/>
                    <w:tr2bl w:val="nil"/>
                  </w:tcBorders>
                  <w:shd w:val="clear" w:color="auto" w:fill="auto"/>
                  <w:noWrap w:val="0"/>
                  <w:vAlign w:val="center"/>
                </w:tcPr>
                <w:p w14:paraId="47A02CE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58</w:t>
                  </w:r>
                </w:p>
              </w:tc>
              <w:tc>
                <w:tcPr>
                  <w:tcW w:w="393" w:type="pct"/>
                  <w:tcBorders>
                    <w:tl2br w:val="nil"/>
                    <w:tr2bl w:val="nil"/>
                  </w:tcBorders>
                  <w:shd w:val="clear" w:color="auto" w:fill="auto"/>
                  <w:noWrap w:val="0"/>
                  <w:vAlign w:val="center"/>
                </w:tcPr>
                <w:p w14:paraId="72F6459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1</w:t>
                  </w:r>
                </w:p>
              </w:tc>
            </w:tr>
            <w:tr w14:paraId="48F43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225" w:type="pct"/>
                  <w:tcBorders>
                    <w:tl2br w:val="nil"/>
                    <w:tr2bl w:val="nil"/>
                  </w:tcBorders>
                  <w:shd w:val="clear" w:color="auto" w:fill="auto"/>
                  <w:noWrap w:val="0"/>
                  <w:vAlign w:val="center"/>
                </w:tcPr>
                <w:p w14:paraId="13A74E4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7</w:t>
                  </w:r>
                </w:p>
              </w:tc>
              <w:tc>
                <w:tcPr>
                  <w:tcW w:w="265" w:type="pct"/>
                  <w:vMerge w:val="continue"/>
                  <w:tcBorders>
                    <w:tl2br w:val="nil"/>
                    <w:tr2bl w:val="nil"/>
                  </w:tcBorders>
                  <w:shd w:val="clear" w:color="auto" w:fill="auto"/>
                  <w:noWrap w:val="0"/>
                  <w:vAlign w:val="center"/>
                </w:tcPr>
                <w:p w14:paraId="273CA3B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608" w:type="pct"/>
                  <w:tcBorders>
                    <w:tl2br w:val="nil"/>
                    <w:tr2bl w:val="nil"/>
                  </w:tcBorders>
                  <w:shd w:val="clear" w:color="auto" w:fill="auto"/>
                  <w:noWrap w:val="0"/>
                  <w:vAlign w:val="center"/>
                </w:tcPr>
                <w:p w14:paraId="1BC10111">
                  <w:pPr>
                    <w:keepNext w:val="0"/>
                    <w:keepLines w:val="0"/>
                    <w:pageBreakBefore w:val="0"/>
                    <w:widowControl w:val="0"/>
                    <w:shd w:val="clear" w:color="auto" w:fill="auto"/>
                    <w:kinsoku/>
                    <w:wordWrap/>
                    <w:overflowPunct/>
                    <w:topLinePunct w:val="0"/>
                    <w:autoSpaceDE/>
                    <w:autoSpaceDN/>
                    <w:bidi w:val="0"/>
                    <w:adjustRightInd w:val="0"/>
                    <w:snapToGrid w:val="0"/>
                    <w:spacing w:after="0" w:line="240" w:lineRule="auto"/>
                    <w:ind w:left="0" w:leftChars="0" w:right="0" w:rightChars="0" w:firstLine="0" w:firstLineChars="0"/>
                    <w:jc w:val="center"/>
                    <w:textAlignment w:val="auto"/>
                    <w:rPr>
                      <w:rFonts w:hint="default" w:ascii="Times New Roman" w:hAnsi="Times New Roman" w:cs="Times New Roman"/>
                      <w:color w:val="000000"/>
                      <w:spacing w:val="-17"/>
                      <w:sz w:val="21"/>
                      <w:highlight w:val="none"/>
                      <w:lang w:val="en-US" w:eastAsia="zh-CN"/>
                    </w:rPr>
                  </w:pPr>
                  <w:r>
                    <w:rPr>
                      <w:rFonts w:hint="eastAsia" w:ascii="Times New Roman" w:hAnsi="Times New Roman" w:cs="Times New Roman"/>
                      <w:color w:val="000000"/>
                      <w:spacing w:val="-17"/>
                      <w:sz w:val="21"/>
                      <w:highlight w:val="none"/>
                      <w:lang w:val="en-US" w:eastAsia="zh-CN"/>
                    </w:rPr>
                    <w:t>行车</w:t>
                  </w:r>
                </w:p>
              </w:tc>
              <w:tc>
                <w:tcPr>
                  <w:tcW w:w="330" w:type="pct"/>
                  <w:tcBorders>
                    <w:tl2br w:val="nil"/>
                    <w:tr2bl w:val="nil"/>
                  </w:tcBorders>
                  <w:shd w:val="clear" w:color="auto" w:fill="auto"/>
                  <w:noWrap w:val="0"/>
                  <w:vAlign w:val="center"/>
                </w:tcPr>
                <w:p w14:paraId="762BB57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color w:val="000000"/>
                      <w:kern w:val="2"/>
                      <w:sz w:val="21"/>
                      <w:szCs w:val="21"/>
                      <w:highlight w:val="none"/>
                      <w:lang w:val="en-US" w:eastAsia="zh-CN" w:bidi="ar-SA"/>
                    </w:rPr>
                  </w:pPr>
                  <w:r>
                    <w:rPr>
                      <w:rFonts w:hint="default" w:ascii="Times New Roman" w:hAnsi="Times New Roman" w:cs="Times New Roman"/>
                      <w:bCs/>
                      <w:color w:val="000000"/>
                      <w:sz w:val="21"/>
                      <w:szCs w:val="21"/>
                      <w:highlight w:val="none"/>
                      <w:lang w:val="en-US" w:eastAsia="zh-CN"/>
                    </w:rPr>
                    <w:t>80</w:t>
                  </w:r>
                </w:p>
              </w:tc>
              <w:tc>
                <w:tcPr>
                  <w:tcW w:w="451" w:type="pct"/>
                  <w:vMerge w:val="continue"/>
                  <w:tcBorders>
                    <w:tl2br w:val="nil"/>
                    <w:tr2bl w:val="nil"/>
                  </w:tcBorders>
                  <w:shd w:val="clear" w:color="auto" w:fill="auto"/>
                  <w:noWrap w:val="0"/>
                  <w:vAlign w:val="center"/>
                </w:tcPr>
                <w:p w14:paraId="52043C93">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kern w:val="0"/>
                      <w:sz w:val="21"/>
                      <w:szCs w:val="21"/>
                      <w:highlight w:val="none"/>
                      <w:lang w:val="en-US" w:eastAsia="en-US" w:bidi="ar-SA"/>
                    </w:rPr>
                  </w:pPr>
                </w:p>
              </w:tc>
              <w:tc>
                <w:tcPr>
                  <w:tcW w:w="289" w:type="pct"/>
                  <w:tcBorders>
                    <w:tl2br w:val="nil"/>
                    <w:tr2bl w:val="nil"/>
                  </w:tcBorders>
                  <w:shd w:val="clear" w:color="auto" w:fill="auto"/>
                  <w:noWrap w:val="0"/>
                  <w:vAlign w:val="center"/>
                </w:tcPr>
                <w:p w14:paraId="28273ED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15</w:t>
                  </w:r>
                </w:p>
              </w:tc>
              <w:tc>
                <w:tcPr>
                  <w:tcW w:w="249" w:type="pct"/>
                  <w:tcBorders>
                    <w:tl2br w:val="nil"/>
                    <w:tr2bl w:val="nil"/>
                  </w:tcBorders>
                  <w:shd w:val="clear" w:color="auto" w:fill="auto"/>
                  <w:noWrap w:val="0"/>
                  <w:vAlign w:val="center"/>
                </w:tcPr>
                <w:p w14:paraId="4FC673A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17</w:t>
                  </w:r>
                </w:p>
              </w:tc>
              <w:tc>
                <w:tcPr>
                  <w:tcW w:w="276" w:type="pct"/>
                  <w:tcBorders>
                    <w:tl2br w:val="nil"/>
                    <w:tr2bl w:val="nil"/>
                  </w:tcBorders>
                  <w:shd w:val="clear" w:color="auto" w:fill="auto"/>
                  <w:noWrap w:val="0"/>
                  <w:vAlign w:val="center"/>
                </w:tcPr>
                <w:p w14:paraId="32AD214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1</w:t>
                  </w:r>
                </w:p>
              </w:tc>
              <w:tc>
                <w:tcPr>
                  <w:tcW w:w="381" w:type="pct"/>
                  <w:tcBorders>
                    <w:tl2br w:val="nil"/>
                    <w:tr2bl w:val="nil"/>
                  </w:tcBorders>
                  <w:shd w:val="clear" w:color="auto" w:fill="auto"/>
                  <w:noWrap w:val="0"/>
                  <w:vAlign w:val="center"/>
                </w:tcPr>
                <w:p w14:paraId="18B582C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昼间</w:t>
                  </w:r>
                </w:p>
              </w:tc>
              <w:tc>
                <w:tcPr>
                  <w:tcW w:w="381" w:type="pct"/>
                  <w:tcBorders>
                    <w:tl2br w:val="nil"/>
                    <w:tr2bl w:val="nil"/>
                  </w:tcBorders>
                  <w:shd w:val="clear" w:color="auto" w:fill="auto"/>
                  <w:noWrap w:val="0"/>
                  <w:vAlign w:val="center"/>
                </w:tcPr>
                <w:p w14:paraId="72CE75D4">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kern w:val="0"/>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4</w:t>
                  </w:r>
                </w:p>
              </w:tc>
              <w:tc>
                <w:tcPr>
                  <w:tcW w:w="381" w:type="pct"/>
                  <w:tcBorders>
                    <w:tl2br w:val="nil"/>
                    <w:tr2bl w:val="nil"/>
                  </w:tcBorders>
                  <w:shd w:val="clear" w:color="auto" w:fill="auto"/>
                  <w:noWrap w:val="0"/>
                  <w:vAlign w:val="center"/>
                </w:tcPr>
                <w:p w14:paraId="00E5B44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67</w:t>
                  </w:r>
                </w:p>
              </w:tc>
              <w:tc>
                <w:tcPr>
                  <w:tcW w:w="382" w:type="pct"/>
                  <w:tcBorders>
                    <w:tl2br w:val="nil"/>
                    <w:tr2bl w:val="nil"/>
                  </w:tcBorders>
                  <w:shd w:val="clear" w:color="auto" w:fill="auto"/>
                  <w:noWrap w:val="0"/>
                  <w:vAlign w:val="center"/>
                </w:tcPr>
                <w:p w14:paraId="4C75806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bidi="ar-SA"/>
                    </w:rPr>
                  </w:pPr>
                  <w:r>
                    <w:rPr>
                      <w:rFonts w:hint="default" w:ascii="Times New Roman" w:hAnsi="Times New Roman" w:cs="Times New Roman"/>
                      <w:snapToGrid w:val="0"/>
                      <w:color w:val="000000"/>
                      <w:sz w:val="21"/>
                      <w:szCs w:val="21"/>
                      <w:highlight w:val="none"/>
                      <w:lang w:val="en-US" w:eastAsia="zh-CN"/>
                    </w:rPr>
                    <w:t>15</w:t>
                  </w:r>
                </w:p>
              </w:tc>
              <w:tc>
                <w:tcPr>
                  <w:tcW w:w="382" w:type="pct"/>
                  <w:tcBorders>
                    <w:tl2br w:val="nil"/>
                    <w:tr2bl w:val="nil"/>
                  </w:tcBorders>
                  <w:shd w:val="clear" w:color="auto" w:fill="auto"/>
                  <w:noWrap w:val="0"/>
                  <w:vAlign w:val="center"/>
                </w:tcPr>
                <w:p w14:paraId="21C929B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52</w:t>
                  </w:r>
                </w:p>
              </w:tc>
              <w:tc>
                <w:tcPr>
                  <w:tcW w:w="393" w:type="pct"/>
                  <w:tcBorders>
                    <w:tl2br w:val="nil"/>
                    <w:tr2bl w:val="nil"/>
                  </w:tcBorders>
                  <w:shd w:val="clear" w:color="auto" w:fill="auto"/>
                  <w:noWrap w:val="0"/>
                  <w:vAlign w:val="center"/>
                </w:tcPr>
                <w:p w14:paraId="316C661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1</w:t>
                  </w:r>
                </w:p>
              </w:tc>
            </w:tr>
            <w:tr w14:paraId="1458F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5" w:type="pct"/>
                  <w:tcBorders>
                    <w:tl2br w:val="nil"/>
                    <w:tr2bl w:val="nil"/>
                  </w:tcBorders>
                  <w:shd w:val="clear" w:color="auto" w:fill="auto"/>
                  <w:noWrap w:val="0"/>
                  <w:vAlign w:val="center"/>
                </w:tcPr>
                <w:p w14:paraId="5A67132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8</w:t>
                  </w:r>
                </w:p>
              </w:tc>
              <w:tc>
                <w:tcPr>
                  <w:tcW w:w="265" w:type="pct"/>
                  <w:vMerge w:val="restart"/>
                  <w:tcBorders>
                    <w:tl2br w:val="nil"/>
                    <w:tr2bl w:val="nil"/>
                  </w:tcBorders>
                  <w:shd w:val="clear" w:color="auto" w:fill="auto"/>
                  <w:noWrap w:val="0"/>
                  <w:vAlign w:val="center"/>
                </w:tcPr>
                <w:p w14:paraId="4231402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装成车间</w:t>
                  </w:r>
                </w:p>
              </w:tc>
              <w:tc>
                <w:tcPr>
                  <w:tcW w:w="608" w:type="pct"/>
                  <w:tcBorders>
                    <w:tl2br w:val="nil"/>
                    <w:tr2bl w:val="nil"/>
                  </w:tcBorders>
                  <w:shd w:val="clear" w:color="auto" w:fill="auto"/>
                  <w:noWrap w:val="0"/>
                  <w:vAlign w:val="center"/>
                </w:tcPr>
                <w:p w14:paraId="71D295A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rPr>
                  </w:pPr>
                  <w:r>
                    <w:rPr>
                      <w:rFonts w:hint="default" w:ascii="Times New Roman" w:hAnsi="Times New Roman" w:eastAsia="宋体" w:cs="Times New Roman"/>
                      <w:color w:val="000000"/>
                      <w:kern w:val="0"/>
                      <w:sz w:val="21"/>
                      <w:szCs w:val="21"/>
                      <w:highlight w:val="none"/>
                      <w:lang w:val="en-US" w:eastAsia="zh-CN"/>
                    </w:rPr>
                    <w:t>灌装机</w:t>
                  </w:r>
                </w:p>
              </w:tc>
              <w:tc>
                <w:tcPr>
                  <w:tcW w:w="330" w:type="pct"/>
                  <w:tcBorders>
                    <w:tl2br w:val="nil"/>
                    <w:tr2bl w:val="nil"/>
                  </w:tcBorders>
                  <w:shd w:val="clear" w:color="auto" w:fill="auto"/>
                  <w:noWrap w:val="0"/>
                  <w:vAlign w:val="center"/>
                </w:tcPr>
                <w:p w14:paraId="042A9F6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80</w:t>
                  </w:r>
                </w:p>
              </w:tc>
              <w:tc>
                <w:tcPr>
                  <w:tcW w:w="451" w:type="pct"/>
                  <w:vMerge w:val="continue"/>
                  <w:tcBorders>
                    <w:tl2br w:val="nil"/>
                    <w:tr2bl w:val="nil"/>
                  </w:tcBorders>
                  <w:shd w:val="clear" w:color="auto" w:fill="auto"/>
                  <w:noWrap w:val="0"/>
                  <w:vAlign w:val="center"/>
                </w:tcPr>
                <w:p w14:paraId="3A35263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right="0" w:firstLine="0" w:firstLineChars="0"/>
                    <w:jc w:val="center"/>
                    <w:textAlignment w:val="auto"/>
                    <w:rPr>
                      <w:rFonts w:hint="default" w:ascii="Times New Roman" w:hAnsi="Times New Roman" w:eastAsia="宋体" w:cs="Times New Roman"/>
                      <w:snapToGrid w:val="0"/>
                      <w:color w:val="000000"/>
                      <w:sz w:val="21"/>
                      <w:szCs w:val="21"/>
                      <w:highlight w:val="none"/>
                      <w:lang w:val="en-US" w:eastAsia="zh-CN"/>
                    </w:rPr>
                  </w:pPr>
                </w:p>
              </w:tc>
              <w:tc>
                <w:tcPr>
                  <w:tcW w:w="289" w:type="pct"/>
                  <w:tcBorders>
                    <w:tl2br w:val="nil"/>
                    <w:tr2bl w:val="nil"/>
                  </w:tcBorders>
                  <w:shd w:val="clear" w:color="auto" w:fill="auto"/>
                  <w:noWrap w:val="0"/>
                  <w:vAlign w:val="center"/>
                </w:tcPr>
                <w:p w14:paraId="5564DAB0">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50</w:t>
                  </w:r>
                </w:p>
              </w:tc>
              <w:tc>
                <w:tcPr>
                  <w:tcW w:w="249" w:type="pct"/>
                  <w:tcBorders>
                    <w:tl2br w:val="nil"/>
                    <w:tr2bl w:val="nil"/>
                  </w:tcBorders>
                  <w:shd w:val="clear" w:color="auto" w:fill="auto"/>
                  <w:noWrap w:val="0"/>
                  <w:vAlign w:val="center"/>
                </w:tcPr>
                <w:p w14:paraId="600BC0E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17</w:t>
                  </w:r>
                </w:p>
              </w:tc>
              <w:tc>
                <w:tcPr>
                  <w:tcW w:w="276" w:type="pct"/>
                  <w:tcBorders>
                    <w:tl2br w:val="nil"/>
                    <w:tr2bl w:val="nil"/>
                  </w:tcBorders>
                  <w:shd w:val="clear" w:color="auto" w:fill="auto"/>
                  <w:noWrap w:val="0"/>
                  <w:vAlign w:val="center"/>
                </w:tcPr>
                <w:p w14:paraId="1BE20EC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1</w:t>
                  </w:r>
                </w:p>
              </w:tc>
              <w:tc>
                <w:tcPr>
                  <w:tcW w:w="381" w:type="pct"/>
                  <w:tcBorders>
                    <w:tl2br w:val="nil"/>
                    <w:tr2bl w:val="nil"/>
                  </w:tcBorders>
                  <w:shd w:val="clear" w:color="auto" w:fill="auto"/>
                  <w:noWrap w:val="0"/>
                  <w:vAlign w:val="center"/>
                </w:tcPr>
                <w:p w14:paraId="1535974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昼间</w:t>
                  </w:r>
                </w:p>
              </w:tc>
              <w:tc>
                <w:tcPr>
                  <w:tcW w:w="381" w:type="pct"/>
                  <w:tcBorders>
                    <w:tl2br w:val="nil"/>
                    <w:tr2bl w:val="nil"/>
                  </w:tcBorders>
                  <w:shd w:val="clear" w:color="auto" w:fill="auto"/>
                  <w:noWrap w:val="0"/>
                  <w:vAlign w:val="center"/>
                </w:tcPr>
                <w:p w14:paraId="137075D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w:t>
                  </w:r>
                </w:p>
              </w:tc>
              <w:tc>
                <w:tcPr>
                  <w:tcW w:w="381" w:type="pct"/>
                  <w:tcBorders>
                    <w:tl2br w:val="nil"/>
                    <w:tr2bl w:val="nil"/>
                  </w:tcBorders>
                  <w:shd w:val="clear" w:color="auto" w:fill="auto"/>
                  <w:noWrap w:val="0"/>
                  <w:vAlign w:val="center"/>
                </w:tcPr>
                <w:p w14:paraId="2C11577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68</w:t>
                  </w:r>
                </w:p>
              </w:tc>
              <w:tc>
                <w:tcPr>
                  <w:tcW w:w="382" w:type="pct"/>
                  <w:tcBorders>
                    <w:tl2br w:val="nil"/>
                    <w:tr2bl w:val="nil"/>
                  </w:tcBorders>
                  <w:shd w:val="clear" w:color="auto" w:fill="auto"/>
                  <w:noWrap w:val="0"/>
                  <w:vAlign w:val="center"/>
                </w:tcPr>
                <w:p w14:paraId="4D5D443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snapToGrid w:val="0"/>
                      <w:color w:val="000000"/>
                      <w:sz w:val="21"/>
                      <w:szCs w:val="21"/>
                      <w:highlight w:val="none"/>
                      <w:lang w:val="en-US" w:eastAsia="zh-CN"/>
                    </w:rPr>
                    <w:t>15</w:t>
                  </w:r>
                </w:p>
              </w:tc>
              <w:tc>
                <w:tcPr>
                  <w:tcW w:w="382" w:type="pct"/>
                  <w:tcBorders>
                    <w:tl2br w:val="nil"/>
                    <w:tr2bl w:val="nil"/>
                  </w:tcBorders>
                  <w:shd w:val="clear" w:color="auto" w:fill="auto"/>
                  <w:noWrap w:val="0"/>
                  <w:vAlign w:val="center"/>
                </w:tcPr>
                <w:p w14:paraId="50017D4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53</w:t>
                  </w:r>
                </w:p>
              </w:tc>
              <w:tc>
                <w:tcPr>
                  <w:tcW w:w="393" w:type="pct"/>
                  <w:tcBorders>
                    <w:tl2br w:val="nil"/>
                    <w:tr2bl w:val="nil"/>
                  </w:tcBorders>
                  <w:shd w:val="clear" w:color="auto" w:fill="auto"/>
                  <w:noWrap w:val="0"/>
                  <w:vAlign w:val="center"/>
                </w:tcPr>
                <w:p w14:paraId="4D8074D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1</w:t>
                  </w:r>
                </w:p>
              </w:tc>
            </w:tr>
            <w:tr w14:paraId="669B3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5" w:hRule="atLeast"/>
              </w:trPr>
              <w:tc>
                <w:tcPr>
                  <w:tcW w:w="225" w:type="pct"/>
                  <w:tcBorders>
                    <w:tl2br w:val="nil"/>
                    <w:tr2bl w:val="nil"/>
                  </w:tcBorders>
                  <w:shd w:val="clear" w:color="auto" w:fill="auto"/>
                  <w:noWrap w:val="0"/>
                  <w:vAlign w:val="center"/>
                </w:tcPr>
                <w:p w14:paraId="662CC8F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9</w:t>
                  </w:r>
                </w:p>
              </w:tc>
              <w:tc>
                <w:tcPr>
                  <w:tcW w:w="265" w:type="pct"/>
                  <w:vMerge w:val="continue"/>
                  <w:tcBorders>
                    <w:tl2br w:val="nil"/>
                    <w:tr2bl w:val="nil"/>
                  </w:tcBorders>
                  <w:shd w:val="clear" w:color="auto" w:fill="auto"/>
                  <w:noWrap w:val="0"/>
                  <w:vAlign w:val="center"/>
                </w:tcPr>
                <w:p w14:paraId="252273C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608" w:type="pct"/>
                  <w:tcBorders>
                    <w:tl2br w:val="nil"/>
                    <w:tr2bl w:val="nil"/>
                  </w:tcBorders>
                  <w:shd w:val="clear" w:color="auto" w:fill="auto"/>
                  <w:noWrap w:val="0"/>
                  <w:vAlign w:val="center"/>
                </w:tcPr>
                <w:p w14:paraId="17247D3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rPr>
                  </w:pPr>
                  <w:r>
                    <w:rPr>
                      <w:rFonts w:hint="default" w:ascii="Times New Roman" w:hAnsi="Times New Roman" w:eastAsia="宋体" w:cs="Times New Roman"/>
                      <w:color w:val="000000"/>
                      <w:kern w:val="0"/>
                      <w:sz w:val="21"/>
                      <w:szCs w:val="21"/>
                      <w:highlight w:val="none"/>
                      <w:lang w:val="en-US" w:eastAsia="zh-CN"/>
                    </w:rPr>
                    <w:t>冲瓶机</w:t>
                  </w:r>
                </w:p>
              </w:tc>
              <w:tc>
                <w:tcPr>
                  <w:tcW w:w="330" w:type="pct"/>
                  <w:tcBorders>
                    <w:tl2br w:val="nil"/>
                    <w:tr2bl w:val="nil"/>
                  </w:tcBorders>
                  <w:shd w:val="clear" w:color="auto" w:fill="auto"/>
                  <w:noWrap w:val="0"/>
                  <w:vAlign w:val="center"/>
                </w:tcPr>
                <w:p w14:paraId="4C6F2BD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75</w:t>
                  </w:r>
                </w:p>
              </w:tc>
              <w:tc>
                <w:tcPr>
                  <w:tcW w:w="451" w:type="pct"/>
                  <w:vMerge w:val="continue"/>
                  <w:tcBorders>
                    <w:tl2br w:val="nil"/>
                    <w:tr2bl w:val="nil"/>
                  </w:tcBorders>
                  <w:shd w:val="clear" w:color="auto" w:fill="auto"/>
                  <w:noWrap w:val="0"/>
                  <w:vAlign w:val="center"/>
                </w:tcPr>
                <w:p w14:paraId="070BABE2">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289" w:type="pct"/>
                  <w:tcBorders>
                    <w:tl2br w:val="nil"/>
                    <w:tr2bl w:val="nil"/>
                  </w:tcBorders>
                  <w:shd w:val="clear" w:color="auto" w:fill="auto"/>
                  <w:noWrap w:val="0"/>
                  <w:vAlign w:val="center"/>
                </w:tcPr>
                <w:p w14:paraId="37C86F63">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51</w:t>
                  </w:r>
                </w:p>
              </w:tc>
              <w:tc>
                <w:tcPr>
                  <w:tcW w:w="249" w:type="pct"/>
                  <w:tcBorders>
                    <w:tl2br w:val="nil"/>
                    <w:tr2bl w:val="nil"/>
                  </w:tcBorders>
                  <w:shd w:val="clear" w:color="auto" w:fill="auto"/>
                  <w:noWrap w:val="0"/>
                  <w:vAlign w:val="center"/>
                </w:tcPr>
                <w:p w14:paraId="15A6863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15</w:t>
                  </w:r>
                </w:p>
              </w:tc>
              <w:tc>
                <w:tcPr>
                  <w:tcW w:w="276" w:type="pct"/>
                  <w:tcBorders>
                    <w:tl2br w:val="nil"/>
                    <w:tr2bl w:val="nil"/>
                  </w:tcBorders>
                  <w:shd w:val="clear" w:color="auto" w:fill="auto"/>
                  <w:noWrap w:val="0"/>
                  <w:vAlign w:val="center"/>
                </w:tcPr>
                <w:p w14:paraId="2044E07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1</w:t>
                  </w:r>
                </w:p>
              </w:tc>
              <w:tc>
                <w:tcPr>
                  <w:tcW w:w="381" w:type="pct"/>
                  <w:tcBorders>
                    <w:tl2br w:val="nil"/>
                    <w:tr2bl w:val="nil"/>
                  </w:tcBorders>
                  <w:shd w:val="clear" w:color="auto" w:fill="auto"/>
                  <w:noWrap w:val="0"/>
                  <w:vAlign w:val="center"/>
                </w:tcPr>
                <w:p w14:paraId="16EC216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val="en-US" w:eastAsia="zh-CN"/>
                    </w:rPr>
                    <w:t>昼间</w:t>
                  </w:r>
                </w:p>
              </w:tc>
              <w:tc>
                <w:tcPr>
                  <w:tcW w:w="381" w:type="pct"/>
                  <w:tcBorders>
                    <w:tl2br w:val="nil"/>
                    <w:tr2bl w:val="nil"/>
                  </w:tcBorders>
                  <w:shd w:val="clear" w:color="auto" w:fill="auto"/>
                  <w:noWrap w:val="0"/>
                  <w:vAlign w:val="center"/>
                </w:tcPr>
                <w:p w14:paraId="50C81D9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6</w:t>
                  </w:r>
                </w:p>
              </w:tc>
              <w:tc>
                <w:tcPr>
                  <w:tcW w:w="381" w:type="pct"/>
                  <w:tcBorders>
                    <w:tl2br w:val="nil"/>
                    <w:tr2bl w:val="nil"/>
                  </w:tcBorders>
                  <w:shd w:val="clear" w:color="auto" w:fill="auto"/>
                  <w:noWrap w:val="0"/>
                  <w:vAlign w:val="center"/>
                </w:tcPr>
                <w:p w14:paraId="6450ECB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59</w:t>
                  </w:r>
                </w:p>
              </w:tc>
              <w:tc>
                <w:tcPr>
                  <w:tcW w:w="382" w:type="pct"/>
                  <w:tcBorders>
                    <w:tl2br w:val="nil"/>
                    <w:tr2bl w:val="nil"/>
                  </w:tcBorders>
                  <w:shd w:val="clear" w:color="auto" w:fill="auto"/>
                  <w:noWrap w:val="0"/>
                  <w:vAlign w:val="center"/>
                </w:tcPr>
                <w:p w14:paraId="465398A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snapToGrid w:val="0"/>
                      <w:color w:val="000000"/>
                      <w:sz w:val="21"/>
                      <w:szCs w:val="21"/>
                      <w:highlight w:val="none"/>
                      <w:lang w:val="en-US" w:eastAsia="zh-CN"/>
                    </w:rPr>
                    <w:t>15</w:t>
                  </w:r>
                </w:p>
              </w:tc>
              <w:tc>
                <w:tcPr>
                  <w:tcW w:w="382" w:type="pct"/>
                  <w:tcBorders>
                    <w:tl2br w:val="nil"/>
                    <w:tr2bl w:val="nil"/>
                  </w:tcBorders>
                  <w:shd w:val="clear" w:color="auto" w:fill="auto"/>
                  <w:noWrap w:val="0"/>
                  <w:vAlign w:val="center"/>
                </w:tcPr>
                <w:p w14:paraId="687B057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44</w:t>
                  </w:r>
                </w:p>
              </w:tc>
              <w:tc>
                <w:tcPr>
                  <w:tcW w:w="393" w:type="pct"/>
                  <w:tcBorders>
                    <w:tl2br w:val="nil"/>
                    <w:tr2bl w:val="nil"/>
                  </w:tcBorders>
                  <w:shd w:val="clear" w:color="auto" w:fill="auto"/>
                  <w:noWrap w:val="0"/>
                  <w:vAlign w:val="center"/>
                </w:tcPr>
                <w:p w14:paraId="6E18CD0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1</w:t>
                  </w:r>
                </w:p>
              </w:tc>
            </w:tr>
            <w:tr w14:paraId="41E60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225" w:type="pct"/>
                  <w:tcBorders>
                    <w:tl2br w:val="nil"/>
                    <w:tr2bl w:val="nil"/>
                  </w:tcBorders>
                  <w:shd w:val="clear" w:color="auto" w:fill="auto"/>
                  <w:noWrap w:val="0"/>
                  <w:vAlign w:val="center"/>
                </w:tcPr>
                <w:p w14:paraId="40277C6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10</w:t>
                  </w:r>
                </w:p>
              </w:tc>
              <w:tc>
                <w:tcPr>
                  <w:tcW w:w="265" w:type="pct"/>
                  <w:vMerge w:val="continue"/>
                  <w:tcBorders>
                    <w:tl2br w:val="nil"/>
                    <w:tr2bl w:val="nil"/>
                  </w:tcBorders>
                  <w:shd w:val="clear" w:color="auto" w:fill="auto"/>
                  <w:noWrap w:val="0"/>
                  <w:vAlign w:val="center"/>
                </w:tcPr>
                <w:p w14:paraId="3747329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608" w:type="pct"/>
                  <w:tcBorders>
                    <w:tl2br w:val="nil"/>
                    <w:tr2bl w:val="nil"/>
                  </w:tcBorders>
                  <w:shd w:val="clear" w:color="auto" w:fill="auto"/>
                  <w:noWrap w:val="0"/>
                  <w:vAlign w:val="center"/>
                </w:tcPr>
                <w:p w14:paraId="3E70457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精滤机</w:t>
                  </w:r>
                </w:p>
              </w:tc>
              <w:tc>
                <w:tcPr>
                  <w:tcW w:w="330" w:type="pct"/>
                  <w:tcBorders>
                    <w:tl2br w:val="nil"/>
                    <w:tr2bl w:val="nil"/>
                  </w:tcBorders>
                  <w:shd w:val="clear" w:color="auto" w:fill="auto"/>
                  <w:noWrap w:val="0"/>
                  <w:vAlign w:val="center"/>
                </w:tcPr>
                <w:p w14:paraId="6C9D7C0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75</w:t>
                  </w:r>
                </w:p>
              </w:tc>
              <w:tc>
                <w:tcPr>
                  <w:tcW w:w="451" w:type="pct"/>
                  <w:vMerge w:val="continue"/>
                  <w:tcBorders>
                    <w:tl2br w:val="nil"/>
                    <w:tr2bl w:val="nil"/>
                  </w:tcBorders>
                  <w:shd w:val="clear" w:color="auto" w:fill="auto"/>
                  <w:noWrap w:val="0"/>
                  <w:vAlign w:val="center"/>
                </w:tcPr>
                <w:p w14:paraId="1B00482A">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289" w:type="pct"/>
                  <w:tcBorders>
                    <w:tl2br w:val="nil"/>
                    <w:tr2bl w:val="nil"/>
                  </w:tcBorders>
                  <w:shd w:val="clear" w:color="auto" w:fill="auto"/>
                  <w:noWrap w:val="0"/>
                  <w:vAlign w:val="center"/>
                </w:tcPr>
                <w:p w14:paraId="2BE6476F">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52</w:t>
                  </w:r>
                </w:p>
              </w:tc>
              <w:tc>
                <w:tcPr>
                  <w:tcW w:w="249" w:type="pct"/>
                  <w:tcBorders>
                    <w:tl2br w:val="nil"/>
                    <w:tr2bl w:val="nil"/>
                  </w:tcBorders>
                  <w:shd w:val="clear" w:color="auto" w:fill="auto"/>
                  <w:noWrap w:val="0"/>
                  <w:vAlign w:val="center"/>
                </w:tcPr>
                <w:p w14:paraId="3A270F0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15</w:t>
                  </w:r>
                </w:p>
              </w:tc>
              <w:tc>
                <w:tcPr>
                  <w:tcW w:w="276" w:type="pct"/>
                  <w:tcBorders>
                    <w:tl2br w:val="nil"/>
                    <w:tr2bl w:val="nil"/>
                  </w:tcBorders>
                  <w:shd w:val="clear" w:color="auto" w:fill="auto"/>
                  <w:noWrap w:val="0"/>
                  <w:vAlign w:val="center"/>
                </w:tcPr>
                <w:p w14:paraId="416CB41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w:t>
                  </w:r>
                </w:p>
              </w:tc>
              <w:tc>
                <w:tcPr>
                  <w:tcW w:w="381" w:type="pct"/>
                  <w:tcBorders>
                    <w:tl2br w:val="nil"/>
                    <w:tr2bl w:val="nil"/>
                  </w:tcBorders>
                  <w:shd w:val="clear" w:color="auto" w:fill="auto"/>
                  <w:noWrap w:val="0"/>
                  <w:vAlign w:val="center"/>
                </w:tcPr>
                <w:p w14:paraId="7D7505B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昼间</w:t>
                  </w:r>
                </w:p>
              </w:tc>
              <w:tc>
                <w:tcPr>
                  <w:tcW w:w="381" w:type="pct"/>
                  <w:tcBorders>
                    <w:tl2br w:val="nil"/>
                    <w:tr2bl w:val="nil"/>
                  </w:tcBorders>
                  <w:shd w:val="clear" w:color="auto" w:fill="auto"/>
                  <w:noWrap w:val="0"/>
                  <w:vAlign w:val="center"/>
                </w:tcPr>
                <w:p w14:paraId="37560D1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6</w:t>
                  </w:r>
                </w:p>
              </w:tc>
              <w:tc>
                <w:tcPr>
                  <w:tcW w:w="381" w:type="pct"/>
                  <w:tcBorders>
                    <w:tl2br w:val="nil"/>
                    <w:tr2bl w:val="nil"/>
                  </w:tcBorders>
                  <w:shd w:val="clear" w:color="auto" w:fill="auto"/>
                  <w:noWrap w:val="0"/>
                  <w:vAlign w:val="center"/>
                </w:tcPr>
                <w:p w14:paraId="72D3C20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59</w:t>
                  </w:r>
                </w:p>
              </w:tc>
              <w:tc>
                <w:tcPr>
                  <w:tcW w:w="382" w:type="pct"/>
                  <w:tcBorders>
                    <w:tl2br w:val="nil"/>
                    <w:tr2bl w:val="nil"/>
                  </w:tcBorders>
                  <w:shd w:val="clear" w:color="auto" w:fill="auto"/>
                  <w:noWrap w:val="0"/>
                  <w:vAlign w:val="center"/>
                </w:tcPr>
                <w:p w14:paraId="212BA56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snapToGrid w:val="0"/>
                      <w:color w:val="000000"/>
                      <w:sz w:val="21"/>
                      <w:szCs w:val="21"/>
                      <w:highlight w:val="none"/>
                      <w:lang w:val="en-US" w:eastAsia="zh-CN"/>
                    </w:rPr>
                    <w:t>15</w:t>
                  </w:r>
                </w:p>
              </w:tc>
              <w:tc>
                <w:tcPr>
                  <w:tcW w:w="382" w:type="pct"/>
                  <w:tcBorders>
                    <w:tl2br w:val="nil"/>
                    <w:tr2bl w:val="nil"/>
                  </w:tcBorders>
                  <w:shd w:val="clear" w:color="auto" w:fill="auto"/>
                  <w:noWrap w:val="0"/>
                  <w:vAlign w:val="center"/>
                </w:tcPr>
                <w:p w14:paraId="2F158DA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44</w:t>
                  </w:r>
                </w:p>
              </w:tc>
              <w:tc>
                <w:tcPr>
                  <w:tcW w:w="393" w:type="pct"/>
                  <w:tcBorders>
                    <w:tl2br w:val="nil"/>
                    <w:tr2bl w:val="nil"/>
                  </w:tcBorders>
                  <w:shd w:val="clear" w:color="auto" w:fill="auto"/>
                  <w:noWrap w:val="0"/>
                  <w:vAlign w:val="center"/>
                </w:tcPr>
                <w:p w14:paraId="584E2D9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1</w:t>
                  </w:r>
                </w:p>
              </w:tc>
            </w:tr>
            <w:tr w14:paraId="1A3471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225" w:type="pct"/>
                  <w:tcBorders>
                    <w:tl2br w:val="nil"/>
                    <w:tr2bl w:val="nil"/>
                  </w:tcBorders>
                  <w:shd w:val="clear" w:color="auto" w:fill="auto"/>
                  <w:noWrap w:val="0"/>
                  <w:vAlign w:val="center"/>
                </w:tcPr>
                <w:p w14:paraId="3D4C6A2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11</w:t>
                  </w:r>
                </w:p>
              </w:tc>
              <w:tc>
                <w:tcPr>
                  <w:tcW w:w="265" w:type="pct"/>
                  <w:vMerge w:val="continue"/>
                  <w:tcBorders>
                    <w:tl2br w:val="nil"/>
                    <w:tr2bl w:val="nil"/>
                  </w:tcBorders>
                  <w:shd w:val="clear" w:color="auto" w:fill="auto"/>
                  <w:noWrap w:val="0"/>
                  <w:vAlign w:val="center"/>
                </w:tcPr>
                <w:p w14:paraId="5B5260C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608" w:type="pct"/>
                  <w:tcBorders>
                    <w:tl2br w:val="nil"/>
                    <w:tr2bl w:val="nil"/>
                  </w:tcBorders>
                  <w:shd w:val="clear" w:color="auto" w:fill="auto"/>
                  <w:noWrap w:val="0"/>
                  <w:vAlign w:val="center"/>
                </w:tcPr>
                <w:p w14:paraId="55D9826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不锈钢酒泵</w:t>
                  </w:r>
                </w:p>
              </w:tc>
              <w:tc>
                <w:tcPr>
                  <w:tcW w:w="330" w:type="pct"/>
                  <w:tcBorders>
                    <w:tl2br w:val="nil"/>
                    <w:tr2bl w:val="nil"/>
                  </w:tcBorders>
                  <w:shd w:val="clear" w:color="auto" w:fill="auto"/>
                  <w:noWrap w:val="0"/>
                  <w:vAlign w:val="center"/>
                </w:tcPr>
                <w:p w14:paraId="60C067E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8</w:t>
                  </w:r>
                  <w:r>
                    <w:rPr>
                      <w:rFonts w:hint="eastAsia" w:ascii="Times New Roman" w:hAnsi="Times New Roman" w:cs="Times New Roman"/>
                      <w:color w:val="000000"/>
                      <w:sz w:val="21"/>
                      <w:szCs w:val="21"/>
                      <w:highlight w:val="none"/>
                      <w:lang w:val="en-US" w:eastAsia="zh-CN"/>
                    </w:rPr>
                    <w:t>5</w:t>
                  </w:r>
                </w:p>
              </w:tc>
              <w:tc>
                <w:tcPr>
                  <w:tcW w:w="451" w:type="pct"/>
                  <w:vMerge w:val="continue"/>
                  <w:tcBorders>
                    <w:tl2br w:val="nil"/>
                    <w:tr2bl w:val="nil"/>
                  </w:tcBorders>
                  <w:shd w:val="clear" w:color="auto" w:fill="auto"/>
                  <w:noWrap w:val="0"/>
                  <w:vAlign w:val="center"/>
                </w:tcPr>
                <w:p w14:paraId="5B4D3497">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289" w:type="pct"/>
                  <w:tcBorders>
                    <w:tl2br w:val="nil"/>
                    <w:tr2bl w:val="nil"/>
                  </w:tcBorders>
                  <w:shd w:val="clear" w:color="auto" w:fill="auto"/>
                  <w:noWrap w:val="0"/>
                  <w:vAlign w:val="center"/>
                </w:tcPr>
                <w:p w14:paraId="753B0EF7">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53</w:t>
                  </w:r>
                </w:p>
              </w:tc>
              <w:tc>
                <w:tcPr>
                  <w:tcW w:w="249" w:type="pct"/>
                  <w:tcBorders>
                    <w:tl2br w:val="nil"/>
                    <w:tr2bl w:val="nil"/>
                  </w:tcBorders>
                  <w:shd w:val="clear" w:color="auto" w:fill="auto"/>
                  <w:noWrap w:val="0"/>
                  <w:vAlign w:val="center"/>
                </w:tcPr>
                <w:p w14:paraId="5691C21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17</w:t>
                  </w:r>
                </w:p>
              </w:tc>
              <w:tc>
                <w:tcPr>
                  <w:tcW w:w="276" w:type="pct"/>
                  <w:tcBorders>
                    <w:tl2br w:val="nil"/>
                    <w:tr2bl w:val="nil"/>
                  </w:tcBorders>
                  <w:shd w:val="clear" w:color="auto" w:fill="auto"/>
                  <w:noWrap w:val="0"/>
                  <w:vAlign w:val="center"/>
                </w:tcPr>
                <w:p w14:paraId="12319C9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w:t>
                  </w:r>
                </w:p>
              </w:tc>
              <w:tc>
                <w:tcPr>
                  <w:tcW w:w="381" w:type="pct"/>
                  <w:tcBorders>
                    <w:tl2br w:val="nil"/>
                    <w:tr2bl w:val="nil"/>
                  </w:tcBorders>
                  <w:shd w:val="clear" w:color="auto" w:fill="auto"/>
                  <w:noWrap w:val="0"/>
                  <w:vAlign w:val="center"/>
                </w:tcPr>
                <w:p w14:paraId="4A1CA18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昼间</w:t>
                  </w:r>
                </w:p>
              </w:tc>
              <w:tc>
                <w:tcPr>
                  <w:tcW w:w="381" w:type="pct"/>
                  <w:tcBorders>
                    <w:tl2br w:val="nil"/>
                    <w:tr2bl w:val="nil"/>
                  </w:tcBorders>
                  <w:shd w:val="clear" w:color="auto" w:fill="auto"/>
                  <w:noWrap w:val="0"/>
                  <w:vAlign w:val="center"/>
                </w:tcPr>
                <w:p w14:paraId="0A16217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w:t>
                  </w:r>
                </w:p>
              </w:tc>
              <w:tc>
                <w:tcPr>
                  <w:tcW w:w="381" w:type="pct"/>
                  <w:tcBorders>
                    <w:tl2br w:val="nil"/>
                    <w:tr2bl w:val="nil"/>
                  </w:tcBorders>
                  <w:shd w:val="clear" w:color="auto" w:fill="auto"/>
                  <w:noWrap w:val="0"/>
                  <w:vAlign w:val="center"/>
                </w:tcPr>
                <w:p w14:paraId="115D255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68</w:t>
                  </w:r>
                </w:p>
              </w:tc>
              <w:tc>
                <w:tcPr>
                  <w:tcW w:w="382" w:type="pct"/>
                  <w:tcBorders>
                    <w:tl2br w:val="nil"/>
                    <w:tr2bl w:val="nil"/>
                  </w:tcBorders>
                  <w:shd w:val="clear" w:color="auto" w:fill="auto"/>
                  <w:noWrap w:val="0"/>
                  <w:vAlign w:val="center"/>
                </w:tcPr>
                <w:p w14:paraId="0833BFD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snapToGrid w:val="0"/>
                      <w:color w:val="000000"/>
                      <w:sz w:val="21"/>
                      <w:szCs w:val="21"/>
                      <w:highlight w:val="none"/>
                      <w:lang w:val="en-US" w:eastAsia="zh-CN"/>
                    </w:rPr>
                    <w:t>15</w:t>
                  </w:r>
                </w:p>
              </w:tc>
              <w:tc>
                <w:tcPr>
                  <w:tcW w:w="382" w:type="pct"/>
                  <w:tcBorders>
                    <w:tl2br w:val="nil"/>
                    <w:tr2bl w:val="nil"/>
                  </w:tcBorders>
                  <w:shd w:val="clear" w:color="auto" w:fill="auto"/>
                  <w:noWrap w:val="0"/>
                  <w:vAlign w:val="center"/>
                </w:tcPr>
                <w:p w14:paraId="0A60D09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53</w:t>
                  </w:r>
                </w:p>
              </w:tc>
              <w:tc>
                <w:tcPr>
                  <w:tcW w:w="393" w:type="pct"/>
                  <w:tcBorders>
                    <w:tl2br w:val="nil"/>
                    <w:tr2bl w:val="nil"/>
                  </w:tcBorders>
                  <w:shd w:val="clear" w:color="auto" w:fill="auto"/>
                  <w:noWrap w:val="0"/>
                  <w:vAlign w:val="center"/>
                </w:tcPr>
                <w:p w14:paraId="14352AB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1</w:t>
                  </w:r>
                </w:p>
              </w:tc>
            </w:tr>
            <w:tr w14:paraId="661F8C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225" w:type="pct"/>
                  <w:tcBorders>
                    <w:tl2br w:val="nil"/>
                    <w:tr2bl w:val="nil"/>
                  </w:tcBorders>
                  <w:shd w:val="clear" w:color="auto" w:fill="auto"/>
                  <w:noWrap w:val="0"/>
                  <w:vAlign w:val="center"/>
                </w:tcPr>
                <w:p w14:paraId="0C87039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12</w:t>
                  </w:r>
                </w:p>
              </w:tc>
              <w:tc>
                <w:tcPr>
                  <w:tcW w:w="265" w:type="pct"/>
                  <w:vMerge w:val="restart"/>
                  <w:tcBorders>
                    <w:tl2br w:val="nil"/>
                    <w:tr2bl w:val="nil"/>
                  </w:tcBorders>
                  <w:shd w:val="clear" w:color="auto" w:fill="auto"/>
                  <w:noWrap w:val="0"/>
                  <w:vAlign w:val="center"/>
                </w:tcPr>
                <w:p w14:paraId="1F7F4A4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锅炉房</w:t>
                  </w:r>
                </w:p>
              </w:tc>
              <w:tc>
                <w:tcPr>
                  <w:tcW w:w="608" w:type="pct"/>
                  <w:tcBorders>
                    <w:tl2br w:val="nil"/>
                    <w:tr2bl w:val="nil"/>
                  </w:tcBorders>
                  <w:shd w:val="clear" w:color="auto" w:fill="auto"/>
                  <w:noWrap w:val="0"/>
                  <w:vAlign w:val="center"/>
                </w:tcPr>
                <w:p w14:paraId="4D1134C5">
                  <w:pPr>
                    <w:shd w:val="clear" w:color="auto" w:fill="auto"/>
                    <w:adjustRightInd w:val="0"/>
                    <w:snapToGrid w:val="0"/>
                    <w:spacing w:line="240" w:lineRule="auto"/>
                    <w:jc w:val="center"/>
                    <w:rPr>
                      <w:rFonts w:hint="default" w:ascii="Times New Roman" w:hAnsi="Times New Roman"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送风机</w:t>
                  </w:r>
                </w:p>
              </w:tc>
              <w:tc>
                <w:tcPr>
                  <w:tcW w:w="330" w:type="pct"/>
                  <w:tcBorders>
                    <w:tl2br w:val="nil"/>
                    <w:tr2bl w:val="nil"/>
                  </w:tcBorders>
                  <w:shd w:val="clear" w:color="auto" w:fill="auto"/>
                  <w:noWrap w:val="0"/>
                  <w:vAlign w:val="center"/>
                </w:tcPr>
                <w:p w14:paraId="28AACD4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color w:val="000000"/>
                      <w:sz w:val="21"/>
                      <w:szCs w:val="21"/>
                      <w:highlight w:val="none"/>
                      <w:lang w:val="en-US" w:eastAsia="zh-CN"/>
                    </w:rPr>
                  </w:pPr>
                  <w:r>
                    <w:rPr>
                      <w:rFonts w:hint="eastAsia" w:ascii="Times New Roman" w:hAnsi="Times New Roman" w:cs="Times New Roman"/>
                      <w:bCs/>
                      <w:color w:val="000000"/>
                      <w:sz w:val="21"/>
                      <w:szCs w:val="21"/>
                      <w:highlight w:val="none"/>
                      <w:lang w:val="en-US" w:eastAsia="zh-CN"/>
                    </w:rPr>
                    <w:t>90</w:t>
                  </w:r>
                </w:p>
              </w:tc>
              <w:tc>
                <w:tcPr>
                  <w:tcW w:w="451" w:type="pct"/>
                  <w:vMerge w:val="continue"/>
                  <w:tcBorders>
                    <w:tl2br w:val="nil"/>
                    <w:tr2bl w:val="nil"/>
                  </w:tcBorders>
                  <w:shd w:val="clear" w:color="auto" w:fill="auto"/>
                  <w:noWrap w:val="0"/>
                  <w:vAlign w:val="center"/>
                </w:tcPr>
                <w:p w14:paraId="75BCB912">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p>
              </w:tc>
              <w:tc>
                <w:tcPr>
                  <w:tcW w:w="289" w:type="pct"/>
                  <w:tcBorders>
                    <w:tl2br w:val="nil"/>
                    <w:tr2bl w:val="nil"/>
                  </w:tcBorders>
                  <w:shd w:val="clear" w:color="auto" w:fill="auto"/>
                  <w:noWrap w:val="0"/>
                  <w:vAlign w:val="center"/>
                </w:tcPr>
                <w:p w14:paraId="163BA0CA">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12</w:t>
                  </w:r>
                </w:p>
              </w:tc>
              <w:tc>
                <w:tcPr>
                  <w:tcW w:w="249" w:type="pct"/>
                  <w:tcBorders>
                    <w:tl2br w:val="nil"/>
                    <w:tr2bl w:val="nil"/>
                  </w:tcBorders>
                  <w:shd w:val="clear" w:color="auto" w:fill="auto"/>
                  <w:noWrap w:val="0"/>
                  <w:vAlign w:val="center"/>
                </w:tcPr>
                <w:p w14:paraId="2A1D4C9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w:t>
                  </w:r>
                </w:p>
              </w:tc>
              <w:tc>
                <w:tcPr>
                  <w:tcW w:w="276" w:type="pct"/>
                  <w:tcBorders>
                    <w:tl2br w:val="nil"/>
                    <w:tr2bl w:val="nil"/>
                  </w:tcBorders>
                  <w:shd w:val="clear" w:color="auto" w:fill="auto"/>
                  <w:noWrap w:val="0"/>
                  <w:vAlign w:val="center"/>
                </w:tcPr>
                <w:p w14:paraId="0BEC8CA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w:t>
                  </w:r>
                </w:p>
              </w:tc>
              <w:tc>
                <w:tcPr>
                  <w:tcW w:w="381" w:type="pct"/>
                  <w:tcBorders>
                    <w:tl2br w:val="nil"/>
                    <w:tr2bl w:val="nil"/>
                  </w:tcBorders>
                  <w:shd w:val="clear" w:color="auto" w:fill="auto"/>
                  <w:noWrap w:val="0"/>
                  <w:vAlign w:val="center"/>
                </w:tcPr>
                <w:p w14:paraId="6947A55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昼间</w:t>
                  </w:r>
                </w:p>
              </w:tc>
              <w:tc>
                <w:tcPr>
                  <w:tcW w:w="381" w:type="pct"/>
                  <w:tcBorders>
                    <w:tl2br w:val="nil"/>
                    <w:tr2bl w:val="nil"/>
                  </w:tcBorders>
                  <w:shd w:val="clear" w:color="auto" w:fill="auto"/>
                  <w:noWrap w:val="0"/>
                  <w:vAlign w:val="center"/>
                </w:tcPr>
                <w:p w14:paraId="44057E2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w:t>
                  </w:r>
                </w:p>
              </w:tc>
              <w:tc>
                <w:tcPr>
                  <w:tcW w:w="381" w:type="pct"/>
                  <w:tcBorders>
                    <w:tl2br w:val="nil"/>
                    <w:tr2bl w:val="nil"/>
                  </w:tcBorders>
                  <w:shd w:val="clear" w:color="auto" w:fill="auto"/>
                  <w:noWrap w:val="0"/>
                  <w:vAlign w:val="center"/>
                </w:tcPr>
                <w:p w14:paraId="2EB2521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62</w:t>
                  </w:r>
                </w:p>
              </w:tc>
              <w:tc>
                <w:tcPr>
                  <w:tcW w:w="382" w:type="pct"/>
                  <w:tcBorders>
                    <w:tl2br w:val="nil"/>
                    <w:tr2bl w:val="nil"/>
                  </w:tcBorders>
                  <w:shd w:val="clear" w:color="auto" w:fill="auto"/>
                  <w:noWrap w:val="0"/>
                  <w:vAlign w:val="center"/>
                </w:tcPr>
                <w:p w14:paraId="0F85636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000000"/>
                      <w:sz w:val="21"/>
                      <w:szCs w:val="21"/>
                      <w:highlight w:val="none"/>
                      <w:lang w:val="en-US" w:eastAsia="zh-CN"/>
                    </w:rPr>
                  </w:pPr>
                  <w:r>
                    <w:rPr>
                      <w:rFonts w:hint="default" w:ascii="Times New Roman" w:hAnsi="Times New Roman" w:cs="Times New Roman"/>
                      <w:snapToGrid w:val="0"/>
                      <w:color w:val="000000"/>
                      <w:sz w:val="21"/>
                      <w:szCs w:val="21"/>
                      <w:highlight w:val="none"/>
                      <w:lang w:val="en-US" w:eastAsia="zh-CN"/>
                    </w:rPr>
                    <w:t>15</w:t>
                  </w:r>
                </w:p>
              </w:tc>
              <w:tc>
                <w:tcPr>
                  <w:tcW w:w="382" w:type="pct"/>
                  <w:tcBorders>
                    <w:tl2br w:val="nil"/>
                    <w:tr2bl w:val="nil"/>
                  </w:tcBorders>
                  <w:shd w:val="clear" w:color="auto" w:fill="auto"/>
                  <w:noWrap w:val="0"/>
                  <w:vAlign w:val="center"/>
                </w:tcPr>
                <w:p w14:paraId="7D0B351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47</w:t>
                  </w:r>
                </w:p>
              </w:tc>
              <w:tc>
                <w:tcPr>
                  <w:tcW w:w="393" w:type="pct"/>
                  <w:tcBorders>
                    <w:tl2br w:val="nil"/>
                    <w:tr2bl w:val="nil"/>
                  </w:tcBorders>
                  <w:shd w:val="clear" w:color="auto" w:fill="auto"/>
                  <w:noWrap w:val="0"/>
                  <w:vAlign w:val="center"/>
                </w:tcPr>
                <w:p w14:paraId="19F2255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1</w:t>
                  </w:r>
                </w:p>
              </w:tc>
            </w:tr>
            <w:tr w14:paraId="68AB1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8" w:hRule="atLeast"/>
              </w:trPr>
              <w:tc>
                <w:tcPr>
                  <w:tcW w:w="225" w:type="pct"/>
                  <w:tcBorders>
                    <w:tl2br w:val="nil"/>
                    <w:tr2bl w:val="nil"/>
                  </w:tcBorders>
                  <w:shd w:val="clear" w:color="auto" w:fill="auto"/>
                  <w:noWrap w:val="0"/>
                  <w:vAlign w:val="center"/>
                </w:tcPr>
                <w:p w14:paraId="4B61F4E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sz w:val="21"/>
                      <w:szCs w:val="21"/>
                      <w:highlight w:val="none"/>
                      <w:lang w:val="en-US" w:eastAsia="zh-CN"/>
                    </w:rPr>
                  </w:pPr>
                </w:p>
              </w:tc>
              <w:tc>
                <w:tcPr>
                  <w:tcW w:w="265" w:type="pct"/>
                  <w:vMerge w:val="continue"/>
                  <w:tcBorders>
                    <w:tl2br w:val="nil"/>
                    <w:tr2bl w:val="nil"/>
                  </w:tcBorders>
                  <w:shd w:val="clear" w:color="auto" w:fill="auto"/>
                  <w:noWrap w:val="0"/>
                  <w:vAlign w:val="center"/>
                </w:tcPr>
                <w:p w14:paraId="2CA6737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cs="Times New Roman"/>
                      <w:color w:val="000000"/>
                      <w:sz w:val="21"/>
                      <w:szCs w:val="21"/>
                      <w:highlight w:val="none"/>
                      <w:lang w:val="en-US" w:eastAsia="zh-CN"/>
                    </w:rPr>
                  </w:pPr>
                </w:p>
              </w:tc>
              <w:tc>
                <w:tcPr>
                  <w:tcW w:w="608" w:type="pct"/>
                  <w:tcBorders>
                    <w:tl2br w:val="nil"/>
                    <w:tr2bl w:val="nil"/>
                  </w:tcBorders>
                  <w:shd w:val="clear" w:color="auto" w:fill="auto"/>
                  <w:noWrap w:val="0"/>
                  <w:vAlign w:val="center"/>
                </w:tcPr>
                <w:p w14:paraId="068DBDCF">
                  <w:pPr>
                    <w:shd w:val="clear" w:color="auto" w:fill="auto"/>
                    <w:adjustRightInd w:val="0"/>
                    <w:snapToGrid w:val="0"/>
                    <w:spacing w:line="240" w:lineRule="auto"/>
                    <w:jc w:val="center"/>
                    <w:rPr>
                      <w:rFonts w:hint="default" w:ascii="Times New Roman" w:hAnsi="Times New Roman"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引风机</w:t>
                  </w:r>
                </w:p>
              </w:tc>
              <w:tc>
                <w:tcPr>
                  <w:tcW w:w="330" w:type="pct"/>
                  <w:tcBorders>
                    <w:tl2br w:val="nil"/>
                    <w:tr2bl w:val="nil"/>
                  </w:tcBorders>
                  <w:shd w:val="clear" w:color="auto" w:fill="auto"/>
                  <w:noWrap w:val="0"/>
                  <w:vAlign w:val="center"/>
                </w:tcPr>
                <w:p w14:paraId="36D9814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color w:val="000000"/>
                      <w:sz w:val="21"/>
                      <w:szCs w:val="21"/>
                      <w:highlight w:val="none"/>
                      <w:lang w:val="en-US" w:eastAsia="zh-CN"/>
                    </w:rPr>
                  </w:pPr>
                  <w:r>
                    <w:rPr>
                      <w:rFonts w:hint="eastAsia" w:ascii="Times New Roman" w:hAnsi="Times New Roman" w:cs="Times New Roman"/>
                      <w:bCs/>
                      <w:color w:val="000000"/>
                      <w:sz w:val="21"/>
                      <w:szCs w:val="21"/>
                      <w:highlight w:val="none"/>
                      <w:lang w:val="en-US" w:eastAsia="zh-CN"/>
                    </w:rPr>
                    <w:t>90</w:t>
                  </w:r>
                </w:p>
              </w:tc>
              <w:tc>
                <w:tcPr>
                  <w:tcW w:w="451" w:type="pct"/>
                  <w:vMerge w:val="continue"/>
                  <w:tcBorders>
                    <w:tl2br w:val="nil"/>
                    <w:tr2bl w:val="nil"/>
                  </w:tcBorders>
                  <w:shd w:val="clear" w:color="auto" w:fill="auto"/>
                  <w:noWrap w:val="0"/>
                  <w:vAlign w:val="center"/>
                </w:tcPr>
                <w:p w14:paraId="69399D4E">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p>
              </w:tc>
              <w:tc>
                <w:tcPr>
                  <w:tcW w:w="289" w:type="pct"/>
                  <w:tcBorders>
                    <w:tl2br w:val="nil"/>
                    <w:tr2bl w:val="nil"/>
                  </w:tcBorders>
                  <w:shd w:val="clear" w:color="auto" w:fill="auto"/>
                  <w:noWrap w:val="0"/>
                  <w:vAlign w:val="center"/>
                </w:tcPr>
                <w:p w14:paraId="3B573D73">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13</w:t>
                  </w:r>
                </w:p>
              </w:tc>
              <w:tc>
                <w:tcPr>
                  <w:tcW w:w="249" w:type="pct"/>
                  <w:tcBorders>
                    <w:tl2br w:val="nil"/>
                    <w:tr2bl w:val="nil"/>
                  </w:tcBorders>
                  <w:shd w:val="clear" w:color="auto" w:fill="auto"/>
                  <w:noWrap w:val="0"/>
                  <w:vAlign w:val="center"/>
                </w:tcPr>
                <w:p w14:paraId="7B28FA5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w:t>
                  </w:r>
                </w:p>
              </w:tc>
              <w:tc>
                <w:tcPr>
                  <w:tcW w:w="276" w:type="pct"/>
                  <w:tcBorders>
                    <w:tl2br w:val="nil"/>
                    <w:tr2bl w:val="nil"/>
                  </w:tcBorders>
                  <w:shd w:val="clear" w:color="auto" w:fill="auto"/>
                  <w:noWrap w:val="0"/>
                  <w:vAlign w:val="center"/>
                </w:tcPr>
                <w:p w14:paraId="0467E8B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w:t>
                  </w:r>
                </w:p>
              </w:tc>
              <w:tc>
                <w:tcPr>
                  <w:tcW w:w="381" w:type="pct"/>
                  <w:tcBorders>
                    <w:tl2br w:val="nil"/>
                    <w:tr2bl w:val="nil"/>
                  </w:tcBorders>
                  <w:shd w:val="clear" w:color="auto" w:fill="auto"/>
                  <w:noWrap w:val="0"/>
                  <w:vAlign w:val="center"/>
                </w:tcPr>
                <w:p w14:paraId="128F351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昼间</w:t>
                  </w:r>
                </w:p>
              </w:tc>
              <w:tc>
                <w:tcPr>
                  <w:tcW w:w="381" w:type="pct"/>
                  <w:tcBorders>
                    <w:tl2br w:val="nil"/>
                    <w:tr2bl w:val="nil"/>
                  </w:tcBorders>
                  <w:shd w:val="clear" w:color="auto" w:fill="auto"/>
                  <w:noWrap w:val="0"/>
                  <w:vAlign w:val="center"/>
                </w:tcPr>
                <w:p w14:paraId="382D0DA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4</w:t>
                  </w:r>
                </w:p>
              </w:tc>
              <w:tc>
                <w:tcPr>
                  <w:tcW w:w="381" w:type="pct"/>
                  <w:tcBorders>
                    <w:tl2br w:val="nil"/>
                    <w:tr2bl w:val="nil"/>
                  </w:tcBorders>
                  <w:shd w:val="clear" w:color="auto" w:fill="auto"/>
                  <w:noWrap w:val="0"/>
                  <w:vAlign w:val="center"/>
                </w:tcPr>
                <w:p w14:paraId="3A3345A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61</w:t>
                  </w:r>
                </w:p>
              </w:tc>
              <w:tc>
                <w:tcPr>
                  <w:tcW w:w="382" w:type="pct"/>
                  <w:tcBorders>
                    <w:tl2br w:val="nil"/>
                    <w:tr2bl w:val="nil"/>
                  </w:tcBorders>
                  <w:shd w:val="clear" w:color="auto" w:fill="auto"/>
                  <w:noWrap w:val="0"/>
                  <w:vAlign w:val="center"/>
                </w:tcPr>
                <w:p w14:paraId="20E0AA2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000000"/>
                      <w:kern w:val="2"/>
                      <w:sz w:val="21"/>
                      <w:szCs w:val="21"/>
                      <w:highlight w:val="none"/>
                      <w:lang w:val="en-US" w:eastAsia="zh-CN" w:bidi="ar-SA"/>
                    </w:rPr>
                  </w:pPr>
                  <w:r>
                    <w:rPr>
                      <w:rFonts w:hint="default" w:ascii="Times New Roman" w:hAnsi="Times New Roman" w:cs="Times New Roman"/>
                      <w:snapToGrid w:val="0"/>
                      <w:color w:val="000000"/>
                      <w:sz w:val="21"/>
                      <w:szCs w:val="21"/>
                      <w:highlight w:val="none"/>
                      <w:lang w:val="en-US" w:eastAsia="zh-CN"/>
                    </w:rPr>
                    <w:t>15</w:t>
                  </w:r>
                </w:p>
              </w:tc>
              <w:tc>
                <w:tcPr>
                  <w:tcW w:w="382" w:type="pct"/>
                  <w:tcBorders>
                    <w:tl2br w:val="nil"/>
                    <w:tr2bl w:val="nil"/>
                  </w:tcBorders>
                  <w:shd w:val="clear" w:color="auto" w:fill="auto"/>
                  <w:noWrap w:val="0"/>
                  <w:vAlign w:val="center"/>
                </w:tcPr>
                <w:p w14:paraId="65C4775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47</w:t>
                  </w:r>
                </w:p>
              </w:tc>
              <w:tc>
                <w:tcPr>
                  <w:tcW w:w="393" w:type="pct"/>
                  <w:tcBorders>
                    <w:tl2br w:val="nil"/>
                    <w:tr2bl w:val="nil"/>
                  </w:tcBorders>
                  <w:shd w:val="clear" w:color="auto" w:fill="auto"/>
                  <w:noWrap w:val="0"/>
                  <w:vAlign w:val="center"/>
                </w:tcPr>
                <w:p w14:paraId="6F00E5A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kern w:val="2"/>
                      <w:sz w:val="21"/>
                      <w:szCs w:val="21"/>
                      <w:highlight w:val="none"/>
                      <w:lang w:val="en-US" w:eastAsia="zh-CN" w:bidi="ar-SA"/>
                    </w:rPr>
                  </w:pPr>
                  <w:r>
                    <w:rPr>
                      <w:rFonts w:hint="default" w:ascii="Times New Roman" w:hAnsi="Times New Roman" w:cs="Times New Roman"/>
                      <w:color w:val="000000"/>
                      <w:sz w:val="21"/>
                      <w:szCs w:val="21"/>
                      <w:highlight w:val="none"/>
                      <w:lang w:val="en-US" w:eastAsia="zh-CN"/>
                    </w:rPr>
                    <w:t>1</w:t>
                  </w:r>
                </w:p>
              </w:tc>
            </w:tr>
            <w:tr w14:paraId="0D743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5" w:type="pct"/>
                  <w:tcBorders>
                    <w:tl2br w:val="nil"/>
                    <w:tr2bl w:val="nil"/>
                  </w:tcBorders>
                  <w:shd w:val="clear" w:color="auto" w:fill="auto"/>
                  <w:noWrap w:val="0"/>
                  <w:vAlign w:val="center"/>
                </w:tcPr>
                <w:p w14:paraId="3CE8877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13</w:t>
                  </w:r>
                </w:p>
              </w:tc>
              <w:tc>
                <w:tcPr>
                  <w:tcW w:w="265" w:type="pct"/>
                  <w:vMerge w:val="continue"/>
                  <w:tcBorders>
                    <w:tl2br w:val="nil"/>
                    <w:tr2bl w:val="nil"/>
                  </w:tcBorders>
                  <w:shd w:val="clear" w:color="auto" w:fill="auto"/>
                  <w:noWrap w:val="0"/>
                  <w:vAlign w:val="center"/>
                </w:tcPr>
                <w:p w14:paraId="1170428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608" w:type="pct"/>
                  <w:tcBorders>
                    <w:tl2br w:val="nil"/>
                    <w:tr2bl w:val="nil"/>
                  </w:tcBorders>
                  <w:shd w:val="clear" w:color="auto" w:fill="auto"/>
                  <w:noWrap w:val="0"/>
                  <w:vAlign w:val="center"/>
                </w:tcPr>
                <w:p w14:paraId="7B97AFFC">
                  <w:pPr>
                    <w:shd w:val="clear" w:color="auto" w:fill="auto"/>
                    <w:adjustRightInd w:val="0"/>
                    <w:snapToGrid w:val="0"/>
                    <w:spacing w:line="240" w:lineRule="auto"/>
                    <w:jc w:val="center"/>
                    <w:rPr>
                      <w:rFonts w:hint="default" w:ascii="Times New Roman" w:hAnsi="Times New Roman"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水泵</w:t>
                  </w:r>
                </w:p>
              </w:tc>
              <w:tc>
                <w:tcPr>
                  <w:tcW w:w="330" w:type="pct"/>
                  <w:tcBorders>
                    <w:tl2br w:val="nil"/>
                    <w:tr2bl w:val="nil"/>
                  </w:tcBorders>
                  <w:shd w:val="clear" w:color="auto" w:fill="auto"/>
                  <w:noWrap w:val="0"/>
                  <w:vAlign w:val="center"/>
                </w:tcPr>
                <w:p w14:paraId="7F9606A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color w:val="000000"/>
                      <w:sz w:val="21"/>
                      <w:szCs w:val="21"/>
                      <w:highlight w:val="none"/>
                      <w:lang w:val="en-US" w:eastAsia="zh-CN"/>
                    </w:rPr>
                  </w:pPr>
                  <w:r>
                    <w:rPr>
                      <w:rFonts w:hint="eastAsia" w:ascii="Times New Roman" w:hAnsi="Times New Roman" w:cs="Times New Roman"/>
                      <w:bCs/>
                      <w:color w:val="000000"/>
                      <w:sz w:val="21"/>
                      <w:szCs w:val="21"/>
                      <w:highlight w:val="none"/>
                      <w:lang w:val="en-US" w:eastAsia="zh-CN"/>
                    </w:rPr>
                    <w:t>85</w:t>
                  </w:r>
                </w:p>
              </w:tc>
              <w:tc>
                <w:tcPr>
                  <w:tcW w:w="451" w:type="pct"/>
                  <w:vMerge w:val="continue"/>
                  <w:tcBorders>
                    <w:tl2br w:val="nil"/>
                    <w:tr2bl w:val="nil"/>
                  </w:tcBorders>
                  <w:shd w:val="clear" w:color="auto" w:fill="auto"/>
                  <w:noWrap w:val="0"/>
                  <w:vAlign w:val="center"/>
                </w:tcPr>
                <w:p w14:paraId="50355777">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289" w:type="pct"/>
                  <w:tcBorders>
                    <w:tl2br w:val="nil"/>
                    <w:tr2bl w:val="nil"/>
                  </w:tcBorders>
                  <w:shd w:val="clear" w:color="auto" w:fill="auto"/>
                  <w:noWrap w:val="0"/>
                  <w:vAlign w:val="center"/>
                </w:tcPr>
                <w:p w14:paraId="60AB7215">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18</w:t>
                  </w:r>
                </w:p>
              </w:tc>
              <w:tc>
                <w:tcPr>
                  <w:tcW w:w="249" w:type="pct"/>
                  <w:tcBorders>
                    <w:tl2br w:val="nil"/>
                    <w:tr2bl w:val="nil"/>
                  </w:tcBorders>
                  <w:shd w:val="clear" w:color="auto" w:fill="auto"/>
                  <w:noWrap w:val="0"/>
                  <w:vAlign w:val="center"/>
                </w:tcPr>
                <w:p w14:paraId="1427538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w:t>
                  </w:r>
                </w:p>
              </w:tc>
              <w:tc>
                <w:tcPr>
                  <w:tcW w:w="276" w:type="pct"/>
                  <w:tcBorders>
                    <w:tl2br w:val="nil"/>
                    <w:tr2bl w:val="nil"/>
                  </w:tcBorders>
                  <w:shd w:val="clear" w:color="auto" w:fill="auto"/>
                  <w:noWrap w:val="0"/>
                  <w:vAlign w:val="center"/>
                </w:tcPr>
                <w:p w14:paraId="5D7F388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w:t>
                  </w:r>
                </w:p>
              </w:tc>
              <w:tc>
                <w:tcPr>
                  <w:tcW w:w="381" w:type="pct"/>
                  <w:tcBorders>
                    <w:tl2br w:val="nil"/>
                    <w:tr2bl w:val="nil"/>
                  </w:tcBorders>
                  <w:shd w:val="clear" w:color="auto" w:fill="auto"/>
                  <w:noWrap w:val="0"/>
                  <w:vAlign w:val="center"/>
                </w:tcPr>
                <w:p w14:paraId="37C6C14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昼间</w:t>
                  </w:r>
                </w:p>
              </w:tc>
              <w:tc>
                <w:tcPr>
                  <w:tcW w:w="381" w:type="pct"/>
                  <w:tcBorders>
                    <w:tl2br w:val="nil"/>
                    <w:tr2bl w:val="nil"/>
                  </w:tcBorders>
                  <w:shd w:val="clear" w:color="auto" w:fill="auto"/>
                  <w:noWrap w:val="0"/>
                  <w:vAlign w:val="center"/>
                </w:tcPr>
                <w:p w14:paraId="1498FA1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w:t>
                  </w:r>
                </w:p>
              </w:tc>
              <w:tc>
                <w:tcPr>
                  <w:tcW w:w="381" w:type="pct"/>
                  <w:tcBorders>
                    <w:tl2br w:val="nil"/>
                    <w:tr2bl w:val="nil"/>
                  </w:tcBorders>
                  <w:shd w:val="clear" w:color="auto" w:fill="auto"/>
                  <w:noWrap w:val="0"/>
                  <w:vAlign w:val="center"/>
                </w:tcPr>
                <w:p w14:paraId="4C1CDE0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57</w:t>
                  </w:r>
                </w:p>
              </w:tc>
              <w:tc>
                <w:tcPr>
                  <w:tcW w:w="382" w:type="pct"/>
                  <w:tcBorders>
                    <w:tl2br w:val="nil"/>
                    <w:tr2bl w:val="nil"/>
                  </w:tcBorders>
                  <w:shd w:val="clear" w:color="auto" w:fill="auto"/>
                  <w:noWrap w:val="0"/>
                  <w:vAlign w:val="center"/>
                </w:tcPr>
                <w:p w14:paraId="717D116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000000"/>
                      <w:sz w:val="21"/>
                      <w:szCs w:val="21"/>
                      <w:highlight w:val="none"/>
                      <w:lang w:val="en-US" w:eastAsia="zh-CN"/>
                    </w:rPr>
                  </w:pPr>
                  <w:r>
                    <w:rPr>
                      <w:rFonts w:hint="default" w:ascii="Times New Roman" w:hAnsi="Times New Roman" w:cs="Times New Roman"/>
                      <w:snapToGrid w:val="0"/>
                      <w:color w:val="000000"/>
                      <w:sz w:val="21"/>
                      <w:szCs w:val="21"/>
                      <w:highlight w:val="none"/>
                      <w:lang w:val="en-US" w:eastAsia="zh-CN"/>
                    </w:rPr>
                    <w:t>15</w:t>
                  </w:r>
                </w:p>
              </w:tc>
              <w:tc>
                <w:tcPr>
                  <w:tcW w:w="382" w:type="pct"/>
                  <w:tcBorders>
                    <w:tl2br w:val="nil"/>
                    <w:tr2bl w:val="nil"/>
                  </w:tcBorders>
                  <w:shd w:val="clear" w:color="auto" w:fill="auto"/>
                  <w:noWrap w:val="0"/>
                  <w:vAlign w:val="center"/>
                </w:tcPr>
                <w:p w14:paraId="3B4602C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42</w:t>
                  </w:r>
                </w:p>
              </w:tc>
              <w:tc>
                <w:tcPr>
                  <w:tcW w:w="393" w:type="pct"/>
                  <w:tcBorders>
                    <w:tl2br w:val="nil"/>
                    <w:tr2bl w:val="nil"/>
                  </w:tcBorders>
                  <w:shd w:val="clear" w:color="auto" w:fill="auto"/>
                  <w:noWrap w:val="0"/>
                  <w:vAlign w:val="center"/>
                </w:tcPr>
                <w:p w14:paraId="3C38C78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1</w:t>
                  </w:r>
                </w:p>
              </w:tc>
            </w:tr>
            <w:tr w14:paraId="0630C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5" w:type="pct"/>
                  <w:tcBorders>
                    <w:tl2br w:val="nil"/>
                    <w:tr2bl w:val="nil"/>
                  </w:tcBorders>
                  <w:shd w:val="clear" w:color="auto" w:fill="auto"/>
                  <w:noWrap w:val="0"/>
                  <w:vAlign w:val="center"/>
                </w:tcPr>
                <w:p w14:paraId="3EC21EA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14</w:t>
                  </w:r>
                </w:p>
              </w:tc>
              <w:tc>
                <w:tcPr>
                  <w:tcW w:w="265" w:type="pct"/>
                  <w:vMerge w:val="continue"/>
                  <w:tcBorders>
                    <w:tl2br w:val="nil"/>
                    <w:tr2bl w:val="nil"/>
                  </w:tcBorders>
                  <w:shd w:val="clear" w:color="auto" w:fill="auto"/>
                  <w:noWrap w:val="0"/>
                  <w:vAlign w:val="center"/>
                </w:tcPr>
                <w:p w14:paraId="0378E6F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608" w:type="pct"/>
                  <w:tcBorders>
                    <w:tl2br w:val="nil"/>
                    <w:tr2bl w:val="nil"/>
                  </w:tcBorders>
                  <w:shd w:val="clear" w:color="auto" w:fill="auto"/>
                  <w:noWrap w:val="0"/>
                  <w:vAlign w:val="center"/>
                </w:tcPr>
                <w:p w14:paraId="2FE02187">
                  <w:pPr>
                    <w:shd w:val="clear" w:color="auto" w:fill="auto"/>
                    <w:adjustRightInd w:val="0"/>
                    <w:snapToGrid w:val="0"/>
                    <w:spacing w:line="240" w:lineRule="auto"/>
                    <w:jc w:val="center"/>
                    <w:rPr>
                      <w:rFonts w:hint="eastAsia" w:ascii="Times New Roman" w:hAnsi="Times New Roman"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水泵</w:t>
                  </w:r>
                </w:p>
              </w:tc>
              <w:tc>
                <w:tcPr>
                  <w:tcW w:w="330" w:type="pct"/>
                  <w:tcBorders>
                    <w:tl2br w:val="nil"/>
                    <w:tr2bl w:val="nil"/>
                  </w:tcBorders>
                  <w:shd w:val="clear" w:color="auto" w:fill="auto"/>
                  <w:noWrap w:val="0"/>
                  <w:vAlign w:val="center"/>
                </w:tcPr>
                <w:p w14:paraId="25952F7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bCs/>
                      <w:color w:val="000000"/>
                      <w:sz w:val="21"/>
                      <w:szCs w:val="21"/>
                      <w:highlight w:val="none"/>
                      <w:lang w:val="en-US" w:eastAsia="zh-CN"/>
                    </w:rPr>
                  </w:pPr>
                  <w:r>
                    <w:rPr>
                      <w:rFonts w:hint="eastAsia" w:ascii="Times New Roman" w:hAnsi="Times New Roman" w:cs="Times New Roman"/>
                      <w:bCs/>
                      <w:color w:val="000000"/>
                      <w:sz w:val="21"/>
                      <w:szCs w:val="21"/>
                      <w:highlight w:val="none"/>
                      <w:lang w:val="en-US" w:eastAsia="zh-CN"/>
                    </w:rPr>
                    <w:t>85</w:t>
                  </w:r>
                </w:p>
              </w:tc>
              <w:tc>
                <w:tcPr>
                  <w:tcW w:w="451" w:type="pct"/>
                  <w:vMerge w:val="continue"/>
                  <w:tcBorders>
                    <w:tl2br w:val="nil"/>
                    <w:tr2bl w:val="nil"/>
                  </w:tcBorders>
                  <w:shd w:val="clear" w:color="auto" w:fill="auto"/>
                  <w:noWrap w:val="0"/>
                  <w:vAlign w:val="center"/>
                </w:tcPr>
                <w:p w14:paraId="77ADBE46">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289" w:type="pct"/>
                  <w:tcBorders>
                    <w:tl2br w:val="nil"/>
                    <w:tr2bl w:val="nil"/>
                  </w:tcBorders>
                  <w:shd w:val="clear" w:color="auto" w:fill="auto"/>
                  <w:noWrap w:val="0"/>
                  <w:vAlign w:val="center"/>
                </w:tcPr>
                <w:p w14:paraId="1FD7E256">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sz w:val="21"/>
                      <w:szCs w:val="21"/>
                      <w:highlight w:val="none"/>
                      <w:lang w:val="en-US" w:eastAsia="zh-CN"/>
                    </w:rPr>
                  </w:pPr>
                </w:p>
              </w:tc>
              <w:tc>
                <w:tcPr>
                  <w:tcW w:w="249" w:type="pct"/>
                  <w:tcBorders>
                    <w:tl2br w:val="nil"/>
                    <w:tr2bl w:val="nil"/>
                  </w:tcBorders>
                  <w:shd w:val="clear" w:color="auto" w:fill="auto"/>
                  <w:noWrap w:val="0"/>
                  <w:vAlign w:val="center"/>
                </w:tcPr>
                <w:p w14:paraId="05400C9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sz w:val="21"/>
                      <w:szCs w:val="21"/>
                      <w:highlight w:val="none"/>
                      <w:lang w:val="en-US" w:eastAsia="zh-CN"/>
                    </w:rPr>
                  </w:pPr>
                </w:p>
              </w:tc>
              <w:tc>
                <w:tcPr>
                  <w:tcW w:w="276" w:type="pct"/>
                  <w:tcBorders>
                    <w:tl2br w:val="nil"/>
                    <w:tr2bl w:val="nil"/>
                  </w:tcBorders>
                  <w:shd w:val="clear" w:color="auto" w:fill="auto"/>
                  <w:noWrap w:val="0"/>
                  <w:vAlign w:val="center"/>
                </w:tcPr>
                <w:p w14:paraId="190E283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sz w:val="21"/>
                      <w:szCs w:val="21"/>
                      <w:highlight w:val="none"/>
                      <w:lang w:val="en-US" w:eastAsia="zh-CN"/>
                    </w:rPr>
                  </w:pPr>
                </w:p>
              </w:tc>
              <w:tc>
                <w:tcPr>
                  <w:tcW w:w="381" w:type="pct"/>
                  <w:tcBorders>
                    <w:tl2br w:val="nil"/>
                    <w:tr2bl w:val="nil"/>
                  </w:tcBorders>
                  <w:shd w:val="clear" w:color="auto" w:fill="auto"/>
                  <w:noWrap w:val="0"/>
                  <w:vAlign w:val="center"/>
                </w:tcPr>
                <w:p w14:paraId="5B7ACC3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p>
              </w:tc>
              <w:tc>
                <w:tcPr>
                  <w:tcW w:w="381" w:type="pct"/>
                  <w:tcBorders>
                    <w:tl2br w:val="nil"/>
                    <w:tr2bl w:val="nil"/>
                  </w:tcBorders>
                  <w:shd w:val="clear" w:color="auto" w:fill="auto"/>
                  <w:noWrap w:val="0"/>
                  <w:vAlign w:val="center"/>
                </w:tcPr>
                <w:p w14:paraId="6A0C1F9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sz w:val="21"/>
                      <w:szCs w:val="21"/>
                      <w:highlight w:val="none"/>
                      <w:lang w:val="en-US" w:eastAsia="zh-CN"/>
                    </w:rPr>
                  </w:pPr>
                </w:p>
              </w:tc>
              <w:tc>
                <w:tcPr>
                  <w:tcW w:w="381" w:type="pct"/>
                  <w:tcBorders>
                    <w:tl2br w:val="nil"/>
                    <w:tr2bl w:val="nil"/>
                  </w:tcBorders>
                  <w:shd w:val="clear" w:color="auto" w:fill="auto"/>
                  <w:noWrap w:val="0"/>
                  <w:vAlign w:val="center"/>
                </w:tcPr>
                <w:p w14:paraId="41D4DC5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sz w:val="21"/>
                      <w:szCs w:val="21"/>
                      <w:highlight w:val="none"/>
                      <w:lang w:val="en-US" w:eastAsia="zh-CN"/>
                    </w:rPr>
                  </w:pPr>
                </w:p>
              </w:tc>
              <w:tc>
                <w:tcPr>
                  <w:tcW w:w="382" w:type="pct"/>
                  <w:tcBorders>
                    <w:tl2br w:val="nil"/>
                    <w:tr2bl w:val="nil"/>
                  </w:tcBorders>
                  <w:shd w:val="clear" w:color="auto" w:fill="auto"/>
                  <w:noWrap w:val="0"/>
                  <w:vAlign w:val="center"/>
                </w:tcPr>
                <w:p w14:paraId="0417A73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000000"/>
                      <w:sz w:val="21"/>
                      <w:szCs w:val="21"/>
                      <w:highlight w:val="none"/>
                      <w:lang w:val="en-US" w:eastAsia="zh-CN"/>
                    </w:rPr>
                  </w:pPr>
                </w:p>
              </w:tc>
              <w:tc>
                <w:tcPr>
                  <w:tcW w:w="382" w:type="pct"/>
                  <w:tcBorders>
                    <w:tl2br w:val="nil"/>
                    <w:tr2bl w:val="nil"/>
                  </w:tcBorders>
                  <w:shd w:val="clear" w:color="auto" w:fill="auto"/>
                  <w:noWrap w:val="0"/>
                  <w:vAlign w:val="center"/>
                </w:tcPr>
                <w:p w14:paraId="6C7C6C4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sz w:val="21"/>
                      <w:szCs w:val="21"/>
                      <w:highlight w:val="none"/>
                      <w:lang w:val="en-US" w:eastAsia="zh-CN"/>
                    </w:rPr>
                  </w:pPr>
                </w:p>
              </w:tc>
              <w:tc>
                <w:tcPr>
                  <w:tcW w:w="393" w:type="pct"/>
                  <w:tcBorders>
                    <w:tl2br w:val="nil"/>
                    <w:tr2bl w:val="nil"/>
                  </w:tcBorders>
                  <w:shd w:val="clear" w:color="auto" w:fill="auto"/>
                  <w:noWrap w:val="0"/>
                  <w:vAlign w:val="center"/>
                </w:tcPr>
                <w:p w14:paraId="68AE2DF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p>
              </w:tc>
            </w:tr>
            <w:tr w14:paraId="693E9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225" w:type="pct"/>
                  <w:tcBorders>
                    <w:tl2br w:val="nil"/>
                    <w:tr2bl w:val="nil"/>
                  </w:tcBorders>
                  <w:shd w:val="clear" w:color="auto" w:fill="auto"/>
                  <w:noWrap w:val="0"/>
                  <w:vAlign w:val="center"/>
                </w:tcPr>
                <w:p w14:paraId="2F6C0A3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15</w:t>
                  </w:r>
                </w:p>
              </w:tc>
              <w:tc>
                <w:tcPr>
                  <w:tcW w:w="265" w:type="pct"/>
                  <w:vMerge w:val="restart"/>
                  <w:tcBorders>
                    <w:tl2br w:val="nil"/>
                    <w:tr2bl w:val="nil"/>
                  </w:tcBorders>
                  <w:shd w:val="clear" w:color="auto" w:fill="auto"/>
                  <w:noWrap w:val="0"/>
                  <w:vAlign w:val="center"/>
                </w:tcPr>
                <w:p w14:paraId="51710D9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污水处理站</w:t>
                  </w:r>
                </w:p>
              </w:tc>
              <w:tc>
                <w:tcPr>
                  <w:tcW w:w="608" w:type="pct"/>
                  <w:tcBorders>
                    <w:tl2br w:val="nil"/>
                    <w:tr2bl w:val="nil"/>
                  </w:tcBorders>
                  <w:shd w:val="clear" w:color="auto" w:fill="auto"/>
                  <w:noWrap w:val="0"/>
                  <w:vAlign w:val="center"/>
                </w:tcPr>
                <w:p w14:paraId="115BA905">
                  <w:pPr>
                    <w:shd w:val="clear" w:color="auto" w:fill="auto"/>
                    <w:adjustRightInd w:val="0"/>
                    <w:snapToGrid w:val="0"/>
                    <w:spacing w:line="240" w:lineRule="auto"/>
                    <w:jc w:val="center"/>
                    <w:rPr>
                      <w:rFonts w:hint="eastAsia" w:ascii="Times New Roman" w:hAnsi="Times New Roman"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污水泵</w:t>
                  </w:r>
                </w:p>
              </w:tc>
              <w:tc>
                <w:tcPr>
                  <w:tcW w:w="330" w:type="pct"/>
                  <w:tcBorders>
                    <w:tl2br w:val="nil"/>
                    <w:tr2bl w:val="nil"/>
                  </w:tcBorders>
                  <w:shd w:val="clear" w:color="auto" w:fill="auto"/>
                  <w:noWrap w:val="0"/>
                  <w:vAlign w:val="center"/>
                </w:tcPr>
                <w:p w14:paraId="06C43B0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color w:val="000000"/>
                      <w:sz w:val="21"/>
                      <w:szCs w:val="21"/>
                      <w:highlight w:val="none"/>
                      <w:lang w:val="en-US" w:eastAsia="zh-CN"/>
                    </w:rPr>
                  </w:pPr>
                  <w:r>
                    <w:rPr>
                      <w:rFonts w:hint="eastAsia" w:ascii="Times New Roman" w:hAnsi="Times New Roman" w:cs="Times New Roman"/>
                      <w:bCs/>
                      <w:color w:val="000000"/>
                      <w:sz w:val="21"/>
                      <w:szCs w:val="21"/>
                      <w:highlight w:val="none"/>
                      <w:lang w:val="en-US" w:eastAsia="zh-CN"/>
                    </w:rPr>
                    <w:t>85</w:t>
                  </w:r>
                </w:p>
              </w:tc>
              <w:tc>
                <w:tcPr>
                  <w:tcW w:w="451" w:type="pct"/>
                  <w:vMerge w:val="continue"/>
                  <w:tcBorders>
                    <w:tl2br w:val="nil"/>
                    <w:tr2bl w:val="nil"/>
                  </w:tcBorders>
                  <w:shd w:val="clear" w:color="auto" w:fill="auto"/>
                  <w:noWrap w:val="0"/>
                  <w:vAlign w:val="center"/>
                </w:tcPr>
                <w:p w14:paraId="032A8856">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p>
              </w:tc>
              <w:tc>
                <w:tcPr>
                  <w:tcW w:w="289" w:type="pct"/>
                  <w:tcBorders>
                    <w:tl2br w:val="nil"/>
                    <w:tr2bl w:val="nil"/>
                  </w:tcBorders>
                  <w:shd w:val="clear" w:color="auto" w:fill="auto"/>
                  <w:noWrap w:val="0"/>
                  <w:vAlign w:val="center"/>
                </w:tcPr>
                <w:p w14:paraId="7848C974">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45</w:t>
                  </w:r>
                </w:p>
              </w:tc>
              <w:tc>
                <w:tcPr>
                  <w:tcW w:w="249" w:type="pct"/>
                  <w:tcBorders>
                    <w:tl2br w:val="nil"/>
                    <w:tr2bl w:val="nil"/>
                  </w:tcBorders>
                  <w:shd w:val="clear" w:color="auto" w:fill="auto"/>
                  <w:noWrap w:val="0"/>
                  <w:vAlign w:val="center"/>
                </w:tcPr>
                <w:p w14:paraId="32C59AC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w:t>
                  </w:r>
                </w:p>
              </w:tc>
              <w:tc>
                <w:tcPr>
                  <w:tcW w:w="276" w:type="pct"/>
                  <w:tcBorders>
                    <w:tl2br w:val="nil"/>
                    <w:tr2bl w:val="nil"/>
                  </w:tcBorders>
                  <w:shd w:val="clear" w:color="auto" w:fill="auto"/>
                  <w:noWrap w:val="0"/>
                  <w:vAlign w:val="center"/>
                </w:tcPr>
                <w:p w14:paraId="6EDCD9D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w:t>
                  </w:r>
                </w:p>
              </w:tc>
              <w:tc>
                <w:tcPr>
                  <w:tcW w:w="381" w:type="pct"/>
                  <w:tcBorders>
                    <w:tl2br w:val="nil"/>
                    <w:tr2bl w:val="nil"/>
                  </w:tcBorders>
                  <w:shd w:val="clear" w:color="auto" w:fill="auto"/>
                  <w:noWrap w:val="0"/>
                  <w:vAlign w:val="center"/>
                </w:tcPr>
                <w:p w14:paraId="4C4EDBB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昼间</w:t>
                  </w:r>
                </w:p>
              </w:tc>
              <w:tc>
                <w:tcPr>
                  <w:tcW w:w="381" w:type="pct"/>
                  <w:tcBorders>
                    <w:tl2br w:val="nil"/>
                    <w:tr2bl w:val="nil"/>
                  </w:tcBorders>
                  <w:shd w:val="clear" w:color="auto" w:fill="auto"/>
                  <w:noWrap w:val="0"/>
                  <w:vAlign w:val="center"/>
                </w:tcPr>
                <w:p w14:paraId="799D74F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w:t>
                  </w:r>
                </w:p>
              </w:tc>
              <w:tc>
                <w:tcPr>
                  <w:tcW w:w="381" w:type="pct"/>
                  <w:tcBorders>
                    <w:tl2br w:val="nil"/>
                    <w:tr2bl w:val="nil"/>
                  </w:tcBorders>
                  <w:shd w:val="clear" w:color="auto" w:fill="auto"/>
                  <w:noWrap w:val="0"/>
                  <w:vAlign w:val="center"/>
                </w:tcPr>
                <w:p w14:paraId="7D41C38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62</w:t>
                  </w:r>
                </w:p>
              </w:tc>
              <w:tc>
                <w:tcPr>
                  <w:tcW w:w="382" w:type="pct"/>
                  <w:tcBorders>
                    <w:tl2br w:val="nil"/>
                    <w:tr2bl w:val="nil"/>
                  </w:tcBorders>
                  <w:shd w:val="clear" w:color="auto" w:fill="auto"/>
                  <w:noWrap w:val="0"/>
                  <w:vAlign w:val="center"/>
                </w:tcPr>
                <w:p w14:paraId="0E7AC56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000000"/>
                      <w:sz w:val="21"/>
                      <w:szCs w:val="21"/>
                      <w:highlight w:val="none"/>
                      <w:lang w:val="en-US" w:eastAsia="zh-CN"/>
                    </w:rPr>
                  </w:pPr>
                  <w:r>
                    <w:rPr>
                      <w:rFonts w:hint="default" w:ascii="Times New Roman" w:hAnsi="Times New Roman" w:cs="Times New Roman"/>
                      <w:snapToGrid w:val="0"/>
                      <w:color w:val="000000"/>
                      <w:sz w:val="21"/>
                      <w:szCs w:val="21"/>
                      <w:highlight w:val="none"/>
                      <w:lang w:val="en-US" w:eastAsia="zh-CN"/>
                    </w:rPr>
                    <w:t>15</w:t>
                  </w:r>
                </w:p>
              </w:tc>
              <w:tc>
                <w:tcPr>
                  <w:tcW w:w="382" w:type="pct"/>
                  <w:tcBorders>
                    <w:tl2br w:val="nil"/>
                    <w:tr2bl w:val="nil"/>
                  </w:tcBorders>
                  <w:shd w:val="clear" w:color="auto" w:fill="auto"/>
                  <w:noWrap w:val="0"/>
                  <w:vAlign w:val="center"/>
                </w:tcPr>
                <w:p w14:paraId="1026630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47</w:t>
                  </w:r>
                </w:p>
              </w:tc>
              <w:tc>
                <w:tcPr>
                  <w:tcW w:w="393" w:type="pct"/>
                  <w:tcBorders>
                    <w:tl2br w:val="nil"/>
                    <w:tr2bl w:val="nil"/>
                  </w:tcBorders>
                  <w:shd w:val="clear" w:color="auto" w:fill="auto"/>
                  <w:noWrap w:val="0"/>
                  <w:vAlign w:val="center"/>
                </w:tcPr>
                <w:p w14:paraId="6FA1500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1</w:t>
                  </w:r>
                </w:p>
              </w:tc>
            </w:tr>
            <w:tr w14:paraId="59C9C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225" w:type="pct"/>
                  <w:tcBorders>
                    <w:tl2br w:val="nil"/>
                    <w:tr2bl w:val="nil"/>
                  </w:tcBorders>
                  <w:shd w:val="clear" w:color="auto" w:fill="auto"/>
                  <w:noWrap w:val="0"/>
                  <w:vAlign w:val="center"/>
                </w:tcPr>
                <w:p w14:paraId="583F335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16</w:t>
                  </w:r>
                </w:p>
              </w:tc>
              <w:tc>
                <w:tcPr>
                  <w:tcW w:w="265" w:type="pct"/>
                  <w:vMerge w:val="continue"/>
                  <w:tcBorders>
                    <w:tl2br w:val="nil"/>
                    <w:tr2bl w:val="nil"/>
                  </w:tcBorders>
                  <w:shd w:val="clear" w:color="auto" w:fill="auto"/>
                  <w:noWrap w:val="0"/>
                  <w:vAlign w:val="center"/>
                </w:tcPr>
                <w:p w14:paraId="70E4BA0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608" w:type="pct"/>
                  <w:tcBorders>
                    <w:tl2br w:val="nil"/>
                    <w:tr2bl w:val="nil"/>
                  </w:tcBorders>
                  <w:shd w:val="clear" w:color="auto" w:fill="auto"/>
                  <w:noWrap w:val="0"/>
                  <w:vAlign w:val="center"/>
                </w:tcPr>
                <w:p w14:paraId="61D067E3">
                  <w:pPr>
                    <w:shd w:val="clear" w:color="auto" w:fill="auto"/>
                    <w:adjustRightInd w:val="0"/>
                    <w:snapToGrid w:val="0"/>
                    <w:spacing w:line="240" w:lineRule="auto"/>
                    <w:jc w:val="center"/>
                    <w:rPr>
                      <w:rFonts w:hint="eastAsia" w:ascii="Times New Roman" w:hAnsi="Times New Roman"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污水泵</w:t>
                  </w:r>
                </w:p>
              </w:tc>
              <w:tc>
                <w:tcPr>
                  <w:tcW w:w="330" w:type="pct"/>
                  <w:tcBorders>
                    <w:tl2br w:val="nil"/>
                    <w:tr2bl w:val="nil"/>
                  </w:tcBorders>
                  <w:shd w:val="clear" w:color="auto" w:fill="auto"/>
                  <w:noWrap w:val="0"/>
                  <w:vAlign w:val="center"/>
                </w:tcPr>
                <w:p w14:paraId="4668E97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color w:val="000000"/>
                      <w:sz w:val="21"/>
                      <w:szCs w:val="21"/>
                      <w:highlight w:val="none"/>
                      <w:lang w:val="en-US" w:eastAsia="zh-CN"/>
                    </w:rPr>
                  </w:pPr>
                  <w:r>
                    <w:rPr>
                      <w:rFonts w:hint="eastAsia" w:ascii="Times New Roman" w:hAnsi="Times New Roman" w:cs="Times New Roman"/>
                      <w:bCs/>
                      <w:color w:val="000000"/>
                      <w:sz w:val="21"/>
                      <w:szCs w:val="21"/>
                      <w:highlight w:val="none"/>
                      <w:lang w:val="en-US" w:eastAsia="zh-CN"/>
                    </w:rPr>
                    <w:t>85</w:t>
                  </w:r>
                </w:p>
              </w:tc>
              <w:tc>
                <w:tcPr>
                  <w:tcW w:w="451" w:type="pct"/>
                  <w:vMerge w:val="continue"/>
                  <w:tcBorders>
                    <w:tl2br w:val="nil"/>
                    <w:tr2bl w:val="nil"/>
                  </w:tcBorders>
                  <w:shd w:val="clear" w:color="auto" w:fill="auto"/>
                  <w:noWrap w:val="0"/>
                  <w:vAlign w:val="center"/>
                </w:tcPr>
                <w:p w14:paraId="52226830">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289" w:type="pct"/>
                  <w:tcBorders>
                    <w:tl2br w:val="nil"/>
                    <w:tr2bl w:val="nil"/>
                  </w:tcBorders>
                  <w:shd w:val="clear" w:color="auto" w:fill="auto"/>
                  <w:noWrap w:val="0"/>
                  <w:vAlign w:val="center"/>
                </w:tcPr>
                <w:p w14:paraId="60DE7843">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46</w:t>
                  </w:r>
                </w:p>
              </w:tc>
              <w:tc>
                <w:tcPr>
                  <w:tcW w:w="249" w:type="pct"/>
                  <w:tcBorders>
                    <w:tl2br w:val="nil"/>
                    <w:tr2bl w:val="nil"/>
                  </w:tcBorders>
                  <w:shd w:val="clear" w:color="auto" w:fill="auto"/>
                  <w:noWrap w:val="0"/>
                  <w:vAlign w:val="center"/>
                </w:tcPr>
                <w:p w14:paraId="6BE1A19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w:t>
                  </w:r>
                </w:p>
              </w:tc>
              <w:tc>
                <w:tcPr>
                  <w:tcW w:w="276" w:type="pct"/>
                  <w:tcBorders>
                    <w:tl2br w:val="nil"/>
                    <w:tr2bl w:val="nil"/>
                  </w:tcBorders>
                  <w:shd w:val="clear" w:color="auto" w:fill="auto"/>
                  <w:noWrap w:val="0"/>
                  <w:vAlign w:val="center"/>
                </w:tcPr>
                <w:p w14:paraId="52EF3F6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w:t>
                  </w:r>
                </w:p>
              </w:tc>
              <w:tc>
                <w:tcPr>
                  <w:tcW w:w="381" w:type="pct"/>
                  <w:tcBorders>
                    <w:tl2br w:val="nil"/>
                    <w:tr2bl w:val="nil"/>
                  </w:tcBorders>
                  <w:shd w:val="clear" w:color="auto" w:fill="auto"/>
                  <w:noWrap w:val="0"/>
                  <w:vAlign w:val="center"/>
                </w:tcPr>
                <w:p w14:paraId="5290CE1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昼间</w:t>
                  </w:r>
                </w:p>
              </w:tc>
              <w:tc>
                <w:tcPr>
                  <w:tcW w:w="381" w:type="pct"/>
                  <w:tcBorders>
                    <w:tl2br w:val="nil"/>
                    <w:tr2bl w:val="nil"/>
                  </w:tcBorders>
                  <w:shd w:val="clear" w:color="auto" w:fill="auto"/>
                  <w:noWrap w:val="0"/>
                  <w:vAlign w:val="center"/>
                </w:tcPr>
                <w:p w14:paraId="3F9DD3E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w:t>
                  </w:r>
                </w:p>
              </w:tc>
              <w:tc>
                <w:tcPr>
                  <w:tcW w:w="381" w:type="pct"/>
                  <w:tcBorders>
                    <w:tl2br w:val="nil"/>
                    <w:tr2bl w:val="nil"/>
                  </w:tcBorders>
                  <w:shd w:val="clear" w:color="auto" w:fill="auto"/>
                  <w:noWrap w:val="0"/>
                  <w:vAlign w:val="center"/>
                </w:tcPr>
                <w:p w14:paraId="49966566">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67</w:t>
                  </w:r>
                </w:p>
              </w:tc>
              <w:tc>
                <w:tcPr>
                  <w:tcW w:w="382" w:type="pct"/>
                  <w:tcBorders>
                    <w:tl2br w:val="nil"/>
                    <w:tr2bl w:val="nil"/>
                  </w:tcBorders>
                  <w:shd w:val="clear" w:color="auto" w:fill="auto"/>
                  <w:noWrap w:val="0"/>
                  <w:vAlign w:val="center"/>
                </w:tcPr>
                <w:p w14:paraId="2BEF541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000000"/>
                      <w:sz w:val="21"/>
                      <w:szCs w:val="21"/>
                      <w:highlight w:val="none"/>
                      <w:lang w:val="en-US" w:eastAsia="zh-CN"/>
                    </w:rPr>
                  </w:pPr>
                  <w:r>
                    <w:rPr>
                      <w:rFonts w:hint="default" w:ascii="Times New Roman" w:hAnsi="Times New Roman" w:cs="Times New Roman"/>
                      <w:snapToGrid w:val="0"/>
                      <w:color w:val="000000"/>
                      <w:sz w:val="21"/>
                      <w:szCs w:val="21"/>
                      <w:highlight w:val="none"/>
                      <w:lang w:val="en-US" w:eastAsia="zh-CN"/>
                    </w:rPr>
                    <w:t>15</w:t>
                  </w:r>
                </w:p>
              </w:tc>
              <w:tc>
                <w:tcPr>
                  <w:tcW w:w="382" w:type="pct"/>
                  <w:tcBorders>
                    <w:tl2br w:val="nil"/>
                    <w:tr2bl w:val="nil"/>
                  </w:tcBorders>
                  <w:shd w:val="clear" w:color="auto" w:fill="auto"/>
                  <w:noWrap w:val="0"/>
                  <w:vAlign w:val="center"/>
                </w:tcPr>
                <w:p w14:paraId="2E126A30">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52</w:t>
                  </w:r>
                </w:p>
              </w:tc>
              <w:tc>
                <w:tcPr>
                  <w:tcW w:w="393" w:type="pct"/>
                  <w:tcBorders>
                    <w:tl2br w:val="nil"/>
                    <w:tr2bl w:val="nil"/>
                  </w:tcBorders>
                  <w:shd w:val="clear" w:color="auto" w:fill="auto"/>
                  <w:noWrap w:val="0"/>
                  <w:vAlign w:val="center"/>
                </w:tcPr>
                <w:p w14:paraId="717A315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1</w:t>
                  </w:r>
                </w:p>
              </w:tc>
            </w:tr>
            <w:tr w14:paraId="1F75C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5" w:type="pct"/>
                  <w:tcBorders>
                    <w:tl2br w:val="nil"/>
                    <w:tr2bl w:val="nil"/>
                  </w:tcBorders>
                  <w:shd w:val="clear" w:color="auto" w:fill="auto"/>
                  <w:noWrap w:val="0"/>
                  <w:vAlign w:val="center"/>
                </w:tcPr>
                <w:p w14:paraId="6139F33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17</w:t>
                  </w:r>
                </w:p>
              </w:tc>
              <w:tc>
                <w:tcPr>
                  <w:tcW w:w="265" w:type="pct"/>
                  <w:vMerge w:val="continue"/>
                  <w:tcBorders>
                    <w:tl2br w:val="nil"/>
                    <w:tr2bl w:val="nil"/>
                  </w:tcBorders>
                  <w:shd w:val="clear" w:color="auto" w:fill="auto"/>
                  <w:noWrap w:val="0"/>
                  <w:vAlign w:val="center"/>
                </w:tcPr>
                <w:p w14:paraId="6258BC1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608" w:type="pct"/>
                  <w:tcBorders>
                    <w:tl2br w:val="nil"/>
                    <w:tr2bl w:val="nil"/>
                  </w:tcBorders>
                  <w:shd w:val="clear" w:color="auto" w:fill="auto"/>
                  <w:noWrap w:val="0"/>
                  <w:vAlign w:val="center"/>
                </w:tcPr>
                <w:p w14:paraId="18350DA6">
                  <w:pPr>
                    <w:shd w:val="clear" w:color="auto" w:fill="auto"/>
                    <w:adjustRightInd w:val="0"/>
                    <w:snapToGrid w:val="0"/>
                    <w:spacing w:line="240" w:lineRule="auto"/>
                    <w:jc w:val="center"/>
                    <w:rPr>
                      <w:rFonts w:hint="eastAsia" w:ascii="Times New Roman" w:hAnsi="Times New Roman"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污水泵</w:t>
                  </w:r>
                </w:p>
              </w:tc>
              <w:tc>
                <w:tcPr>
                  <w:tcW w:w="330" w:type="pct"/>
                  <w:tcBorders>
                    <w:tl2br w:val="nil"/>
                    <w:tr2bl w:val="nil"/>
                  </w:tcBorders>
                  <w:shd w:val="clear" w:color="auto" w:fill="auto"/>
                  <w:noWrap w:val="0"/>
                  <w:vAlign w:val="center"/>
                </w:tcPr>
                <w:p w14:paraId="330ABA5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color w:val="000000"/>
                      <w:sz w:val="21"/>
                      <w:szCs w:val="21"/>
                      <w:highlight w:val="none"/>
                      <w:lang w:val="en-US" w:eastAsia="zh-CN"/>
                    </w:rPr>
                  </w:pPr>
                  <w:r>
                    <w:rPr>
                      <w:rFonts w:hint="eastAsia" w:ascii="Times New Roman" w:hAnsi="Times New Roman" w:cs="Times New Roman"/>
                      <w:bCs/>
                      <w:color w:val="000000"/>
                      <w:sz w:val="21"/>
                      <w:szCs w:val="21"/>
                      <w:highlight w:val="none"/>
                      <w:lang w:val="en-US" w:eastAsia="zh-CN"/>
                    </w:rPr>
                    <w:t>85</w:t>
                  </w:r>
                </w:p>
              </w:tc>
              <w:tc>
                <w:tcPr>
                  <w:tcW w:w="451" w:type="pct"/>
                  <w:vMerge w:val="continue"/>
                  <w:tcBorders>
                    <w:tl2br w:val="nil"/>
                    <w:tr2bl w:val="nil"/>
                  </w:tcBorders>
                  <w:shd w:val="clear" w:color="auto" w:fill="auto"/>
                  <w:noWrap w:val="0"/>
                  <w:vAlign w:val="center"/>
                </w:tcPr>
                <w:p w14:paraId="421795FA">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289" w:type="pct"/>
                  <w:tcBorders>
                    <w:tl2br w:val="nil"/>
                    <w:tr2bl w:val="nil"/>
                  </w:tcBorders>
                  <w:shd w:val="clear" w:color="auto" w:fill="auto"/>
                  <w:noWrap w:val="0"/>
                  <w:vAlign w:val="center"/>
                </w:tcPr>
                <w:p w14:paraId="41BED267">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47</w:t>
                  </w:r>
                </w:p>
              </w:tc>
              <w:tc>
                <w:tcPr>
                  <w:tcW w:w="249" w:type="pct"/>
                  <w:tcBorders>
                    <w:tl2br w:val="nil"/>
                    <w:tr2bl w:val="nil"/>
                  </w:tcBorders>
                  <w:shd w:val="clear" w:color="auto" w:fill="auto"/>
                  <w:noWrap w:val="0"/>
                  <w:vAlign w:val="center"/>
                </w:tcPr>
                <w:p w14:paraId="1C9C2D0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w:t>
                  </w:r>
                </w:p>
              </w:tc>
              <w:tc>
                <w:tcPr>
                  <w:tcW w:w="276" w:type="pct"/>
                  <w:tcBorders>
                    <w:tl2br w:val="nil"/>
                    <w:tr2bl w:val="nil"/>
                  </w:tcBorders>
                  <w:shd w:val="clear" w:color="auto" w:fill="auto"/>
                  <w:noWrap w:val="0"/>
                  <w:vAlign w:val="center"/>
                </w:tcPr>
                <w:p w14:paraId="1DE4302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w:t>
                  </w:r>
                </w:p>
              </w:tc>
              <w:tc>
                <w:tcPr>
                  <w:tcW w:w="381" w:type="pct"/>
                  <w:tcBorders>
                    <w:tl2br w:val="nil"/>
                    <w:tr2bl w:val="nil"/>
                  </w:tcBorders>
                  <w:shd w:val="clear" w:color="auto" w:fill="auto"/>
                  <w:noWrap w:val="0"/>
                  <w:vAlign w:val="center"/>
                </w:tcPr>
                <w:p w14:paraId="12FB023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昼间</w:t>
                  </w:r>
                </w:p>
              </w:tc>
              <w:tc>
                <w:tcPr>
                  <w:tcW w:w="381" w:type="pct"/>
                  <w:tcBorders>
                    <w:tl2br w:val="nil"/>
                    <w:tr2bl w:val="nil"/>
                  </w:tcBorders>
                  <w:shd w:val="clear" w:color="auto" w:fill="auto"/>
                  <w:noWrap w:val="0"/>
                  <w:vAlign w:val="center"/>
                </w:tcPr>
                <w:p w14:paraId="331CF10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w:t>
                  </w:r>
                </w:p>
              </w:tc>
              <w:tc>
                <w:tcPr>
                  <w:tcW w:w="381" w:type="pct"/>
                  <w:tcBorders>
                    <w:tl2br w:val="nil"/>
                    <w:tr2bl w:val="nil"/>
                  </w:tcBorders>
                  <w:shd w:val="clear" w:color="auto" w:fill="auto"/>
                  <w:noWrap w:val="0"/>
                  <w:vAlign w:val="center"/>
                </w:tcPr>
                <w:p w14:paraId="2E956A8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67</w:t>
                  </w:r>
                </w:p>
              </w:tc>
              <w:tc>
                <w:tcPr>
                  <w:tcW w:w="382" w:type="pct"/>
                  <w:tcBorders>
                    <w:tl2br w:val="nil"/>
                    <w:tr2bl w:val="nil"/>
                  </w:tcBorders>
                  <w:shd w:val="clear" w:color="auto" w:fill="auto"/>
                  <w:noWrap w:val="0"/>
                  <w:vAlign w:val="center"/>
                </w:tcPr>
                <w:p w14:paraId="33AA41F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000000"/>
                      <w:sz w:val="21"/>
                      <w:szCs w:val="21"/>
                      <w:highlight w:val="none"/>
                      <w:lang w:val="en-US" w:eastAsia="zh-CN"/>
                    </w:rPr>
                  </w:pPr>
                  <w:r>
                    <w:rPr>
                      <w:rFonts w:hint="default" w:ascii="Times New Roman" w:hAnsi="Times New Roman" w:cs="Times New Roman"/>
                      <w:snapToGrid w:val="0"/>
                      <w:color w:val="000000"/>
                      <w:sz w:val="21"/>
                      <w:szCs w:val="21"/>
                      <w:highlight w:val="none"/>
                      <w:lang w:val="en-US" w:eastAsia="zh-CN"/>
                    </w:rPr>
                    <w:t>15</w:t>
                  </w:r>
                </w:p>
              </w:tc>
              <w:tc>
                <w:tcPr>
                  <w:tcW w:w="382" w:type="pct"/>
                  <w:tcBorders>
                    <w:tl2br w:val="nil"/>
                    <w:tr2bl w:val="nil"/>
                  </w:tcBorders>
                  <w:shd w:val="clear" w:color="auto" w:fill="auto"/>
                  <w:noWrap w:val="0"/>
                  <w:vAlign w:val="center"/>
                </w:tcPr>
                <w:p w14:paraId="5EAD2B3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52</w:t>
                  </w:r>
                </w:p>
              </w:tc>
              <w:tc>
                <w:tcPr>
                  <w:tcW w:w="393" w:type="pct"/>
                  <w:tcBorders>
                    <w:tl2br w:val="nil"/>
                    <w:tr2bl w:val="nil"/>
                  </w:tcBorders>
                  <w:shd w:val="clear" w:color="auto" w:fill="auto"/>
                  <w:noWrap w:val="0"/>
                  <w:vAlign w:val="center"/>
                </w:tcPr>
                <w:p w14:paraId="706B902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1</w:t>
                  </w:r>
                </w:p>
              </w:tc>
            </w:tr>
            <w:tr w14:paraId="001F4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5" w:type="pct"/>
                  <w:tcBorders>
                    <w:tl2br w:val="nil"/>
                    <w:tr2bl w:val="nil"/>
                  </w:tcBorders>
                  <w:shd w:val="clear" w:color="auto" w:fill="auto"/>
                  <w:noWrap w:val="0"/>
                  <w:vAlign w:val="center"/>
                </w:tcPr>
                <w:p w14:paraId="334D095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18</w:t>
                  </w:r>
                </w:p>
              </w:tc>
              <w:tc>
                <w:tcPr>
                  <w:tcW w:w="265" w:type="pct"/>
                  <w:vMerge w:val="continue"/>
                  <w:tcBorders>
                    <w:tl2br w:val="nil"/>
                    <w:tr2bl w:val="nil"/>
                  </w:tcBorders>
                  <w:shd w:val="clear" w:color="auto" w:fill="auto"/>
                  <w:noWrap w:val="0"/>
                  <w:vAlign w:val="center"/>
                </w:tcPr>
                <w:p w14:paraId="6FDF8F8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608" w:type="pct"/>
                  <w:tcBorders>
                    <w:tl2br w:val="nil"/>
                    <w:tr2bl w:val="nil"/>
                  </w:tcBorders>
                  <w:shd w:val="clear" w:color="auto" w:fill="auto"/>
                  <w:noWrap w:val="0"/>
                  <w:vAlign w:val="center"/>
                </w:tcPr>
                <w:p w14:paraId="1CE461ED">
                  <w:pPr>
                    <w:shd w:val="clear" w:color="auto" w:fill="auto"/>
                    <w:adjustRightInd w:val="0"/>
                    <w:snapToGrid w:val="0"/>
                    <w:spacing w:line="240" w:lineRule="auto"/>
                    <w:jc w:val="center"/>
                    <w:rPr>
                      <w:rFonts w:hint="eastAsia" w:ascii="Times New Roman" w:hAnsi="Times New Roman"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污水泵</w:t>
                  </w:r>
                </w:p>
              </w:tc>
              <w:tc>
                <w:tcPr>
                  <w:tcW w:w="330" w:type="pct"/>
                  <w:tcBorders>
                    <w:tl2br w:val="nil"/>
                    <w:tr2bl w:val="nil"/>
                  </w:tcBorders>
                  <w:shd w:val="clear" w:color="auto" w:fill="auto"/>
                  <w:noWrap w:val="0"/>
                  <w:vAlign w:val="center"/>
                </w:tcPr>
                <w:p w14:paraId="5074350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color w:val="000000"/>
                      <w:sz w:val="21"/>
                      <w:szCs w:val="21"/>
                      <w:highlight w:val="none"/>
                      <w:lang w:val="en-US" w:eastAsia="zh-CN"/>
                    </w:rPr>
                  </w:pPr>
                  <w:r>
                    <w:rPr>
                      <w:rFonts w:hint="eastAsia" w:ascii="Times New Roman" w:hAnsi="Times New Roman" w:cs="Times New Roman"/>
                      <w:bCs/>
                      <w:color w:val="000000"/>
                      <w:sz w:val="21"/>
                      <w:szCs w:val="21"/>
                      <w:highlight w:val="none"/>
                      <w:lang w:val="en-US" w:eastAsia="zh-CN"/>
                    </w:rPr>
                    <w:t>85</w:t>
                  </w:r>
                </w:p>
              </w:tc>
              <w:tc>
                <w:tcPr>
                  <w:tcW w:w="451" w:type="pct"/>
                  <w:vMerge w:val="continue"/>
                  <w:tcBorders>
                    <w:tl2br w:val="nil"/>
                    <w:tr2bl w:val="nil"/>
                  </w:tcBorders>
                  <w:shd w:val="clear" w:color="auto" w:fill="auto"/>
                  <w:noWrap w:val="0"/>
                  <w:vAlign w:val="center"/>
                </w:tcPr>
                <w:p w14:paraId="6162C11B">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289" w:type="pct"/>
                  <w:tcBorders>
                    <w:tl2br w:val="nil"/>
                    <w:tr2bl w:val="nil"/>
                  </w:tcBorders>
                  <w:shd w:val="clear" w:color="auto" w:fill="auto"/>
                  <w:noWrap w:val="0"/>
                  <w:vAlign w:val="center"/>
                </w:tcPr>
                <w:p w14:paraId="60E7FD0D">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48</w:t>
                  </w:r>
                </w:p>
              </w:tc>
              <w:tc>
                <w:tcPr>
                  <w:tcW w:w="249" w:type="pct"/>
                  <w:tcBorders>
                    <w:tl2br w:val="nil"/>
                    <w:tr2bl w:val="nil"/>
                  </w:tcBorders>
                  <w:shd w:val="clear" w:color="auto" w:fill="auto"/>
                  <w:noWrap w:val="0"/>
                  <w:vAlign w:val="center"/>
                </w:tcPr>
                <w:p w14:paraId="2316A99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w:t>
                  </w:r>
                </w:p>
              </w:tc>
              <w:tc>
                <w:tcPr>
                  <w:tcW w:w="276" w:type="pct"/>
                  <w:tcBorders>
                    <w:tl2br w:val="nil"/>
                    <w:tr2bl w:val="nil"/>
                  </w:tcBorders>
                  <w:shd w:val="clear" w:color="auto" w:fill="auto"/>
                  <w:noWrap w:val="0"/>
                  <w:vAlign w:val="center"/>
                </w:tcPr>
                <w:p w14:paraId="67A7FC4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w:t>
                  </w:r>
                </w:p>
              </w:tc>
              <w:tc>
                <w:tcPr>
                  <w:tcW w:w="381" w:type="pct"/>
                  <w:tcBorders>
                    <w:tl2br w:val="nil"/>
                    <w:tr2bl w:val="nil"/>
                  </w:tcBorders>
                  <w:shd w:val="clear" w:color="auto" w:fill="auto"/>
                  <w:noWrap w:val="0"/>
                  <w:vAlign w:val="center"/>
                </w:tcPr>
                <w:p w14:paraId="006EF2E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昼间</w:t>
                  </w:r>
                </w:p>
              </w:tc>
              <w:tc>
                <w:tcPr>
                  <w:tcW w:w="381" w:type="pct"/>
                  <w:tcBorders>
                    <w:tl2br w:val="nil"/>
                    <w:tr2bl w:val="nil"/>
                  </w:tcBorders>
                  <w:shd w:val="clear" w:color="auto" w:fill="auto"/>
                  <w:noWrap w:val="0"/>
                  <w:vAlign w:val="center"/>
                </w:tcPr>
                <w:p w14:paraId="1134ADE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w:t>
                  </w:r>
                </w:p>
              </w:tc>
              <w:tc>
                <w:tcPr>
                  <w:tcW w:w="381" w:type="pct"/>
                  <w:tcBorders>
                    <w:tl2br w:val="nil"/>
                    <w:tr2bl w:val="nil"/>
                  </w:tcBorders>
                  <w:shd w:val="clear" w:color="auto" w:fill="auto"/>
                  <w:noWrap w:val="0"/>
                  <w:vAlign w:val="center"/>
                </w:tcPr>
                <w:p w14:paraId="01F82F9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57</w:t>
                  </w:r>
                </w:p>
              </w:tc>
              <w:tc>
                <w:tcPr>
                  <w:tcW w:w="382" w:type="pct"/>
                  <w:tcBorders>
                    <w:tl2br w:val="nil"/>
                    <w:tr2bl w:val="nil"/>
                  </w:tcBorders>
                  <w:shd w:val="clear" w:color="auto" w:fill="auto"/>
                  <w:noWrap w:val="0"/>
                  <w:vAlign w:val="center"/>
                </w:tcPr>
                <w:p w14:paraId="44E73F9F">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000000"/>
                      <w:sz w:val="21"/>
                      <w:szCs w:val="21"/>
                      <w:highlight w:val="none"/>
                      <w:lang w:val="en-US" w:eastAsia="zh-CN"/>
                    </w:rPr>
                  </w:pPr>
                  <w:r>
                    <w:rPr>
                      <w:rFonts w:hint="default" w:ascii="Times New Roman" w:hAnsi="Times New Roman" w:cs="Times New Roman"/>
                      <w:snapToGrid w:val="0"/>
                      <w:color w:val="000000"/>
                      <w:sz w:val="21"/>
                      <w:szCs w:val="21"/>
                      <w:highlight w:val="none"/>
                      <w:lang w:val="en-US" w:eastAsia="zh-CN"/>
                    </w:rPr>
                    <w:t>15</w:t>
                  </w:r>
                </w:p>
              </w:tc>
              <w:tc>
                <w:tcPr>
                  <w:tcW w:w="382" w:type="pct"/>
                  <w:tcBorders>
                    <w:tl2br w:val="nil"/>
                    <w:tr2bl w:val="nil"/>
                  </w:tcBorders>
                  <w:shd w:val="clear" w:color="auto" w:fill="auto"/>
                  <w:noWrap w:val="0"/>
                  <w:vAlign w:val="center"/>
                </w:tcPr>
                <w:p w14:paraId="013C2D3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42</w:t>
                  </w:r>
                </w:p>
              </w:tc>
              <w:tc>
                <w:tcPr>
                  <w:tcW w:w="393" w:type="pct"/>
                  <w:tcBorders>
                    <w:tl2br w:val="nil"/>
                    <w:tr2bl w:val="nil"/>
                  </w:tcBorders>
                  <w:shd w:val="clear" w:color="auto" w:fill="auto"/>
                  <w:noWrap w:val="0"/>
                  <w:vAlign w:val="center"/>
                </w:tcPr>
                <w:p w14:paraId="264DD127">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1</w:t>
                  </w:r>
                </w:p>
              </w:tc>
            </w:tr>
            <w:tr w14:paraId="0786E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225" w:type="pct"/>
                  <w:tcBorders>
                    <w:tl2br w:val="nil"/>
                    <w:tr2bl w:val="nil"/>
                  </w:tcBorders>
                  <w:shd w:val="clear" w:color="auto" w:fill="auto"/>
                  <w:noWrap w:val="0"/>
                  <w:vAlign w:val="center"/>
                </w:tcPr>
                <w:p w14:paraId="317E1CFE">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19</w:t>
                  </w:r>
                </w:p>
              </w:tc>
              <w:tc>
                <w:tcPr>
                  <w:tcW w:w="265" w:type="pct"/>
                  <w:vMerge w:val="continue"/>
                  <w:tcBorders>
                    <w:tl2br w:val="nil"/>
                    <w:tr2bl w:val="nil"/>
                  </w:tcBorders>
                  <w:shd w:val="clear" w:color="auto" w:fill="auto"/>
                  <w:noWrap w:val="0"/>
                  <w:vAlign w:val="center"/>
                </w:tcPr>
                <w:p w14:paraId="63A717A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608" w:type="pct"/>
                  <w:tcBorders>
                    <w:tl2br w:val="nil"/>
                    <w:tr2bl w:val="nil"/>
                  </w:tcBorders>
                  <w:shd w:val="clear" w:color="auto" w:fill="auto"/>
                  <w:noWrap w:val="0"/>
                  <w:vAlign w:val="center"/>
                </w:tcPr>
                <w:p w14:paraId="6F0934E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污水泵</w:t>
                  </w:r>
                </w:p>
              </w:tc>
              <w:tc>
                <w:tcPr>
                  <w:tcW w:w="330" w:type="pct"/>
                  <w:tcBorders>
                    <w:tl2br w:val="nil"/>
                    <w:tr2bl w:val="nil"/>
                  </w:tcBorders>
                  <w:shd w:val="clear" w:color="auto" w:fill="auto"/>
                  <w:noWrap w:val="0"/>
                  <w:vAlign w:val="center"/>
                </w:tcPr>
                <w:p w14:paraId="24D9CD4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color w:val="000000"/>
                      <w:sz w:val="21"/>
                      <w:szCs w:val="21"/>
                      <w:highlight w:val="none"/>
                      <w:lang w:val="en-US" w:eastAsia="zh-CN"/>
                    </w:rPr>
                  </w:pPr>
                  <w:r>
                    <w:rPr>
                      <w:rFonts w:hint="eastAsia" w:ascii="Times New Roman" w:hAnsi="Times New Roman" w:cs="Times New Roman"/>
                      <w:bCs/>
                      <w:color w:val="000000"/>
                      <w:sz w:val="21"/>
                      <w:szCs w:val="21"/>
                      <w:highlight w:val="none"/>
                      <w:lang w:val="en-US" w:eastAsia="zh-CN"/>
                    </w:rPr>
                    <w:t>85</w:t>
                  </w:r>
                </w:p>
              </w:tc>
              <w:tc>
                <w:tcPr>
                  <w:tcW w:w="451" w:type="pct"/>
                  <w:vMerge w:val="continue"/>
                  <w:tcBorders>
                    <w:tl2br w:val="nil"/>
                    <w:tr2bl w:val="nil"/>
                  </w:tcBorders>
                  <w:shd w:val="clear" w:color="auto" w:fill="auto"/>
                  <w:noWrap w:val="0"/>
                  <w:vAlign w:val="center"/>
                </w:tcPr>
                <w:p w14:paraId="596F599B">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289" w:type="pct"/>
                  <w:tcBorders>
                    <w:tl2br w:val="nil"/>
                    <w:tr2bl w:val="nil"/>
                  </w:tcBorders>
                  <w:shd w:val="clear" w:color="auto" w:fill="auto"/>
                  <w:noWrap w:val="0"/>
                  <w:vAlign w:val="center"/>
                </w:tcPr>
                <w:p w14:paraId="4C85F9CB">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50</w:t>
                  </w:r>
                </w:p>
              </w:tc>
              <w:tc>
                <w:tcPr>
                  <w:tcW w:w="249" w:type="pct"/>
                  <w:tcBorders>
                    <w:tl2br w:val="nil"/>
                    <w:tr2bl w:val="nil"/>
                  </w:tcBorders>
                  <w:shd w:val="clear" w:color="auto" w:fill="auto"/>
                  <w:noWrap w:val="0"/>
                  <w:vAlign w:val="center"/>
                </w:tcPr>
                <w:p w14:paraId="54E7389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w:t>
                  </w:r>
                </w:p>
              </w:tc>
              <w:tc>
                <w:tcPr>
                  <w:tcW w:w="276" w:type="pct"/>
                  <w:tcBorders>
                    <w:tl2br w:val="nil"/>
                    <w:tr2bl w:val="nil"/>
                  </w:tcBorders>
                  <w:shd w:val="clear" w:color="auto" w:fill="auto"/>
                  <w:noWrap w:val="0"/>
                  <w:vAlign w:val="center"/>
                </w:tcPr>
                <w:p w14:paraId="2C8FFFBC">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w:t>
                  </w:r>
                </w:p>
              </w:tc>
              <w:tc>
                <w:tcPr>
                  <w:tcW w:w="381" w:type="pct"/>
                  <w:tcBorders>
                    <w:tl2br w:val="nil"/>
                    <w:tr2bl w:val="nil"/>
                  </w:tcBorders>
                  <w:shd w:val="clear" w:color="auto" w:fill="auto"/>
                  <w:noWrap w:val="0"/>
                  <w:vAlign w:val="center"/>
                </w:tcPr>
                <w:p w14:paraId="24CCECA2">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昼间</w:t>
                  </w:r>
                </w:p>
              </w:tc>
              <w:tc>
                <w:tcPr>
                  <w:tcW w:w="381" w:type="pct"/>
                  <w:tcBorders>
                    <w:tl2br w:val="nil"/>
                    <w:tr2bl w:val="nil"/>
                  </w:tcBorders>
                  <w:shd w:val="clear" w:color="auto" w:fill="auto"/>
                  <w:noWrap w:val="0"/>
                  <w:vAlign w:val="center"/>
                </w:tcPr>
                <w:p w14:paraId="350BA0F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w:t>
                  </w:r>
                </w:p>
              </w:tc>
              <w:tc>
                <w:tcPr>
                  <w:tcW w:w="381" w:type="pct"/>
                  <w:tcBorders>
                    <w:tl2br w:val="nil"/>
                    <w:tr2bl w:val="nil"/>
                  </w:tcBorders>
                  <w:shd w:val="clear" w:color="auto" w:fill="auto"/>
                  <w:noWrap w:val="0"/>
                  <w:vAlign w:val="center"/>
                </w:tcPr>
                <w:p w14:paraId="1D7B605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 xml:space="preserve">62                                                 </w:t>
                  </w:r>
                </w:p>
              </w:tc>
              <w:tc>
                <w:tcPr>
                  <w:tcW w:w="382" w:type="pct"/>
                  <w:tcBorders>
                    <w:tl2br w:val="nil"/>
                    <w:tr2bl w:val="nil"/>
                  </w:tcBorders>
                  <w:shd w:val="clear" w:color="auto" w:fill="auto"/>
                  <w:noWrap w:val="0"/>
                  <w:vAlign w:val="center"/>
                </w:tcPr>
                <w:p w14:paraId="25D8F98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000000"/>
                      <w:sz w:val="21"/>
                      <w:szCs w:val="21"/>
                      <w:highlight w:val="none"/>
                      <w:lang w:val="en-US" w:eastAsia="zh-CN"/>
                    </w:rPr>
                  </w:pPr>
                  <w:r>
                    <w:rPr>
                      <w:rFonts w:hint="default" w:ascii="Times New Roman" w:hAnsi="Times New Roman" w:cs="Times New Roman"/>
                      <w:snapToGrid w:val="0"/>
                      <w:color w:val="000000"/>
                      <w:sz w:val="21"/>
                      <w:szCs w:val="21"/>
                      <w:highlight w:val="none"/>
                      <w:lang w:val="en-US" w:eastAsia="zh-CN"/>
                    </w:rPr>
                    <w:t>15</w:t>
                  </w:r>
                </w:p>
              </w:tc>
              <w:tc>
                <w:tcPr>
                  <w:tcW w:w="382" w:type="pct"/>
                  <w:tcBorders>
                    <w:tl2br w:val="nil"/>
                    <w:tr2bl w:val="nil"/>
                  </w:tcBorders>
                  <w:shd w:val="clear" w:color="auto" w:fill="auto"/>
                  <w:noWrap w:val="0"/>
                  <w:vAlign w:val="center"/>
                </w:tcPr>
                <w:p w14:paraId="1A768B5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47</w:t>
                  </w:r>
                </w:p>
              </w:tc>
              <w:tc>
                <w:tcPr>
                  <w:tcW w:w="393" w:type="pct"/>
                  <w:tcBorders>
                    <w:tl2br w:val="nil"/>
                    <w:tr2bl w:val="nil"/>
                  </w:tcBorders>
                  <w:shd w:val="clear" w:color="auto" w:fill="auto"/>
                  <w:noWrap w:val="0"/>
                  <w:vAlign w:val="center"/>
                </w:tcPr>
                <w:p w14:paraId="175F161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1</w:t>
                  </w:r>
                </w:p>
              </w:tc>
            </w:tr>
            <w:tr w14:paraId="0265E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25" w:type="pct"/>
                  <w:tcBorders>
                    <w:tl2br w:val="nil"/>
                    <w:tr2bl w:val="nil"/>
                  </w:tcBorders>
                  <w:shd w:val="clear" w:color="auto" w:fill="auto"/>
                  <w:noWrap w:val="0"/>
                  <w:vAlign w:val="center"/>
                </w:tcPr>
                <w:p w14:paraId="1BFAB5A8">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20</w:t>
                  </w:r>
                </w:p>
              </w:tc>
              <w:tc>
                <w:tcPr>
                  <w:tcW w:w="265" w:type="pct"/>
                  <w:vMerge w:val="continue"/>
                  <w:tcBorders>
                    <w:tl2br w:val="nil"/>
                    <w:tr2bl w:val="nil"/>
                  </w:tcBorders>
                  <w:shd w:val="clear" w:color="auto" w:fill="auto"/>
                  <w:noWrap w:val="0"/>
                  <w:vAlign w:val="center"/>
                </w:tcPr>
                <w:p w14:paraId="025D6F24">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608" w:type="pct"/>
                  <w:tcBorders>
                    <w:tl2br w:val="nil"/>
                    <w:tr2bl w:val="nil"/>
                  </w:tcBorders>
                  <w:shd w:val="clear" w:color="auto" w:fill="auto"/>
                  <w:noWrap w:val="0"/>
                  <w:vAlign w:val="center"/>
                </w:tcPr>
                <w:p w14:paraId="74023D0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sz w:val="21"/>
                      <w:highlight w:val="none"/>
                      <w:lang w:val="en-US" w:eastAsia="zh-CN"/>
                    </w:rPr>
                  </w:pPr>
                  <w:r>
                    <w:rPr>
                      <w:rFonts w:hint="eastAsia" w:ascii="Times New Roman" w:hAnsi="Times New Roman" w:cs="Times New Roman"/>
                      <w:color w:val="000000"/>
                      <w:sz w:val="21"/>
                      <w:highlight w:val="none"/>
                      <w:lang w:val="en-US" w:eastAsia="zh-CN"/>
                    </w:rPr>
                    <w:t>风机（环保设备）</w:t>
                  </w:r>
                </w:p>
              </w:tc>
              <w:tc>
                <w:tcPr>
                  <w:tcW w:w="330" w:type="pct"/>
                  <w:tcBorders>
                    <w:tl2br w:val="nil"/>
                    <w:tr2bl w:val="nil"/>
                  </w:tcBorders>
                  <w:shd w:val="clear" w:color="auto" w:fill="auto"/>
                  <w:noWrap w:val="0"/>
                  <w:vAlign w:val="center"/>
                </w:tcPr>
                <w:p w14:paraId="5964E44A">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Cs/>
                      <w:color w:val="000000"/>
                      <w:sz w:val="21"/>
                      <w:szCs w:val="21"/>
                      <w:highlight w:val="none"/>
                      <w:lang w:val="en-US" w:eastAsia="zh-CN"/>
                    </w:rPr>
                  </w:pPr>
                  <w:r>
                    <w:rPr>
                      <w:rFonts w:hint="eastAsia" w:ascii="Times New Roman" w:hAnsi="Times New Roman" w:cs="Times New Roman"/>
                      <w:bCs/>
                      <w:color w:val="000000"/>
                      <w:sz w:val="21"/>
                      <w:szCs w:val="21"/>
                      <w:highlight w:val="none"/>
                      <w:lang w:val="en-US" w:eastAsia="zh-CN"/>
                    </w:rPr>
                    <w:t>90</w:t>
                  </w:r>
                </w:p>
              </w:tc>
              <w:tc>
                <w:tcPr>
                  <w:tcW w:w="451" w:type="pct"/>
                  <w:vMerge w:val="continue"/>
                  <w:tcBorders>
                    <w:tl2br w:val="nil"/>
                    <w:tr2bl w:val="nil"/>
                  </w:tcBorders>
                  <w:shd w:val="clear" w:color="auto" w:fill="auto"/>
                  <w:noWrap w:val="0"/>
                  <w:vAlign w:val="center"/>
                </w:tcPr>
                <w:p w14:paraId="3BD79C0C">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sz w:val="21"/>
                      <w:szCs w:val="21"/>
                      <w:highlight w:val="none"/>
                    </w:rPr>
                  </w:pPr>
                </w:p>
              </w:tc>
              <w:tc>
                <w:tcPr>
                  <w:tcW w:w="289" w:type="pct"/>
                  <w:tcBorders>
                    <w:tl2br w:val="nil"/>
                    <w:tr2bl w:val="nil"/>
                  </w:tcBorders>
                  <w:shd w:val="clear" w:color="auto" w:fill="auto"/>
                  <w:noWrap w:val="0"/>
                  <w:vAlign w:val="center"/>
                </w:tcPr>
                <w:p w14:paraId="5873A0B0">
                  <w:pPr>
                    <w:pStyle w:val="143"/>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kern w:val="0"/>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49</w:t>
                  </w:r>
                </w:p>
              </w:tc>
              <w:tc>
                <w:tcPr>
                  <w:tcW w:w="249" w:type="pct"/>
                  <w:tcBorders>
                    <w:tl2br w:val="nil"/>
                    <w:tr2bl w:val="nil"/>
                  </w:tcBorders>
                  <w:shd w:val="clear" w:color="auto" w:fill="auto"/>
                  <w:noWrap w:val="0"/>
                  <w:vAlign w:val="center"/>
                </w:tcPr>
                <w:p w14:paraId="59670B3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4</w:t>
                  </w:r>
                </w:p>
              </w:tc>
              <w:tc>
                <w:tcPr>
                  <w:tcW w:w="276" w:type="pct"/>
                  <w:tcBorders>
                    <w:tl2br w:val="nil"/>
                    <w:tr2bl w:val="nil"/>
                  </w:tcBorders>
                  <w:shd w:val="clear" w:color="auto" w:fill="auto"/>
                  <w:noWrap w:val="0"/>
                  <w:vAlign w:val="center"/>
                </w:tcPr>
                <w:p w14:paraId="6C1D9AE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000000"/>
                      <w:kern w:val="2"/>
                      <w:sz w:val="21"/>
                      <w:szCs w:val="21"/>
                      <w:highlight w:val="none"/>
                      <w:lang w:val="en-US" w:eastAsia="zh-CN" w:bidi="ar-SA"/>
                    </w:rPr>
                  </w:pPr>
                  <w:r>
                    <w:rPr>
                      <w:rFonts w:hint="eastAsia" w:ascii="Times New Roman" w:hAnsi="Times New Roman" w:cs="Times New Roman"/>
                      <w:color w:val="000000"/>
                      <w:sz w:val="21"/>
                      <w:szCs w:val="21"/>
                      <w:highlight w:val="none"/>
                      <w:lang w:val="en-US" w:eastAsia="zh-CN"/>
                    </w:rPr>
                    <w:t>1</w:t>
                  </w:r>
                </w:p>
              </w:tc>
              <w:tc>
                <w:tcPr>
                  <w:tcW w:w="381" w:type="pct"/>
                  <w:tcBorders>
                    <w:tl2br w:val="nil"/>
                    <w:tr2bl w:val="nil"/>
                  </w:tcBorders>
                  <w:shd w:val="clear" w:color="auto" w:fill="auto"/>
                  <w:noWrap w:val="0"/>
                  <w:vAlign w:val="center"/>
                </w:tcPr>
                <w:p w14:paraId="006D3E19">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昼间</w:t>
                  </w:r>
                </w:p>
              </w:tc>
              <w:tc>
                <w:tcPr>
                  <w:tcW w:w="381" w:type="pct"/>
                  <w:tcBorders>
                    <w:tl2br w:val="nil"/>
                    <w:tr2bl w:val="nil"/>
                  </w:tcBorders>
                  <w:shd w:val="clear" w:color="auto" w:fill="auto"/>
                  <w:noWrap w:val="0"/>
                  <w:vAlign w:val="center"/>
                </w:tcPr>
                <w:p w14:paraId="11B67D95">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w:t>
                  </w:r>
                </w:p>
              </w:tc>
              <w:tc>
                <w:tcPr>
                  <w:tcW w:w="381" w:type="pct"/>
                  <w:tcBorders>
                    <w:tl2br w:val="nil"/>
                    <w:tr2bl w:val="nil"/>
                  </w:tcBorders>
                  <w:shd w:val="clear" w:color="auto" w:fill="auto"/>
                  <w:noWrap w:val="0"/>
                  <w:vAlign w:val="center"/>
                </w:tcPr>
                <w:p w14:paraId="5AFD0A13">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85</w:t>
                  </w:r>
                </w:p>
              </w:tc>
              <w:tc>
                <w:tcPr>
                  <w:tcW w:w="382" w:type="pct"/>
                  <w:tcBorders>
                    <w:tl2br w:val="nil"/>
                    <w:tr2bl w:val="nil"/>
                  </w:tcBorders>
                  <w:shd w:val="clear" w:color="auto" w:fill="auto"/>
                  <w:noWrap w:val="0"/>
                  <w:vAlign w:val="center"/>
                </w:tcPr>
                <w:p w14:paraId="65193B4B">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000000"/>
                      <w:sz w:val="21"/>
                      <w:szCs w:val="21"/>
                      <w:highlight w:val="none"/>
                      <w:lang w:val="en-US" w:eastAsia="zh-CN"/>
                    </w:rPr>
                  </w:pPr>
                  <w:r>
                    <w:rPr>
                      <w:rFonts w:hint="eastAsia" w:ascii="Times New Roman" w:hAnsi="Times New Roman" w:cs="Times New Roman"/>
                      <w:snapToGrid w:val="0"/>
                      <w:color w:val="000000"/>
                      <w:sz w:val="21"/>
                      <w:szCs w:val="21"/>
                      <w:highlight w:val="none"/>
                      <w:lang w:val="en-US" w:eastAsia="zh-CN"/>
                    </w:rPr>
                    <w:t>20</w:t>
                  </w:r>
                </w:p>
              </w:tc>
              <w:tc>
                <w:tcPr>
                  <w:tcW w:w="382" w:type="pct"/>
                  <w:tcBorders>
                    <w:tl2br w:val="nil"/>
                    <w:tr2bl w:val="nil"/>
                  </w:tcBorders>
                  <w:shd w:val="clear" w:color="auto" w:fill="auto"/>
                  <w:noWrap w:val="0"/>
                  <w:vAlign w:val="center"/>
                </w:tcPr>
                <w:p w14:paraId="15315FE1">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65</w:t>
                  </w:r>
                </w:p>
              </w:tc>
              <w:tc>
                <w:tcPr>
                  <w:tcW w:w="393" w:type="pct"/>
                  <w:tcBorders>
                    <w:tl2br w:val="nil"/>
                    <w:tr2bl w:val="nil"/>
                  </w:tcBorders>
                  <w:shd w:val="clear" w:color="auto" w:fill="auto"/>
                  <w:noWrap w:val="0"/>
                  <w:vAlign w:val="center"/>
                </w:tcPr>
                <w:p w14:paraId="21F205AD">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w:t>
                  </w:r>
                </w:p>
              </w:tc>
            </w:tr>
          </w:tbl>
          <w:p w14:paraId="2D7A5221">
            <w:pPr>
              <w:widowControl/>
              <w:shd w:val="clear" w:color="auto" w:fill="auto"/>
              <w:spacing w:line="360" w:lineRule="auto"/>
              <w:ind w:firstLine="422" w:firstLineChars="200"/>
              <w:jc w:val="both"/>
              <w:rPr>
                <w:rFonts w:hint="eastAsia" w:ascii="Times New Roman" w:hAnsi="Times New Roman" w:eastAsia="宋体" w:cs="Times New Roman"/>
                <w:b/>
                <w:color w:val="000000"/>
                <w:sz w:val="21"/>
                <w:szCs w:val="21"/>
                <w:highlight w:val="none"/>
              </w:rPr>
            </w:pPr>
            <w:r>
              <w:rPr>
                <w:rFonts w:hint="eastAsia" w:cs="Times New Roman"/>
                <w:b/>
                <w:color w:val="000000"/>
                <w:sz w:val="21"/>
                <w:szCs w:val="21"/>
                <w:highlight w:val="none"/>
                <w:lang w:eastAsia="zh-CN"/>
              </w:rPr>
              <w:t>2.</w:t>
            </w:r>
            <w:r>
              <w:rPr>
                <w:rFonts w:hint="eastAsia" w:ascii="Times New Roman" w:hAnsi="Times New Roman" w:eastAsia="宋体" w:cs="Times New Roman"/>
                <w:b/>
                <w:color w:val="000000"/>
                <w:sz w:val="21"/>
                <w:szCs w:val="21"/>
                <w:highlight w:val="none"/>
              </w:rPr>
              <w:t>噪声环境影响分析</w:t>
            </w:r>
          </w:p>
          <w:p w14:paraId="3F23C83E">
            <w:pPr>
              <w:keepNext w:val="0"/>
              <w:keepLines w:val="0"/>
              <w:pageBreakBefore w:val="0"/>
              <w:shd w:val="clear" w:color="auto" w:fill="auto"/>
              <w:kinsoku/>
              <w:wordWrap/>
              <w:overflowPunct/>
              <w:topLinePunct w:val="0"/>
              <w:bidi w:val="0"/>
              <w:adjustRightInd w:val="0"/>
              <w:snapToGrid w:val="0"/>
              <w:spacing w:beforeAutospacing="0" w:afterAutospacing="0" w:line="360" w:lineRule="auto"/>
              <w:ind w:firstLine="420" w:firstLineChars="200"/>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lang w:eastAsia="zh-CN"/>
              </w:rPr>
              <w:t>（1）</w:t>
            </w:r>
            <w:r>
              <w:rPr>
                <w:rFonts w:hint="default" w:ascii="Times New Roman" w:hAnsi="Times New Roman" w:cs="Times New Roman"/>
                <w:color w:val="000000"/>
                <w:sz w:val="21"/>
                <w:szCs w:val="21"/>
                <w:highlight w:val="none"/>
              </w:rPr>
              <w:t>预测方案</w:t>
            </w:r>
          </w:p>
          <w:p w14:paraId="41073924">
            <w:pPr>
              <w:keepNext w:val="0"/>
              <w:keepLines w:val="0"/>
              <w:pageBreakBefore w:val="0"/>
              <w:shd w:val="clear" w:color="auto" w:fill="auto"/>
              <w:kinsoku/>
              <w:wordWrap/>
              <w:overflowPunct/>
              <w:topLinePunct w:val="0"/>
              <w:bidi w:val="0"/>
              <w:adjustRightInd w:val="0"/>
              <w:snapToGrid w:val="0"/>
              <w:spacing w:beforeAutospacing="0" w:afterAutospacing="0" w:line="360" w:lineRule="auto"/>
              <w:ind w:firstLine="420" w:firstLineChars="200"/>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本次评价对厂界</w:t>
            </w:r>
            <w:r>
              <w:rPr>
                <w:rFonts w:hint="eastAsia" w:ascii="Times New Roman" w:hAnsi="Times New Roman" w:cs="Times New Roman"/>
                <w:color w:val="000000"/>
                <w:sz w:val="21"/>
                <w:szCs w:val="21"/>
                <w:highlight w:val="none"/>
                <w:lang w:val="en-US" w:eastAsia="zh-CN"/>
              </w:rPr>
              <w:t>以及敏感点</w:t>
            </w:r>
            <w:r>
              <w:rPr>
                <w:rFonts w:hint="default" w:ascii="Times New Roman" w:hAnsi="Times New Roman" w:cs="Times New Roman"/>
                <w:color w:val="000000"/>
                <w:sz w:val="21"/>
                <w:szCs w:val="21"/>
                <w:highlight w:val="none"/>
              </w:rPr>
              <w:t>昼间达标性进行预测分析。</w:t>
            </w:r>
          </w:p>
          <w:p w14:paraId="60BF1491">
            <w:pPr>
              <w:keepNext w:val="0"/>
              <w:keepLines w:val="0"/>
              <w:pageBreakBefore w:val="0"/>
              <w:widowControl/>
              <w:suppressLineNumbers w:val="0"/>
              <w:shd w:val="clear" w:color="auto" w:fill="auto"/>
              <w:kinsoku/>
              <w:wordWrap/>
              <w:overflowPunct/>
              <w:topLinePunct w:val="0"/>
              <w:bidi w:val="0"/>
              <w:adjustRightInd w:val="0"/>
              <w:snapToGrid w:val="0"/>
              <w:spacing w:beforeAutospacing="0" w:afterAutospacing="0" w:line="360" w:lineRule="auto"/>
              <w:ind w:left="0" w:leftChars="0" w:firstLine="420" w:firstLineChars="200"/>
              <w:jc w:val="left"/>
              <w:rPr>
                <w:rFonts w:hint="default" w:ascii="Times New Roman" w:hAnsi="Times New Roman" w:cs="Times New Roman"/>
                <w:color w:val="000000"/>
                <w:sz w:val="21"/>
                <w:szCs w:val="21"/>
                <w:highlight w:val="none"/>
              </w:rPr>
            </w:pPr>
            <w:r>
              <w:rPr>
                <w:rFonts w:hint="default" w:ascii="Times New Roman" w:hAnsi="Times New Roman" w:eastAsia="宋体" w:cs="Times New Roman"/>
                <w:color w:val="000000"/>
                <w:kern w:val="0"/>
                <w:sz w:val="21"/>
                <w:szCs w:val="21"/>
                <w:highlight w:val="none"/>
                <w:lang w:val="en-US" w:eastAsia="zh-CN" w:bidi="zh-HK"/>
              </w:rPr>
              <w:t>根据《环境影响评价技术导则声环境》（HJ2.4-2021）中规定，在不能取得声源倍频带声功率级或倍频带声压级，只能获得A声功率级或某点的A声级时，可用A声功率级或某点的A声级计算。</w:t>
            </w:r>
          </w:p>
          <w:p w14:paraId="1DE336FD">
            <w:pPr>
              <w:keepNext w:val="0"/>
              <w:keepLines w:val="0"/>
              <w:pageBreakBefore w:val="0"/>
              <w:shd w:val="clear" w:color="auto" w:fill="auto"/>
              <w:kinsoku/>
              <w:wordWrap/>
              <w:overflowPunct/>
              <w:topLinePunct w:val="0"/>
              <w:bidi w:val="0"/>
              <w:adjustRightInd w:val="0"/>
              <w:snapToGrid w:val="0"/>
              <w:spacing w:beforeAutospacing="0" w:afterAutospacing="0" w:line="360" w:lineRule="auto"/>
              <w:ind w:firstLine="420" w:firstLineChars="20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eastAsia="zh-CN"/>
              </w:rPr>
              <w:t>（2）</w:t>
            </w:r>
            <w:r>
              <w:rPr>
                <w:rFonts w:hint="default" w:ascii="Times New Roman" w:hAnsi="Times New Roman" w:cs="Times New Roman"/>
                <w:color w:val="000000"/>
                <w:sz w:val="21"/>
                <w:szCs w:val="21"/>
                <w:highlight w:val="none"/>
              </w:rPr>
              <w:t>预测</w:t>
            </w:r>
            <w:r>
              <w:rPr>
                <w:rFonts w:hint="default" w:ascii="Times New Roman" w:hAnsi="Times New Roman" w:cs="Times New Roman"/>
                <w:color w:val="000000"/>
                <w:sz w:val="21"/>
                <w:szCs w:val="21"/>
                <w:highlight w:val="none"/>
                <w:lang w:val="en-US" w:eastAsia="zh-CN"/>
              </w:rPr>
              <w:t>条件假设</w:t>
            </w:r>
          </w:p>
          <w:p w14:paraId="1C6AE5A6">
            <w:pPr>
              <w:keepNext w:val="0"/>
              <w:keepLines w:val="0"/>
              <w:pageBreakBefore w:val="0"/>
              <w:widowControl/>
              <w:suppressLineNumbers w:val="0"/>
              <w:shd w:val="clear" w:color="auto" w:fill="auto"/>
              <w:kinsoku/>
              <w:wordWrap/>
              <w:overflowPunct/>
              <w:topLinePunct w:val="0"/>
              <w:bidi w:val="0"/>
              <w:adjustRightInd w:val="0"/>
              <w:snapToGrid w:val="0"/>
              <w:spacing w:beforeAutospacing="0" w:afterAutospacing="0" w:line="360" w:lineRule="auto"/>
              <w:ind w:firstLine="420" w:firstLineChars="200"/>
              <w:jc w:val="left"/>
              <w:rPr>
                <w:rFonts w:hint="default" w:ascii="Times New Roman" w:hAnsi="Times New Roman" w:cs="Times New Roman"/>
                <w:color w:val="000000"/>
                <w:sz w:val="21"/>
                <w:szCs w:val="21"/>
                <w:highlight w:val="none"/>
              </w:rPr>
            </w:pPr>
            <w:r>
              <w:rPr>
                <w:rFonts w:hint="default" w:ascii="Times New Roman" w:hAnsi="Times New Roman" w:eastAsia="宋体" w:cs="Times New Roman"/>
                <w:color w:val="000000"/>
                <w:kern w:val="0"/>
                <w:sz w:val="21"/>
                <w:szCs w:val="21"/>
                <w:highlight w:val="none"/>
                <w:lang w:val="en-US" w:eastAsia="zh-CN" w:bidi="zh-HK"/>
              </w:rPr>
              <w:t>1）所有</w:t>
            </w:r>
            <w:r>
              <w:rPr>
                <w:rFonts w:hint="eastAsia" w:ascii="Times New Roman" w:hAnsi="Times New Roman" w:eastAsia="宋体" w:cs="Times New Roman"/>
                <w:color w:val="000000"/>
                <w:kern w:val="0"/>
                <w:sz w:val="21"/>
                <w:szCs w:val="21"/>
                <w:highlight w:val="none"/>
                <w:lang w:val="en-US" w:eastAsia="zh-CN" w:bidi="zh-HK"/>
              </w:rPr>
              <w:t>产生噪声的</w:t>
            </w:r>
            <w:r>
              <w:rPr>
                <w:rFonts w:hint="default" w:ascii="Times New Roman" w:hAnsi="Times New Roman" w:eastAsia="宋体" w:cs="Times New Roman"/>
                <w:color w:val="000000"/>
                <w:kern w:val="0"/>
                <w:sz w:val="21"/>
                <w:szCs w:val="21"/>
                <w:highlight w:val="none"/>
                <w:lang w:val="en-US" w:eastAsia="zh-CN" w:bidi="zh-HK"/>
              </w:rPr>
              <w:t>设备均在正常工况条件下运行；</w:t>
            </w:r>
          </w:p>
          <w:p w14:paraId="27E5C3CA">
            <w:pPr>
              <w:keepNext w:val="0"/>
              <w:keepLines w:val="0"/>
              <w:pageBreakBefore w:val="0"/>
              <w:widowControl/>
              <w:suppressLineNumbers w:val="0"/>
              <w:shd w:val="clear" w:color="auto" w:fill="auto"/>
              <w:kinsoku/>
              <w:wordWrap/>
              <w:overflowPunct/>
              <w:topLinePunct w:val="0"/>
              <w:bidi w:val="0"/>
              <w:adjustRightInd w:val="0"/>
              <w:snapToGrid w:val="0"/>
              <w:spacing w:beforeAutospacing="0" w:afterAutospacing="0" w:line="360" w:lineRule="auto"/>
              <w:ind w:firstLine="420" w:firstLineChars="200"/>
              <w:jc w:val="left"/>
              <w:rPr>
                <w:rFonts w:hint="default" w:ascii="Times New Roman" w:hAnsi="Times New Roman" w:cs="Times New Roman"/>
                <w:color w:val="000000"/>
                <w:sz w:val="21"/>
                <w:szCs w:val="21"/>
                <w:highlight w:val="none"/>
              </w:rPr>
            </w:pPr>
            <w:r>
              <w:rPr>
                <w:rFonts w:hint="default" w:ascii="Times New Roman" w:hAnsi="Times New Roman" w:eastAsia="宋体" w:cs="Times New Roman"/>
                <w:color w:val="000000"/>
                <w:kern w:val="0"/>
                <w:sz w:val="21"/>
                <w:szCs w:val="21"/>
                <w:highlight w:val="none"/>
                <w:lang w:val="en-US" w:eastAsia="zh-CN" w:bidi="zh-HK"/>
              </w:rPr>
              <w:t>2）考虑室内声源</w:t>
            </w:r>
            <w:r>
              <w:rPr>
                <w:rFonts w:hint="eastAsia" w:ascii="Times New Roman" w:hAnsi="Times New Roman" w:eastAsia="宋体" w:cs="Times New Roman"/>
                <w:color w:val="000000"/>
                <w:kern w:val="0"/>
                <w:sz w:val="21"/>
                <w:szCs w:val="21"/>
                <w:highlight w:val="none"/>
                <w:lang w:val="en-US" w:eastAsia="zh-CN" w:bidi="zh-HK"/>
              </w:rPr>
              <w:t>对</w:t>
            </w:r>
            <w:r>
              <w:rPr>
                <w:rFonts w:hint="default" w:ascii="Times New Roman" w:hAnsi="Times New Roman" w:eastAsia="宋体" w:cs="Times New Roman"/>
                <w:color w:val="000000"/>
                <w:kern w:val="0"/>
                <w:sz w:val="21"/>
                <w:szCs w:val="21"/>
                <w:highlight w:val="none"/>
                <w:lang w:val="en-US" w:eastAsia="zh-CN" w:bidi="zh-HK"/>
              </w:rPr>
              <w:t>所在厂房围护结构的隔声、吸声作用；</w:t>
            </w:r>
          </w:p>
          <w:p w14:paraId="7EF638D9">
            <w:pPr>
              <w:keepNext w:val="0"/>
              <w:keepLines w:val="0"/>
              <w:pageBreakBefore w:val="0"/>
              <w:widowControl/>
              <w:suppressLineNumbers w:val="0"/>
              <w:shd w:val="clear" w:color="auto" w:fill="auto"/>
              <w:kinsoku/>
              <w:wordWrap/>
              <w:overflowPunct/>
              <w:topLinePunct w:val="0"/>
              <w:bidi w:val="0"/>
              <w:adjustRightInd w:val="0"/>
              <w:snapToGrid w:val="0"/>
              <w:spacing w:beforeAutospacing="0" w:afterAutospacing="0" w:line="360" w:lineRule="auto"/>
              <w:ind w:firstLine="420" w:firstLineChars="200"/>
              <w:jc w:val="left"/>
              <w:rPr>
                <w:rFonts w:hint="default" w:ascii="Times New Roman" w:hAnsi="Times New Roman" w:cs="Times New Roman"/>
                <w:color w:val="000000"/>
                <w:sz w:val="21"/>
                <w:szCs w:val="21"/>
                <w:highlight w:val="none"/>
              </w:rPr>
            </w:pPr>
            <w:r>
              <w:rPr>
                <w:rFonts w:hint="default" w:ascii="Times New Roman" w:hAnsi="Times New Roman" w:eastAsia="宋体" w:cs="Times New Roman"/>
                <w:color w:val="000000"/>
                <w:kern w:val="0"/>
                <w:sz w:val="21"/>
                <w:szCs w:val="21"/>
                <w:highlight w:val="none"/>
                <w:lang w:val="en-US" w:eastAsia="zh-CN" w:bidi="zh-HK"/>
              </w:rPr>
              <w:t>3）衰减仅考虑几何发散衰减，屏障衰减。</w:t>
            </w:r>
          </w:p>
          <w:p w14:paraId="383D6376">
            <w:pPr>
              <w:keepNext w:val="0"/>
              <w:keepLines w:val="0"/>
              <w:pageBreakBefore w:val="0"/>
              <w:shd w:val="clear" w:color="auto" w:fill="auto"/>
              <w:kinsoku/>
              <w:wordWrap/>
              <w:overflowPunct/>
              <w:topLinePunct w:val="0"/>
              <w:bidi w:val="0"/>
              <w:adjustRightInd w:val="0"/>
              <w:snapToGrid w:val="0"/>
              <w:spacing w:beforeAutospacing="0" w:afterAutospacing="0" w:line="360" w:lineRule="auto"/>
              <w:ind w:firstLine="420" w:firstLineChars="200"/>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eastAsia="zh-CN"/>
              </w:rPr>
              <w:t>（3）</w:t>
            </w:r>
            <w:r>
              <w:rPr>
                <w:rFonts w:hint="default" w:ascii="Times New Roman" w:hAnsi="Times New Roman" w:cs="Times New Roman"/>
                <w:color w:val="000000"/>
                <w:sz w:val="21"/>
                <w:szCs w:val="21"/>
                <w:highlight w:val="none"/>
                <w:lang w:val="en-US" w:eastAsia="zh-CN"/>
              </w:rPr>
              <w:t>室内声源</w:t>
            </w:r>
          </w:p>
          <w:p w14:paraId="3C32DC68">
            <w:pPr>
              <w:keepNext w:val="0"/>
              <w:keepLines w:val="0"/>
              <w:pageBreakBefore w:val="0"/>
              <w:widowControl/>
              <w:suppressLineNumbers w:val="0"/>
              <w:shd w:val="clear" w:color="auto" w:fill="auto"/>
              <w:kinsoku/>
              <w:wordWrap/>
              <w:overflowPunct/>
              <w:topLinePunct w:val="0"/>
              <w:bidi w:val="0"/>
              <w:adjustRightInd w:val="0"/>
              <w:snapToGrid w:val="0"/>
              <w:spacing w:beforeAutospacing="0" w:afterAutospacing="0" w:line="360" w:lineRule="auto"/>
              <w:ind w:firstLine="420" w:firstLineChars="200"/>
              <w:jc w:val="both"/>
              <w:rPr>
                <w:rFonts w:hint="default" w:ascii="Times New Roman" w:hAnsi="Times New Roman" w:eastAsia="宋体" w:cs="Times New Roman"/>
                <w:color w:val="000000"/>
                <w:kern w:val="0"/>
                <w:sz w:val="21"/>
                <w:szCs w:val="21"/>
                <w:highlight w:val="none"/>
                <w:lang w:val="en-US" w:eastAsia="zh-CN" w:bidi="zh-HK"/>
              </w:rPr>
            </w:pPr>
            <w:r>
              <w:rPr>
                <w:rFonts w:hint="default" w:ascii="Times New Roman" w:hAnsi="Times New Roman" w:eastAsia="宋体" w:cs="Times New Roman"/>
                <w:color w:val="000000"/>
                <w:kern w:val="0"/>
                <w:sz w:val="21"/>
                <w:szCs w:val="21"/>
                <w:highlight w:val="none"/>
                <w:lang w:val="en-US" w:eastAsia="zh-CN" w:bidi="zh-HK"/>
              </w:rPr>
              <w:t>①如果已知声源的声压级</w:t>
            </w:r>
            <w:r>
              <w:rPr>
                <w:rFonts w:hint="default" w:ascii="Times New Roman" w:hAnsi="Times New Roman" w:eastAsia="宋体" w:cs="Times New Roman"/>
                <w:i/>
                <w:iCs/>
                <w:color w:val="000000"/>
                <w:kern w:val="0"/>
                <w:sz w:val="21"/>
                <w:szCs w:val="21"/>
                <w:highlight w:val="none"/>
              </w:rPr>
              <w:t>L</w:t>
            </w:r>
            <w:r>
              <w:rPr>
                <w:rFonts w:hint="default" w:ascii="Times New Roman" w:hAnsi="Times New Roman" w:cs="Times New Roman"/>
                <w:i/>
                <w:iCs/>
                <w:color w:val="000000"/>
                <w:kern w:val="0"/>
                <w:sz w:val="21"/>
                <w:szCs w:val="21"/>
                <w:highlight w:val="none"/>
                <w:lang w:eastAsia="zh-CN"/>
              </w:rPr>
              <w:t>（</w:t>
            </w:r>
            <w:r>
              <w:rPr>
                <w:rFonts w:hint="default" w:ascii="Times New Roman" w:hAnsi="Times New Roman" w:cs="Times New Roman"/>
                <w:i/>
                <w:iCs/>
                <w:color w:val="000000"/>
                <w:kern w:val="0"/>
                <w:sz w:val="21"/>
                <w:szCs w:val="21"/>
                <w:highlight w:val="none"/>
                <w:lang w:val="en-US" w:eastAsia="zh-CN"/>
              </w:rPr>
              <w:t>r0</w:t>
            </w:r>
            <w:r>
              <w:rPr>
                <w:rFonts w:hint="default" w:ascii="Times New Roman" w:hAnsi="Times New Roman" w:cs="Times New Roman"/>
                <w:i/>
                <w:iCs/>
                <w:color w:val="000000"/>
                <w:kern w:val="0"/>
                <w:sz w:val="21"/>
                <w:szCs w:val="21"/>
                <w:highlight w:val="none"/>
                <w:lang w:eastAsia="zh-CN"/>
              </w:rPr>
              <w:t>）</w:t>
            </w:r>
            <w:r>
              <w:rPr>
                <w:rFonts w:hint="default" w:ascii="Times New Roman" w:hAnsi="Times New Roman" w:eastAsia="宋体" w:cs="Times New Roman"/>
                <w:color w:val="000000"/>
                <w:kern w:val="0"/>
                <w:sz w:val="21"/>
                <w:szCs w:val="21"/>
                <w:highlight w:val="none"/>
                <w:lang w:val="en-US" w:eastAsia="zh-CN" w:bidi="zh-HK"/>
              </w:rPr>
              <w:t>，且声源位于地面上，则</w:t>
            </w:r>
          </w:p>
          <w:p w14:paraId="022DC70E">
            <w:pPr>
              <w:keepNext w:val="0"/>
              <w:keepLines w:val="0"/>
              <w:pageBreakBefore w:val="0"/>
              <w:widowControl/>
              <w:suppressLineNumbers w:val="0"/>
              <w:shd w:val="clear" w:color="auto" w:fill="auto"/>
              <w:kinsoku/>
              <w:wordWrap/>
              <w:overflowPunct/>
              <w:topLinePunct w:val="0"/>
              <w:bidi w:val="0"/>
              <w:adjustRightInd w:val="0"/>
              <w:snapToGrid w:val="0"/>
              <w:spacing w:beforeAutospacing="0" w:afterAutospacing="0" w:line="360" w:lineRule="auto"/>
              <w:jc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drawing>
                <wp:inline distT="0" distB="0" distL="114300" distR="114300">
                  <wp:extent cx="1895475" cy="306705"/>
                  <wp:effectExtent l="0" t="0" r="9525" b="17145"/>
                  <wp:docPr id="56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 name="图片 6"/>
                          <pic:cNvPicPr>
                            <a:picLocks noChangeAspect="1"/>
                          </pic:cNvPicPr>
                        </pic:nvPicPr>
                        <pic:blipFill>
                          <a:blip r:embed="rId23"/>
                          <a:stretch>
                            <a:fillRect/>
                          </a:stretch>
                        </pic:blipFill>
                        <pic:spPr>
                          <a:xfrm>
                            <a:off x="0" y="0"/>
                            <a:ext cx="1895475" cy="306705"/>
                          </a:xfrm>
                          <a:prstGeom prst="rect">
                            <a:avLst/>
                          </a:prstGeom>
                          <a:noFill/>
                          <a:ln>
                            <a:noFill/>
                          </a:ln>
                        </pic:spPr>
                      </pic:pic>
                    </a:graphicData>
                  </a:graphic>
                </wp:inline>
              </w:drawing>
            </w:r>
          </w:p>
          <w:p w14:paraId="35A9E2A6">
            <w:pPr>
              <w:keepNext w:val="0"/>
              <w:keepLines w:val="0"/>
              <w:pageBreakBefore w:val="0"/>
              <w:widowControl/>
              <w:suppressLineNumbers w:val="0"/>
              <w:shd w:val="clear" w:color="auto" w:fill="auto"/>
              <w:kinsoku/>
              <w:wordWrap/>
              <w:overflowPunct/>
              <w:topLinePunct w:val="0"/>
              <w:bidi w:val="0"/>
              <w:adjustRightInd w:val="0"/>
              <w:snapToGrid w:val="0"/>
              <w:spacing w:beforeAutospacing="0" w:afterAutospacing="0" w:line="360" w:lineRule="auto"/>
              <w:ind w:left="0" w:leftChars="0" w:firstLine="420" w:firstLineChars="200"/>
              <w:jc w:val="left"/>
              <w:rPr>
                <w:rFonts w:hint="default" w:ascii="Times New Roman" w:hAnsi="Times New Roman" w:cs="Times New Roman"/>
                <w:color w:val="000000"/>
                <w:sz w:val="21"/>
                <w:szCs w:val="21"/>
                <w:highlight w:val="none"/>
              </w:rPr>
            </w:pPr>
            <w:r>
              <w:rPr>
                <w:rFonts w:hint="default" w:ascii="Times New Roman" w:hAnsi="Times New Roman" w:eastAsia="宋体" w:cs="Times New Roman"/>
                <w:color w:val="000000"/>
                <w:kern w:val="0"/>
                <w:sz w:val="21"/>
                <w:szCs w:val="21"/>
                <w:highlight w:val="none"/>
                <w:lang w:val="en-US" w:eastAsia="zh-CN" w:bidi="zh-HK"/>
              </w:rPr>
              <w:t xml:space="preserve">②首先计算出某个室内声源靠近围护结构处的声压级： </w:t>
            </w:r>
          </w:p>
          <w:p w14:paraId="4EB81D20">
            <w:pPr>
              <w:keepNext w:val="0"/>
              <w:keepLines w:val="0"/>
              <w:pageBreakBefore w:val="0"/>
              <w:widowControl/>
              <w:suppressLineNumbers w:val="0"/>
              <w:shd w:val="clear" w:color="auto" w:fill="auto"/>
              <w:kinsoku/>
              <w:wordWrap/>
              <w:overflowPunct/>
              <w:topLinePunct w:val="0"/>
              <w:bidi w:val="0"/>
              <w:adjustRightInd w:val="0"/>
              <w:snapToGrid w:val="0"/>
              <w:spacing w:beforeAutospacing="0" w:afterAutospacing="0" w:line="360" w:lineRule="auto"/>
              <w:jc w:val="center"/>
              <w:rPr>
                <w:rFonts w:hint="default" w:ascii="Times New Roman" w:hAnsi="Times New Roman" w:eastAsia="宋体" w:cs="Times New Roman"/>
                <w:color w:val="000000"/>
                <w:kern w:val="0"/>
                <w:sz w:val="21"/>
                <w:szCs w:val="21"/>
                <w:highlight w:val="none"/>
                <w:lang w:val="en-US" w:eastAsia="zh-CN" w:bidi="zh-HK"/>
              </w:rPr>
            </w:pPr>
            <w:r>
              <w:rPr>
                <w:rFonts w:hint="default" w:ascii="Times New Roman" w:hAnsi="Times New Roman" w:cs="Times New Roman"/>
                <w:color w:val="000000"/>
                <w:sz w:val="21"/>
                <w:szCs w:val="21"/>
                <w:highlight w:val="none"/>
              </w:rPr>
              <w:drawing>
                <wp:inline distT="0" distB="0" distL="114300" distR="114300">
                  <wp:extent cx="2265045" cy="463550"/>
                  <wp:effectExtent l="0" t="0" r="1905" b="12700"/>
                  <wp:docPr id="5667"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 name="图片 103"/>
                          <pic:cNvPicPr>
                            <a:picLocks noChangeAspect="1"/>
                          </pic:cNvPicPr>
                        </pic:nvPicPr>
                        <pic:blipFill>
                          <a:blip r:embed="rId24"/>
                          <a:stretch>
                            <a:fillRect/>
                          </a:stretch>
                        </pic:blipFill>
                        <pic:spPr>
                          <a:xfrm>
                            <a:off x="0" y="0"/>
                            <a:ext cx="2265045" cy="463550"/>
                          </a:xfrm>
                          <a:prstGeom prst="rect">
                            <a:avLst/>
                          </a:prstGeom>
                          <a:noFill/>
                          <a:ln>
                            <a:noFill/>
                          </a:ln>
                        </pic:spPr>
                      </pic:pic>
                    </a:graphicData>
                  </a:graphic>
                </wp:inline>
              </w:drawing>
            </w:r>
          </w:p>
          <w:p w14:paraId="343EF3EC">
            <w:pPr>
              <w:keepNext w:val="0"/>
              <w:keepLines w:val="0"/>
              <w:pageBreakBefore w:val="0"/>
              <w:widowControl/>
              <w:suppressLineNumbers w:val="0"/>
              <w:shd w:val="clear" w:color="auto" w:fill="auto"/>
              <w:kinsoku/>
              <w:wordWrap/>
              <w:overflowPunct/>
              <w:topLinePunct w:val="0"/>
              <w:autoSpaceDE w:val="0"/>
              <w:autoSpaceDN w:val="0"/>
              <w:bidi w:val="0"/>
              <w:adjustRightInd w:val="0"/>
              <w:snapToGrid w:val="0"/>
              <w:spacing w:beforeAutospacing="0" w:afterAutospacing="0" w:line="360" w:lineRule="auto"/>
              <w:ind w:left="0" w:right="0" w:firstLine="840" w:firstLineChars="400"/>
              <w:jc w:val="left"/>
              <w:textAlignment w:val="auto"/>
              <w:rPr>
                <w:rFonts w:hint="default" w:ascii="Times New Roman" w:hAnsi="Times New Roman" w:cs="Times New Roman"/>
                <w:color w:val="000000"/>
                <w:sz w:val="21"/>
                <w:szCs w:val="21"/>
                <w:highlight w:val="none"/>
              </w:rPr>
            </w:pPr>
            <w:r>
              <w:rPr>
                <w:rFonts w:hint="default" w:ascii="Times New Roman" w:hAnsi="Times New Roman" w:eastAsia="宋体" w:cs="Times New Roman"/>
                <w:color w:val="000000"/>
                <w:kern w:val="0"/>
                <w:sz w:val="21"/>
                <w:szCs w:val="21"/>
                <w:highlight w:val="none"/>
                <w:lang w:val="en-US" w:eastAsia="zh-CN" w:bidi="zh-HK"/>
              </w:rPr>
              <w:t>式中：</w:t>
            </w:r>
          </w:p>
          <w:p w14:paraId="2B6F07C0">
            <w:pPr>
              <w:keepNext w:val="0"/>
              <w:keepLines w:val="0"/>
              <w:pageBreakBefore w:val="0"/>
              <w:shd w:val="clear" w:color="auto" w:fill="auto"/>
              <w:kinsoku/>
              <w:wordWrap/>
              <w:overflowPunct/>
              <w:topLinePunct w:val="0"/>
              <w:autoSpaceDE w:val="0"/>
              <w:autoSpaceDN w:val="0"/>
              <w:bidi w:val="0"/>
              <w:adjustRightInd w:val="0"/>
              <w:snapToGrid w:val="0"/>
              <w:spacing w:beforeAutospacing="0" w:afterAutospacing="0" w:line="360" w:lineRule="auto"/>
              <w:ind w:left="0" w:right="0" w:firstLine="840" w:firstLineChars="400"/>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Times New Roman" w:cs="Times New Roman"/>
                <w:i/>
                <w:iCs/>
                <w:color w:val="000000"/>
                <w:sz w:val="21"/>
                <w:szCs w:val="21"/>
                <w:highlight w:val="none"/>
              </w:rPr>
              <w:t>L</w:t>
            </w:r>
            <w:r>
              <w:rPr>
                <w:rFonts w:hint="default" w:ascii="Times New Roman" w:hAnsi="Times New Roman" w:eastAsia="Times New Roman" w:cs="Times New Roman"/>
                <w:i/>
                <w:iCs/>
                <w:color w:val="000000"/>
                <w:position w:val="-6"/>
                <w:sz w:val="21"/>
                <w:szCs w:val="21"/>
                <w:highlight w:val="none"/>
              </w:rPr>
              <w:t>p</w:t>
            </w:r>
            <w:r>
              <w:rPr>
                <w:rFonts w:hint="default" w:ascii="Times New Roman" w:hAnsi="Times New Roman" w:eastAsia="Times New Roman" w:cs="Times New Roman"/>
                <w:color w:val="000000"/>
                <w:spacing w:val="-1"/>
                <w:position w:val="-6"/>
                <w:sz w:val="21"/>
                <w:szCs w:val="21"/>
                <w:highlight w:val="none"/>
              </w:rPr>
              <w:t>1：</w:t>
            </w:r>
            <w:r>
              <w:rPr>
                <w:rFonts w:hint="default" w:ascii="Times New Roman" w:hAnsi="Times New Roman" w:eastAsia="宋体" w:cs="Times New Roman"/>
                <w:color w:val="000000"/>
                <w:spacing w:val="-1"/>
                <w:sz w:val="21"/>
                <w:szCs w:val="21"/>
                <w:highlight w:val="none"/>
              </w:rPr>
              <w:t>某个室内声源靠近维护结构处的</w:t>
            </w:r>
            <w:r>
              <w:rPr>
                <w:rFonts w:hint="default" w:ascii="Times New Roman" w:hAnsi="Times New Roman" w:eastAsia="宋体" w:cs="Times New Roman"/>
                <w:color w:val="000000"/>
                <w:sz w:val="21"/>
                <w:szCs w:val="21"/>
                <w:highlight w:val="none"/>
              </w:rPr>
              <w:t>声压级。</w:t>
            </w:r>
          </w:p>
          <w:p w14:paraId="53B64192">
            <w:pPr>
              <w:keepNext w:val="0"/>
              <w:keepLines w:val="0"/>
              <w:pageBreakBefore w:val="0"/>
              <w:shd w:val="clear" w:color="auto" w:fill="auto"/>
              <w:kinsoku/>
              <w:wordWrap/>
              <w:overflowPunct/>
              <w:topLinePunct w:val="0"/>
              <w:autoSpaceDE w:val="0"/>
              <w:autoSpaceDN w:val="0"/>
              <w:bidi w:val="0"/>
              <w:adjustRightInd w:val="0"/>
              <w:snapToGrid w:val="0"/>
              <w:spacing w:beforeAutospacing="0" w:afterAutospacing="0" w:line="360" w:lineRule="auto"/>
              <w:ind w:left="0" w:right="0" w:firstLine="832" w:firstLineChars="400"/>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Times New Roman" w:cs="Times New Roman"/>
                <w:color w:val="000000"/>
                <w:spacing w:val="-1"/>
                <w:sz w:val="21"/>
                <w:szCs w:val="21"/>
                <w:highlight w:val="none"/>
              </w:rPr>
              <w:t>L</w:t>
            </w:r>
            <w:r>
              <w:rPr>
                <w:rFonts w:hint="default" w:ascii="Times New Roman" w:hAnsi="Times New Roman" w:eastAsia="Times New Roman" w:cs="Times New Roman"/>
                <w:i/>
                <w:iCs/>
                <w:color w:val="000000"/>
                <w:spacing w:val="-1"/>
                <w:sz w:val="21"/>
                <w:szCs w:val="21"/>
                <w:highlight w:val="none"/>
              </w:rPr>
              <w:t>w</w:t>
            </w:r>
            <w:r>
              <w:rPr>
                <w:rFonts w:hint="default" w:ascii="Times New Roman" w:hAnsi="Times New Roman" w:eastAsia="宋体" w:cs="Times New Roman"/>
                <w:color w:val="000000"/>
                <w:spacing w:val="-2"/>
                <w:sz w:val="21"/>
                <w:szCs w:val="21"/>
                <w:highlight w:val="none"/>
              </w:rPr>
              <w:t>：某个室内声源靠近维护结构处</w:t>
            </w:r>
            <w:r>
              <w:rPr>
                <w:rFonts w:hint="default" w:ascii="Times New Roman" w:hAnsi="Times New Roman" w:eastAsia="宋体" w:cs="Times New Roman"/>
                <w:color w:val="000000"/>
                <w:spacing w:val="-1"/>
                <w:sz w:val="21"/>
                <w:szCs w:val="21"/>
                <w:highlight w:val="none"/>
              </w:rPr>
              <w:t>产生的声功率级。</w:t>
            </w:r>
          </w:p>
          <w:p w14:paraId="12E66060">
            <w:pPr>
              <w:keepNext w:val="0"/>
              <w:keepLines w:val="0"/>
              <w:pageBreakBefore w:val="0"/>
              <w:shd w:val="clear" w:color="auto" w:fill="auto"/>
              <w:kinsoku/>
              <w:wordWrap/>
              <w:overflowPunct/>
              <w:topLinePunct w:val="0"/>
              <w:autoSpaceDE w:val="0"/>
              <w:autoSpaceDN w:val="0"/>
              <w:bidi w:val="0"/>
              <w:adjustRightInd w:val="0"/>
              <w:snapToGrid w:val="0"/>
              <w:spacing w:beforeAutospacing="0" w:afterAutospacing="0" w:line="360" w:lineRule="auto"/>
              <w:ind w:left="0" w:right="0" w:firstLine="800" w:firstLineChars="400"/>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Times New Roman" w:cs="Times New Roman"/>
                <w:color w:val="000000"/>
                <w:spacing w:val="-5"/>
                <w:sz w:val="21"/>
                <w:szCs w:val="21"/>
                <w:highlight w:val="none"/>
              </w:rPr>
              <w:t>Q：</w:t>
            </w:r>
            <w:r>
              <w:rPr>
                <w:rFonts w:hint="default" w:ascii="Times New Roman" w:hAnsi="Times New Roman" w:eastAsia="宋体" w:cs="Times New Roman"/>
                <w:color w:val="000000"/>
                <w:spacing w:val="-5"/>
                <w:sz w:val="21"/>
                <w:szCs w:val="21"/>
                <w:highlight w:val="none"/>
              </w:rPr>
              <w:t>指向性因数；通常对无指向性声源，当声源放在房间中心时，</w:t>
            </w:r>
            <w:r>
              <w:rPr>
                <w:rFonts w:hint="default" w:ascii="Times New Roman" w:hAnsi="Times New Roman" w:eastAsia="Times New Roman" w:cs="Times New Roman"/>
                <w:color w:val="000000"/>
                <w:spacing w:val="-5"/>
                <w:sz w:val="21"/>
                <w:szCs w:val="21"/>
                <w:highlight w:val="none"/>
              </w:rPr>
              <w:t>Q=1</w:t>
            </w:r>
            <w:r>
              <w:rPr>
                <w:rFonts w:hint="default" w:ascii="Times New Roman" w:hAnsi="Times New Roman" w:eastAsia="宋体" w:cs="Times New Roman"/>
                <w:color w:val="000000"/>
                <w:spacing w:val="-5"/>
                <w:sz w:val="21"/>
                <w:szCs w:val="21"/>
                <w:highlight w:val="none"/>
              </w:rPr>
              <w:t>；当</w:t>
            </w:r>
            <w:r>
              <w:rPr>
                <w:rFonts w:hint="default" w:ascii="Times New Roman" w:hAnsi="Times New Roman" w:eastAsia="宋体" w:cs="Times New Roman"/>
                <w:color w:val="000000"/>
                <w:spacing w:val="-12"/>
                <w:sz w:val="21"/>
                <w:szCs w:val="21"/>
                <w:highlight w:val="none"/>
              </w:rPr>
              <w:t>放</w:t>
            </w:r>
            <w:r>
              <w:rPr>
                <w:rFonts w:hint="default" w:ascii="Times New Roman" w:hAnsi="Times New Roman" w:eastAsia="宋体" w:cs="Times New Roman"/>
                <w:color w:val="000000"/>
                <w:spacing w:val="-6"/>
                <w:sz w:val="21"/>
                <w:szCs w:val="21"/>
                <w:highlight w:val="none"/>
              </w:rPr>
              <w:t>在一面墙的中心时，</w:t>
            </w:r>
            <w:r>
              <w:rPr>
                <w:rFonts w:hint="default" w:ascii="Times New Roman" w:hAnsi="Times New Roman" w:eastAsia="Times New Roman" w:cs="Times New Roman"/>
                <w:color w:val="000000"/>
                <w:spacing w:val="-6"/>
                <w:sz w:val="21"/>
                <w:szCs w:val="21"/>
                <w:highlight w:val="none"/>
              </w:rPr>
              <w:t>Q=2</w:t>
            </w:r>
            <w:r>
              <w:rPr>
                <w:rFonts w:hint="default" w:ascii="Times New Roman" w:hAnsi="Times New Roman" w:eastAsia="宋体" w:cs="Times New Roman"/>
                <w:color w:val="000000"/>
                <w:spacing w:val="-6"/>
                <w:sz w:val="21"/>
                <w:szCs w:val="21"/>
                <w:highlight w:val="none"/>
              </w:rPr>
              <w:t>；当放在两面墙夹角处时，</w:t>
            </w:r>
            <w:r>
              <w:rPr>
                <w:rFonts w:hint="default" w:ascii="Times New Roman" w:hAnsi="Times New Roman" w:eastAsia="Times New Roman" w:cs="Times New Roman"/>
                <w:color w:val="000000"/>
                <w:spacing w:val="-6"/>
                <w:sz w:val="21"/>
                <w:szCs w:val="21"/>
                <w:highlight w:val="none"/>
              </w:rPr>
              <w:t>Q=4</w:t>
            </w:r>
            <w:r>
              <w:rPr>
                <w:rFonts w:hint="default" w:ascii="Times New Roman" w:hAnsi="Times New Roman" w:eastAsia="宋体" w:cs="Times New Roman"/>
                <w:color w:val="000000"/>
                <w:spacing w:val="-6"/>
                <w:sz w:val="21"/>
                <w:szCs w:val="21"/>
                <w:highlight w:val="none"/>
              </w:rPr>
              <w:t>；当放在三面墙夹角</w:t>
            </w:r>
            <w:r>
              <w:rPr>
                <w:rFonts w:hint="default" w:ascii="Times New Roman" w:hAnsi="Times New Roman" w:eastAsia="宋体" w:cs="Times New Roman"/>
                <w:color w:val="000000"/>
                <w:spacing w:val="-19"/>
                <w:sz w:val="21"/>
                <w:szCs w:val="21"/>
                <w:highlight w:val="none"/>
              </w:rPr>
              <w:t>处</w:t>
            </w:r>
            <w:r>
              <w:rPr>
                <w:rFonts w:hint="default" w:ascii="Times New Roman" w:hAnsi="Times New Roman" w:eastAsia="宋体" w:cs="Times New Roman"/>
                <w:color w:val="000000"/>
                <w:spacing w:val="-16"/>
                <w:sz w:val="21"/>
                <w:szCs w:val="21"/>
                <w:highlight w:val="none"/>
              </w:rPr>
              <w:t>时，</w:t>
            </w:r>
            <w:r>
              <w:rPr>
                <w:rFonts w:hint="default" w:ascii="Times New Roman" w:hAnsi="Times New Roman" w:eastAsia="Times New Roman" w:cs="Times New Roman"/>
                <w:color w:val="000000"/>
                <w:spacing w:val="-16"/>
                <w:sz w:val="21"/>
                <w:szCs w:val="21"/>
                <w:highlight w:val="none"/>
              </w:rPr>
              <w:t>Q=8</w:t>
            </w:r>
            <w:r>
              <w:rPr>
                <w:rFonts w:hint="default" w:ascii="Times New Roman" w:hAnsi="Times New Roman" w:eastAsia="宋体" w:cs="Times New Roman"/>
                <w:color w:val="000000"/>
                <w:spacing w:val="-16"/>
                <w:sz w:val="21"/>
                <w:szCs w:val="21"/>
                <w:highlight w:val="none"/>
              </w:rPr>
              <w:t>。</w:t>
            </w:r>
          </w:p>
          <w:p w14:paraId="500A731D">
            <w:pPr>
              <w:keepNext w:val="0"/>
              <w:keepLines w:val="0"/>
              <w:pageBreakBefore w:val="0"/>
              <w:shd w:val="clear" w:color="auto" w:fill="auto"/>
              <w:kinsoku/>
              <w:wordWrap/>
              <w:overflowPunct/>
              <w:topLinePunct w:val="0"/>
              <w:autoSpaceDE w:val="0"/>
              <w:autoSpaceDN w:val="0"/>
              <w:bidi w:val="0"/>
              <w:adjustRightInd w:val="0"/>
              <w:snapToGrid w:val="0"/>
              <w:spacing w:beforeAutospacing="0" w:afterAutospacing="0" w:line="360" w:lineRule="auto"/>
              <w:ind w:left="0" w:right="0" w:firstLine="776" w:firstLineChars="400"/>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Times New Roman" w:cs="Times New Roman"/>
                <w:color w:val="000000"/>
                <w:spacing w:val="-8"/>
                <w:sz w:val="21"/>
                <w:szCs w:val="21"/>
                <w:highlight w:val="none"/>
              </w:rPr>
              <w:t>R</w:t>
            </w:r>
            <w:r>
              <w:rPr>
                <w:rFonts w:hint="default" w:ascii="Times New Roman" w:hAnsi="Times New Roman" w:eastAsia="宋体" w:cs="Times New Roman"/>
                <w:color w:val="000000"/>
                <w:spacing w:val="-16"/>
                <w:sz w:val="21"/>
                <w:szCs w:val="21"/>
                <w:highlight w:val="none"/>
              </w:rPr>
              <w:t>：房间</w:t>
            </w:r>
            <w:r>
              <w:rPr>
                <w:rFonts w:hint="default" w:ascii="Times New Roman" w:hAnsi="Times New Roman" w:eastAsia="宋体" w:cs="Times New Roman"/>
                <w:color w:val="000000"/>
                <w:spacing w:val="-11"/>
                <w:sz w:val="21"/>
                <w:szCs w:val="21"/>
                <w:highlight w:val="none"/>
              </w:rPr>
              <w:t>常</w:t>
            </w:r>
            <w:r>
              <w:rPr>
                <w:rFonts w:hint="default" w:ascii="Times New Roman" w:hAnsi="Times New Roman" w:eastAsia="宋体" w:cs="Times New Roman"/>
                <w:color w:val="000000"/>
                <w:spacing w:val="-8"/>
                <w:sz w:val="21"/>
                <w:szCs w:val="21"/>
                <w:highlight w:val="none"/>
              </w:rPr>
              <w:t>数；</w:t>
            </w:r>
            <w:r>
              <w:rPr>
                <w:rFonts w:hint="default" w:ascii="Times New Roman" w:hAnsi="Times New Roman" w:eastAsia="Times New Roman" w:cs="Times New Roman"/>
                <w:color w:val="000000"/>
                <w:spacing w:val="-8"/>
                <w:sz w:val="21"/>
                <w:szCs w:val="21"/>
                <w:highlight w:val="none"/>
              </w:rPr>
              <w:t>R=Sa/</w:t>
            </w:r>
            <w:r>
              <w:rPr>
                <w:rFonts w:hint="default" w:ascii="Times New Roman" w:hAnsi="Times New Roman" w:eastAsia="宋体" w:cs="Times New Roman"/>
                <w:color w:val="000000"/>
                <w:spacing w:val="-8"/>
                <w:sz w:val="21"/>
                <w:szCs w:val="21"/>
                <w:highlight w:val="none"/>
                <w:lang w:eastAsia="zh-CN"/>
              </w:rPr>
              <w:t>（</w:t>
            </w:r>
            <w:r>
              <w:rPr>
                <w:rFonts w:hint="default" w:ascii="Times New Roman" w:hAnsi="Times New Roman" w:eastAsia="Times New Roman" w:cs="Times New Roman"/>
                <w:color w:val="000000"/>
                <w:spacing w:val="-8"/>
                <w:sz w:val="21"/>
                <w:szCs w:val="21"/>
                <w:highlight w:val="none"/>
              </w:rPr>
              <w:t>1-a</w:t>
            </w:r>
            <w:r>
              <w:rPr>
                <w:rFonts w:hint="default" w:ascii="Times New Roman" w:hAnsi="Times New Roman" w:eastAsia="宋体" w:cs="Times New Roman"/>
                <w:color w:val="000000"/>
                <w:spacing w:val="-8"/>
                <w:sz w:val="21"/>
                <w:szCs w:val="21"/>
                <w:highlight w:val="none"/>
                <w:lang w:eastAsia="zh-CN"/>
              </w:rPr>
              <w:t>），</w:t>
            </w:r>
            <w:r>
              <w:rPr>
                <w:rFonts w:hint="default" w:ascii="Times New Roman" w:hAnsi="Times New Roman" w:eastAsia="Times New Roman" w:cs="Times New Roman"/>
                <w:color w:val="000000"/>
                <w:spacing w:val="-8"/>
                <w:sz w:val="21"/>
                <w:szCs w:val="21"/>
                <w:highlight w:val="none"/>
              </w:rPr>
              <w:t>S</w:t>
            </w:r>
            <w:r>
              <w:rPr>
                <w:rFonts w:hint="default" w:ascii="Times New Roman" w:hAnsi="Times New Roman" w:eastAsia="宋体" w:cs="Times New Roman"/>
                <w:color w:val="000000"/>
                <w:spacing w:val="-8"/>
                <w:sz w:val="21"/>
                <w:szCs w:val="21"/>
                <w:highlight w:val="none"/>
              </w:rPr>
              <w:t>为房间内表面面积，</w:t>
            </w:r>
            <w:r>
              <w:rPr>
                <w:rFonts w:hint="eastAsia" w:ascii="Times New Roman" w:hAnsi="Times New Roman" w:eastAsia="宋体" w:cs="Times New Roman"/>
                <w:color w:val="000000"/>
                <w:spacing w:val="-8"/>
                <w:sz w:val="21"/>
                <w:szCs w:val="21"/>
                <w:highlight w:val="none"/>
                <w:lang w:eastAsia="zh-CN"/>
              </w:rPr>
              <w:t>㎡</w:t>
            </w:r>
            <w:r>
              <w:rPr>
                <w:rFonts w:hint="default" w:ascii="Times New Roman" w:hAnsi="Times New Roman" w:eastAsia="宋体" w:cs="Times New Roman"/>
                <w:color w:val="000000"/>
                <w:spacing w:val="-8"/>
                <w:sz w:val="21"/>
                <w:szCs w:val="21"/>
                <w:highlight w:val="none"/>
              </w:rPr>
              <w:t>；</w:t>
            </w:r>
            <w:r>
              <w:rPr>
                <w:rFonts w:hint="default" w:ascii="Times New Roman" w:hAnsi="Times New Roman" w:eastAsia="Times New Roman" w:cs="Times New Roman"/>
                <w:color w:val="000000"/>
                <w:spacing w:val="-8"/>
                <w:sz w:val="21"/>
                <w:szCs w:val="21"/>
                <w:highlight w:val="none"/>
              </w:rPr>
              <w:t>a</w:t>
            </w:r>
            <w:r>
              <w:rPr>
                <w:rFonts w:hint="default" w:ascii="Times New Roman" w:hAnsi="Times New Roman" w:eastAsia="宋体" w:cs="Times New Roman"/>
                <w:color w:val="000000"/>
                <w:spacing w:val="-8"/>
                <w:sz w:val="21"/>
                <w:szCs w:val="21"/>
                <w:highlight w:val="none"/>
              </w:rPr>
              <w:t>为平均吸声系数</w:t>
            </w:r>
            <w:r>
              <w:rPr>
                <w:rFonts w:hint="default" w:ascii="Times New Roman" w:hAnsi="Times New Roman" w:eastAsia="宋体" w:cs="Times New Roman"/>
                <w:color w:val="000000"/>
                <w:spacing w:val="-10"/>
                <w:sz w:val="21"/>
                <w:szCs w:val="21"/>
                <w:highlight w:val="none"/>
              </w:rPr>
              <w:t>。</w:t>
            </w:r>
          </w:p>
          <w:p w14:paraId="2204CC69">
            <w:pPr>
              <w:keepNext w:val="0"/>
              <w:keepLines w:val="0"/>
              <w:pageBreakBefore w:val="0"/>
              <w:shd w:val="clear" w:color="auto" w:fill="auto"/>
              <w:kinsoku/>
              <w:wordWrap/>
              <w:overflowPunct/>
              <w:topLinePunct w:val="0"/>
              <w:autoSpaceDE w:val="0"/>
              <w:autoSpaceDN w:val="0"/>
              <w:bidi w:val="0"/>
              <w:adjustRightInd w:val="0"/>
              <w:snapToGrid w:val="0"/>
              <w:spacing w:beforeAutospacing="0" w:afterAutospacing="0" w:line="360" w:lineRule="auto"/>
              <w:ind w:left="0" w:right="0" w:firstLine="800" w:firstLineChars="400"/>
              <w:textAlignment w:val="auto"/>
              <w:rPr>
                <w:rFonts w:hint="default" w:ascii="Times New Roman" w:hAnsi="Times New Roman" w:eastAsia="宋体" w:cs="Times New Roman"/>
                <w:color w:val="000000"/>
                <w:sz w:val="21"/>
                <w:szCs w:val="21"/>
                <w:highlight w:val="none"/>
              </w:rPr>
            </w:pPr>
            <w:r>
              <w:rPr>
                <w:rFonts w:hint="eastAsia" w:eastAsia="宋体" w:cs="Times New Roman"/>
                <w:color w:val="000000"/>
                <w:spacing w:val="-5"/>
                <w:sz w:val="21"/>
                <w:szCs w:val="21"/>
                <w:highlight w:val="none"/>
                <w:lang w:eastAsia="zh-CN"/>
              </w:rPr>
              <w:t>r.</w:t>
            </w:r>
            <w:r>
              <w:rPr>
                <w:rFonts w:hint="default" w:ascii="Times New Roman" w:hAnsi="Times New Roman" w:eastAsia="宋体" w:cs="Times New Roman"/>
                <w:color w:val="000000"/>
                <w:spacing w:val="-10"/>
                <w:sz w:val="21"/>
                <w:szCs w:val="21"/>
                <w:highlight w:val="none"/>
              </w:rPr>
              <w:t>声源</w:t>
            </w:r>
            <w:r>
              <w:rPr>
                <w:rFonts w:hint="default" w:ascii="Times New Roman" w:hAnsi="Times New Roman" w:eastAsia="宋体" w:cs="Times New Roman"/>
                <w:color w:val="000000"/>
                <w:spacing w:val="-7"/>
                <w:sz w:val="21"/>
                <w:szCs w:val="21"/>
                <w:highlight w:val="none"/>
              </w:rPr>
              <w:t>到</w:t>
            </w:r>
            <w:r>
              <w:rPr>
                <w:rFonts w:hint="default" w:ascii="Times New Roman" w:hAnsi="Times New Roman" w:eastAsia="宋体" w:cs="Times New Roman"/>
                <w:color w:val="000000"/>
                <w:spacing w:val="-5"/>
                <w:sz w:val="21"/>
                <w:szCs w:val="21"/>
                <w:highlight w:val="none"/>
              </w:rPr>
              <w:t>靠近围护结构某点处的距离，m。</w:t>
            </w:r>
          </w:p>
          <w:p w14:paraId="5A64E205">
            <w:pPr>
              <w:keepNext w:val="0"/>
              <w:keepLines w:val="0"/>
              <w:pageBreakBefore w:val="0"/>
              <w:shd w:val="clear" w:color="auto" w:fill="auto"/>
              <w:kinsoku/>
              <w:wordWrap/>
              <w:overflowPunct/>
              <w:topLinePunct w:val="0"/>
              <w:autoSpaceDE w:val="0"/>
              <w:autoSpaceDN w:val="0"/>
              <w:bidi w:val="0"/>
              <w:adjustRightInd w:val="0"/>
              <w:snapToGrid w:val="0"/>
              <w:spacing w:beforeAutospacing="0" w:afterAutospacing="0" w:line="360" w:lineRule="auto"/>
              <w:ind w:left="0" w:leftChars="0" w:right="0" w:firstLine="404" w:firstLineChars="200"/>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pacing w:val="-4"/>
                <w:sz w:val="21"/>
                <w:szCs w:val="21"/>
                <w:highlight w:val="none"/>
              </w:rPr>
              <w:t>③计算出</w:t>
            </w:r>
            <w:r>
              <w:rPr>
                <w:rFonts w:hint="default" w:ascii="Times New Roman" w:hAnsi="Times New Roman" w:eastAsia="宋体" w:cs="Times New Roman"/>
                <w:color w:val="000000"/>
                <w:spacing w:val="-3"/>
                <w:sz w:val="21"/>
                <w:szCs w:val="21"/>
                <w:highlight w:val="none"/>
              </w:rPr>
              <w:t>所</w:t>
            </w:r>
            <w:r>
              <w:rPr>
                <w:rFonts w:hint="default" w:ascii="Times New Roman" w:hAnsi="Times New Roman" w:eastAsia="宋体" w:cs="Times New Roman"/>
                <w:color w:val="000000"/>
                <w:spacing w:val="-2"/>
                <w:sz w:val="21"/>
                <w:szCs w:val="21"/>
                <w:highlight w:val="none"/>
              </w:rPr>
              <w:t>有室内声源在靠近围护结构处产生的总声压级：</w:t>
            </w:r>
          </w:p>
          <w:p w14:paraId="3548B1F0">
            <w:pPr>
              <w:keepNext w:val="0"/>
              <w:keepLines w:val="0"/>
              <w:pageBreakBefore w:val="0"/>
              <w:widowControl/>
              <w:shd w:val="clear" w:color="auto" w:fill="auto"/>
              <w:kinsoku/>
              <w:wordWrap/>
              <w:overflowPunct/>
              <w:topLinePunct w:val="0"/>
              <w:autoSpaceDE w:val="0"/>
              <w:autoSpaceDN w:val="0"/>
              <w:bidi w:val="0"/>
              <w:adjustRightInd w:val="0"/>
              <w:snapToGrid w:val="0"/>
              <w:spacing w:beforeAutospacing="0" w:afterAutospacing="0" w:line="360" w:lineRule="auto"/>
              <w:ind w:left="0" w:right="0" w:firstLine="840" w:firstLineChars="400"/>
              <w:jc w:val="center"/>
              <w:textAlignment w:val="auto"/>
              <w:rPr>
                <w:rFonts w:hint="default" w:ascii="Times New Roman" w:hAnsi="Times New Roman" w:eastAsia="宋体" w:cs="Times New Roman"/>
                <w:i/>
                <w:iCs/>
                <w:color w:val="000000"/>
                <w:kern w:val="0"/>
                <w:sz w:val="21"/>
                <w:szCs w:val="21"/>
                <w:highlight w:val="none"/>
              </w:rPr>
            </w:pPr>
            <w:r>
              <w:rPr>
                <w:rFonts w:hint="default" w:ascii="Times New Roman" w:hAnsi="Times New Roman" w:cs="Times New Roman"/>
                <w:color w:val="000000"/>
                <w:sz w:val="21"/>
                <w:szCs w:val="21"/>
                <w:highlight w:val="none"/>
              </w:rPr>
              <w:drawing>
                <wp:inline distT="0" distB="0" distL="114300" distR="114300">
                  <wp:extent cx="2199640" cy="435610"/>
                  <wp:effectExtent l="0" t="0" r="10160" b="2540"/>
                  <wp:docPr id="56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 name="图片 8"/>
                          <pic:cNvPicPr>
                            <a:picLocks noChangeAspect="1"/>
                          </pic:cNvPicPr>
                        </pic:nvPicPr>
                        <pic:blipFill>
                          <a:blip r:embed="rId25"/>
                          <a:stretch>
                            <a:fillRect/>
                          </a:stretch>
                        </pic:blipFill>
                        <pic:spPr>
                          <a:xfrm>
                            <a:off x="0" y="0"/>
                            <a:ext cx="2199640" cy="435610"/>
                          </a:xfrm>
                          <a:prstGeom prst="rect">
                            <a:avLst/>
                          </a:prstGeom>
                          <a:noFill/>
                          <a:ln>
                            <a:noFill/>
                          </a:ln>
                        </pic:spPr>
                      </pic:pic>
                    </a:graphicData>
                  </a:graphic>
                </wp:inline>
              </w:drawing>
            </w:r>
          </w:p>
          <w:p w14:paraId="1C2E9370">
            <w:pPr>
              <w:keepNext w:val="0"/>
              <w:keepLines w:val="0"/>
              <w:pageBreakBefore w:val="0"/>
              <w:shd w:val="clear" w:color="auto" w:fill="auto"/>
              <w:kinsoku/>
              <w:wordWrap/>
              <w:overflowPunct/>
              <w:topLinePunct w:val="0"/>
              <w:autoSpaceDE w:val="0"/>
              <w:autoSpaceDN w:val="0"/>
              <w:bidi w:val="0"/>
              <w:adjustRightInd w:val="0"/>
              <w:snapToGrid w:val="0"/>
              <w:spacing w:beforeAutospacing="0" w:afterAutospacing="0" w:line="360" w:lineRule="auto"/>
              <w:ind w:left="0" w:right="0" w:firstLine="784" w:firstLineChars="400"/>
              <w:textAlignment w:val="auto"/>
              <w:rPr>
                <w:rFonts w:hint="default" w:ascii="Times New Roman" w:hAnsi="Times New Roman" w:eastAsia="宋体" w:cs="Times New Roman"/>
                <w:color w:val="000000"/>
                <w:spacing w:val="-7"/>
                <w:sz w:val="21"/>
                <w:szCs w:val="21"/>
                <w:highlight w:val="none"/>
              </w:rPr>
            </w:pPr>
            <w:r>
              <w:rPr>
                <w:rFonts w:hint="default" w:ascii="Times New Roman" w:hAnsi="Times New Roman" w:eastAsia="Times New Roman" w:cs="Times New Roman"/>
                <w:color w:val="000000"/>
                <w:spacing w:val="-7"/>
                <w:sz w:val="21"/>
                <w:szCs w:val="21"/>
                <w:highlight w:val="none"/>
              </w:rPr>
              <w:t>L</w:t>
            </w:r>
            <w:r>
              <w:rPr>
                <w:rFonts w:hint="default" w:ascii="Times New Roman" w:hAnsi="Times New Roman" w:eastAsia="Times New Roman" w:cs="Times New Roman"/>
                <w:i/>
                <w:iCs/>
                <w:color w:val="000000"/>
                <w:spacing w:val="-7"/>
                <w:position w:val="-1"/>
                <w:sz w:val="21"/>
                <w:szCs w:val="21"/>
                <w:highlight w:val="none"/>
              </w:rPr>
              <w:t>p</w:t>
            </w:r>
            <w:r>
              <w:rPr>
                <w:rFonts w:hint="default" w:ascii="Times New Roman" w:hAnsi="Times New Roman" w:eastAsia="Times New Roman" w:cs="Times New Roman"/>
                <w:i/>
                <w:iCs/>
                <w:color w:val="000000"/>
                <w:spacing w:val="-14"/>
                <w:position w:val="-1"/>
                <w:sz w:val="21"/>
                <w:szCs w:val="21"/>
                <w:highlight w:val="none"/>
              </w:rPr>
              <w:t>1</w:t>
            </w:r>
            <w:r>
              <w:rPr>
                <w:rFonts w:hint="default" w:ascii="Times New Roman" w:hAnsi="Times New Roman" w:eastAsia="Times New Roman" w:cs="Times New Roman"/>
                <w:color w:val="000000"/>
                <w:spacing w:val="-14"/>
                <w:position w:val="-1"/>
                <w:sz w:val="21"/>
                <w:szCs w:val="21"/>
                <w:highlight w:val="none"/>
              </w:rPr>
              <w:t xml:space="preserve"> </w:t>
            </w:r>
            <w:r>
              <w:rPr>
                <w:rFonts w:hint="default" w:ascii="Times New Roman" w:hAnsi="Times New Roman" w:eastAsia="宋体" w:cs="Times New Roman"/>
                <w:i/>
                <w:iCs/>
                <w:color w:val="000000"/>
                <w:spacing w:val="-14"/>
                <w:sz w:val="21"/>
                <w:szCs w:val="21"/>
                <w:highlight w:val="none"/>
                <w:lang w:eastAsia="zh-CN"/>
              </w:rPr>
              <w:t>（</w:t>
            </w:r>
            <w:r>
              <w:rPr>
                <w:rFonts w:hint="default" w:ascii="Times New Roman" w:hAnsi="Times New Roman" w:eastAsia="Times New Roman" w:cs="Times New Roman"/>
                <w:i/>
                <w:iCs/>
                <w:color w:val="000000"/>
                <w:spacing w:val="-7"/>
                <w:sz w:val="21"/>
                <w:szCs w:val="21"/>
                <w:highlight w:val="none"/>
              </w:rPr>
              <w:t>T</w:t>
            </w:r>
            <w:r>
              <w:rPr>
                <w:rFonts w:hint="default" w:ascii="Times New Roman" w:hAnsi="Times New Roman" w:eastAsia="宋体" w:cs="Times New Roman"/>
                <w:i/>
                <w:iCs/>
                <w:color w:val="000000"/>
                <w:spacing w:val="-9"/>
                <w:sz w:val="21"/>
                <w:szCs w:val="21"/>
                <w:highlight w:val="none"/>
                <w:lang w:eastAsia="zh-CN"/>
              </w:rPr>
              <w:t>）</w:t>
            </w:r>
            <w:r>
              <w:rPr>
                <w:rFonts w:hint="default" w:ascii="Times New Roman" w:hAnsi="Times New Roman" w:eastAsia="宋体" w:cs="Times New Roman"/>
                <w:color w:val="000000"/>
                <w:spacing w:val="-7"/>
                <w:sz w:val="21"/>
                <w:szCs w:val="21"/>
                <w:highlight w:val="none"/>
              </w:rPr>
              <w:t>：靠近围护结构处室内</w:t>
            </w:r>
            <w:r>
              <w:rPr>
                <w:rFonts w:hint="default" w:ascii="Times New Roman" w:hAnsi="Times New Roman" w:eastAsia="Times New Roman" w:cs="Times New Roman"/>
                <w:color w:val="000000"/>
                <w:spacing w:val="-7"/>
                <w:sz w:val="21"/>
                <w:szCs w:val="21"/>
                <w:highlight w:val="none"/>
              </w:rPr>
              <w:t>N</w:t>
            </w:r>
            <w:r>
              <w:rPr>
                <w:rFonts w:hint="default" w:ascii="Times New Roman" w:hAnsi="Times New Roman" w:eastAsia="宋体" w:cs="Times New Roman"/>
                <w:color w:val="000000"/>
                <w:spacing w:val="-7"/>
                <w:sz w:val="21"/>
                <w:szCs w:val="21"/>
                <w:highlight w:val="none"/>
              </w:rPr>
              <w:t>个声源的叠加声压级，</w:t>
            </w:r>
            <w:r>
              <w:rPr>
                <w:rFonts w:hint="default" w:ascii="Times New Roman" w:hAnsi="Times New Roman" w:eastAsia="Times New Roman" w:cs="Times New Roman"/>
                <w:color w:val="000000"/>
                <w:spacing w:val="-7"/>
                <w:sz w:val="21"/>
                <w:szCs w:val="21"/>
                <w:highlight w:val="none"/>
              </w:rPr>
              <w:t>dB</w:t>
            </w:r>
            <w:r>
              <w:rPr>
                <w:rFonts w:hint="default" w:ascii="Times New Roman" w:hAnsi="Times New Roman" w:eastAsia="宋体" w:cs="Times New Roman"/>
                <w:color w:val="000000"/>
                <w:spacing w:val="-7"/>
                <w:sz w:val="21"/>
                <w:szCs w:val="21"/>
                <w:highlight w:val="none"/>
                <w:lang w:eastAsia="zh-CN"/>
              </w:rPr>
              <w:t>（</w:t>
            </w:r>
            <w:r>
              <w:rPr>
                <w:rFonts w:hint="default" w:ascii="Times New Roman" w:hAnsi="Times New Roman" w:eastAsia="Times New Roman" w:cs="Times New Roman"/>
                <w:color w:val="000000"/>
                <w:spacing w:val="-7"/>
                <w:sz w:val="21"/>
                <w:szCs w:val="21"/>
                <w:highlight w:val="none"/>
              </w:rPr>
              <w:t>A</w:t>
            </w:r>
            <w:r>
              <w:rPr>
                <w:rFonts w:hint="default" w:ascii="Times New Roman" w:hAnsi="Times New Roman" w:eastAsia="宋体" w:cs="Times New Roman"/>
                <w:color w:val="000000"/>
                <w:spacing w:val="-7"/>
                <w:sz w:val="21"/>
                <w:szCs w:val="21"/>
                <w:highlight w:val="none"/>
                <w:lang w:eastAsia="zh-CN"/>
              </w:rPr>
              <w:t>）</w:t>
            </w:r>
            <w:r>
              <w:rPr>
                <w:rFonts w:hint="default" w:ascii="Times New Roman" w:hAnsi="Times New Roman" w:eastAsia="宋体" w:cs="Times New Roman"/>
                <w:color w:val="000000"/>
                <w:spacing w:val="-7"/>
                <w:sz w:val="21"/>
                <w:szCs w:val="21"/>
                <w:highlight w:val="none"/>
              </w:rPr>
              <w:t>；</w:t>
            </w:r>
          </w:p>
          <w:p w14:paraId="47C2DBE8">
            <w:pPr>
              <w:keepNext w:val="0"/>
              <w:keepLines w:val="0"/>
              <w:pageBreakBefore w:val="0"/>
              <w:shd w:val="clear" w:color="auto" w:fill="auto"/>
              <w:kinsoku/>
              <w:wordWrap/>
              <w:overflowPunct/>
              <w:topLinePunct w:val="0"/>
              <w:autoSpaceDE w:val="0"/>
              <w:autoSpaceDN w:val="0"/>
              <w:bidi w:val="0"/>
              <w:adjustRightInd w:val="0"/>
              <w:snapToGrid w:val="0"/>
              <w:spacing w:beforeAutospacing="0" w:afterAutospacing="0" w:line="360" w:lineRule="auto"/>
              <w:ind w:left="0" w:right="0" w:firstLine="800" w:firstLineChars="400"/>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Times New Roman" w:cs="Times New Roman"/>
                <w:color w:val="000000"/>
                <w:spacing w:val="-5"/>
                <w:sz w:val="21"/>
                <w:szCs w:val="21"/>
                <w:highlight w:val="none"/>
              </w:rPr>
              <w:t>L</w:t>
            </w:r>
            <w:r>
              <w:rPr>
                <w:rFonts w:hint="default" w:ascii="Times New Roman" w:hAnsi="Times New Roman" w:eastAsia="Times New Roman" w:cs="Times New Roman"/>
                <w:i/>
                <w:iCs/>
                <w:color w:val="000000"/>
                <w:spacing w:val="-5"/>
                <w:position w:val="-1"/>
                <w:sz w:val="21"/>
                <w:szCs w:val="21"/>
                <w:highlight w:val="none"/>
              </w:rPr>
              <w:t>p</w:t>
            </w:r>
            <w:r>
              <w:rPr>
                <w:rFonts w:hint="default" w:ascii="Times New Roman" w:hAnsi="Times New Roman" w:eastAsia="Times New Roman" w:cs="Times New Roman"/>
                <w:i/>
                <w:iCs/>
                <w:color w:val="000000"/>
                <w:spacing w:val="-10"/>
                <w:position w:val="-1"/>
                <w:sz w:val="21"/>
                <w:szCs w:val="21"/>
                <w:highlight w:val="none"/>
              </w:rPr>
              <w:t>1.</w:t>
            </w:r>
            <w:r>
              <w:rPr>
                <w:rFonts w:hint="default" w:ascii="Times New Roman" w:hAnsi="Times New Roman" w:eastAsia="Times New Roman" w:cs="Times New Roman"/>
                <w:i/>
                <w:iCs/>
                <w:color w:val="000000"/>
                <w:spacing w:val="-5"/>
                <w:position w:val="-1"/>
                <w:sz w:val="21"/>
                <w:szCs w:val="21"/>
                <w:highlight w:val="none"/>
              </w:rPr>
              <w:t>j</w:t>
            </w:r>
            <w:r>
              <w:rPr>
                <w:rFonts w:hint="default" w:ascii="Times New Roman" w:hAnsi="Times New Roman" w:eastAsia="宋体" w:cs="Times New Roman"/>
                <w:color w:val="000000"/>
                <w:spacing w:val="-10"/>
                <w:sz w:val="21"/>
                <w:szCs w:val="21"/>
                <w:highlight w:val="none"/>
              </w:rPr>
              <w:t>：</w:t>
            </w:r>
            <w:r>
              <w:rPr>
                <w:rFonts w:hint="default" w:ascii="Times New Roman" w:hAnsi="Times New Roman" w:eastAsia="Times New Roman" w:cs="Times New Roman"/>
                <w:i/>
                <w:iCs/>
                <w:color w:val="000000"/>
                <w:spacing w:val="-5"/>
                <w:sz w:val="21"/>
                <w:szCs w:val="21"/>
                <w:highlight w:val="none"/>
              </w:rPr>
              <w:t>j</w:t>
            </w:r>
            <w:r>
              <w:rPr>
                <w:rFonts w:hint="default" w:ascii="Times New Roman" w:hAnsi="Times New Roman" w:eastAsia="Times New Roman" w:cs="Times New Roman"/>
                <w:color w:val="000000"/>
                <w:spacing w:val="-5"/>
                <w:sz w:val="21"/>
                <w:szCs w:val="21"/>
                <w:highlight w:val="none"/>
              </w:rPr>
              <w:t xml:space="preserve"> </w:t>
            </w:r>
            <w:r>
              <w:rPr>
                <w:rFonts w:hint="default" w:ascii="Times New Roman" w:hAnsi="Times New Roman" w:eastAsia="宋体" w:cs="Times New Roman"/>
                <w:color w:val="000000"/>
                <w:spacing w:val="-5"/>
                <w:sz w:val="21"/>
                <w:szCs w:val="21"/>
                <w:highlight w:val="none"/>
              </w:rPr>
              <w:t>声源的声压级，</w:t>
            </w:r>
            <w:r>
              <w:rPr>
                <w:rFonts w:hint="default" w:ascii="Times New Roman" w:hAnsi="Times New Roman" w:eastAsia="Times New Roman" w:cs="Times New Roman"/>
                <w:color w:val="000000"/>
                <w:spacing w:val="-5"/>
                <w:sz w:val="21"/>
                <w:szCs w:val="21"/>
                <w:highlight w:val="none"/>
              </w:rPr>
              <w:t>dB</w:t>
            </w:r>
            <w:r>
              <w:rPr>
                <w:rFonts w:hint="default" w:ascii="Times New Roman" w:hAnsi="Times New Roman" w:eastAsia="宋体" w:cs="Times New Roman"/>
                <w:color w:val="000000"/>
                <w:spacing w:val="-5"/>
                <w:sz w:val="21"/>
                <w:szCs w:val="21"/>
                <w:highlight w:val="none"/>
                <w:lang w:eastAsia="zh-CN"/>
              </w:rPr>
              <w:t>（</w:t>
            </w:r>
            <w:r>
              <w:rPr>
                <w:rFonts w:hint="default" w:ascii="Times New Roman" w:hAnsi="Times New Roman" w:eastAsia="Times New Roman" w:cs="Times New Roman"/>
                <w:color w:val="000000"/>
                <w:spacing w:val="-5"/>
                <w:sz w:val="21"/>
                <w:szCs w:val="21"/>
                <w:highlight w:val="none"/>
              </w:rPr>
              <w:t>A</w:t>
            </w:r>
            <w:r>
              <w:rPr>
                <w:rFonts w:hint="default" w:ascii="Times New Roman" w:hAnsi="Times New Roman" w:eastAsia="宋体" w:cs="Times New Roman"/>
                <w:color w:val="000000"/>
                <w:spacing w:val="-5"/>
                <w:sz w:val="21"/>
                <w:szCs w:val="21"/>
                <w:highlight w:val="none"/>
                <w:lang w:eastAsia="zh-CN"/>
              </w:rPr>
              <w:t>）</w:t>
            </w:r>
            <w:r>
              <w:rPr>
                <w:rFonts w:hint="default" w:ascii="Times New Roman" w:hAnsi="Times New Roman" w:eastAsia="宋体" w:cs="Times New Roman"/>
                <w:color w:val="000000"/>
                <w:spacing w:val="-5"/>
                <w:sz w:val="21"/>
                <w:szCs w:val="21"/>
                <w:highlight w:val="none"/>
              </w:rPr>
              <w:t>；</w:t>
            </w:r>
          </w:p>
          <w:p w14:paraId="74929949">
            <w:pPr>
              <w:keepNext w:val="0"/>
              <w:keepLines w:val="0"/>
              <w:pageBreakBefore w:val="0"/>
              <w:shd w:val="clear" w:color="auto" w:fill="auto"/>
              <w:kinsoku/>
              <w:wordWrap/>
              <w:overflowPunct/>
              <w:topLinePunct w:val="0"/>
              <w:autoSpaceDE w:val="0"/>
              <w:autoSpaceDN w:val="0"/>
              <w:bidi w:val="0"/>
              <w:adjustRightInd w:val="0"/>
              <w:snapToGrid w:val="0"/>
              <w:spacing w:beforeAutospacing="0" w:afterAutospacing="0" w:line="360" w:lineRule="auto"/>
              <w:ind w:left="0" w:right="0" w:firstLine="824" w:firstLineChars="400"/>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Times New Roman" w:cs="Times New Roman"/>
                <w:color w:val="000000"/>
                <w:spacing w:val="-2"/>
                <w:sz w:val="21"/>
                <w:szCs w:val="21"/>
                <w:highlight w:val="none"/>
              </w:rPr>
              <w:t>N</w:t>
            </w:r>
            <w:r>
              <w:rPr>
                <w:rFonts w:hint="default" w:ascii="Times New Roman" w:hAnsi="Times New Roman" w:eastAsia="Times New Roman" w:cs="Times New Roman"/>
                <w:color w:val="000000"/>
                <w:spacing w:val="-3"/>
                <w:sz w:val="21"/>
                <w:szCs w:val="21"/>
                <w:highlight w:val="none"/>
              </w:rPr>
              <w:t>—</w:t>
            </w:r>
            <w:r>
              <w:rPr>
                <w:rFonts w:hint="default" w:ascii="Times New Roman" w:hAnsi="Times New Roman" w:eastAsia="宋体" w:cs="Times New Roman"/>
                <w:color w:val="000000"/>
                <w:spacing w:val="-3"/>
                <w:sz w:val="21"/>
                <w:szCs w:val="21"/>
                <w:highlight w:val="none"/>
              </w:rPr>
              <w:t>室内声源总数。</w:t>
            </w:r>
          </w:p>
          <w:p w14:paraId="64A3AA25">
            <w:pPr>
              <w:keepNext w:val="0"/>
              <w:keepLines w:val="0"/>
              <w:pageBreakBefore w:val="0"/>
              <w:shd w:val="clear" w:color="auto" w:fill="auto"/>
              <w:kinsoku/>
              <w:wordWrap/>
              <w:overflowPunct/>
              <w:topLinePunct w:val="0"/>
              <w:autoSpaceDE w:val="0"/>
              <w:autoSpaceDN w:val="0"/>
              <w:bidi w:val="0"/>
              <w:adjustRightInd w:val="0"/>
              <w:snapToGrid w:val="0"/>
              <w:spacing w:beforeAutospacing="0" w:afterAutospacing="0" w:line="360" w:lineRule="auto"/>
              <w:ind w:right="0" w:firstLine="396" w:firstLineChars="200"/>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pacing w:val="-6"/>
                <w:sz w:val="21"/>
                <w:szCs w:val="21"/>
                <w:highlight w:val="none"/>
              </w:rPr>
              <w:t>④计</w:t>
            </w:r>
            <w:r>
              <w:rPr>
                <w:rFonts w:hint="default" w:ascii="Times New Roman" w:hAnsi="Times New Roman" w:eastAsia="宋体" w:cs="Times New Roman"/>
                <w:color w:val="000000"/>
                <w:spacing w:val="-3"/>
                <w:sz w:val="21"/>
                <w:szCs w:val="21"/>
                <w:highlight w:val="none"/>
              </w:rPr>
              <w:t>算出室外靠近围护结构处的声压级：</w:t>
            </w:r>
          </w:p>
          <w:p w14:paraId="68771E66">
            <w:pPr>
              <w:keepNext w:val="0"/>
              <w:keepLines w:val="0"/>
              <w:pageBreakBefore w:val="0"/>
              <w:widowControl/>
              <w:shd w:val="clear" w:color="auto" w:fill="auto"/>
              <w:kinsoku/>
              <w:wordWrap/>
              <w:overflowPunct/>
              <w:topLinePunct w:val="0"/>
              <w:autoSpaceDE w:val="0"/>
              <w:autoSpaceDN w:val="0"/>
              <w:bidi w:val="0"/>
              <w:adjustRightInd w:val="0"/>
              <w:snapToGrid w:val="0"/>
              <w:spacing w:beforeAutospacing="0" w:afterAutospacing="0" w:line="360" w:lineRule="auto"/>
              <w:ind w:left="0" w:leftChars="0" w:right="0" w:firstLine="840" w:firstLineChars="400"/>
              <w:jc w:val="center"/>
              <w:textAlignment w:val="auto"/>
              <w:rPr>
                <w:rFonts w:hint="default" w:ascii="Times New Roman" w:hAnsi="Times New Roman" w:eastAsia="Times New Roman" w:cs="Times New Roman"/>
                <w:i/>
                <w:iCs/>
                <w:color w:val="000000"/>
                <w:spacing w:val="-3"/>
                <w:sz w:val="21"/>
                <w:szCs w:val="21"/>
                <w:highlight w:val="none"/>
              </w:rPr>
            </w:pPr>
            <w:r>
              <w:rPr>
                <w:rFonts w:hint="default" w:ascii="Times New Roman" w:hAnsi="Times New Roman" w:cs="Times New Roman"/>
                <w:color w:val="000000"/>
                <w:sz w:val="21"/>
                <w:szCs w:val="21"/>
                <w:highlight w:val="none"/>
              </w:rPr>
              <w:drawing>
                <wp:inline distT="0" distB="0" distL="114300" distR="114300">
                  <wp:extent cx="2153920" cy="371475"/>
                  <wp:effectExtent l="0" t="0" r="17780" b="9525"/>
                  <wp:docPr id="56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 name="图片 9"/>
                          <pic:cNvPicPr>
                            <a:picLocks noChangeAspect="1"/>
                          </pic:cNvPicPr>
                        </pic:nvPicPr>
                        <pic:blipFill>
                          <a:blip r:embed="rId26"/>
                          <a:stretch>
                            <a:fillRect/>
                          </a:stretch>
                        </pic:blipFill>
                        <pic:spPr>
                          <a:xfrm>
                            <a:off x="0" y="0"/>
                            <a:ext cx="2153920" cy="371475"/>
                          </a:xfrm>
                          <a:prstGeom prst="rect">
                            <a:avLst/>
                          </a:prstGeom>
                          <a:noFill/>
                          <a:ln>
                            <a:noFill/>
                          </a:ln>
                        </pic:spPr>
                      </pic:pic>
                    </a:graphicData>
                  </a:graphic>
                </wp:inline>
              </w:drawing>
            </w:r>
          </w:p>
          <w:p w14:paraId="0B6928D7">
            <w:pPr>
              <w:keepNext w:val="0"/>
              <w:keepLines w:val="0"/>
              <w:pageBreakBefore w:val="0"/>
              <w:shd w:val="clear" w:color="auto" w:fill="auto"/>
              <w:kinsoku/>
              <w:wordWrap/>
              <w:overflowPunct/>
              <w:topLinePunct w:val="0"/>
              <w:autoSpaceDE w:val="0"/>
              <w:autoSpaceDN w:val="0"/>
              <w:bidi w:val="0"/>
              <w:adjustRightInd w:val="0"/>
              <w:snapToGrid w:val="0"/>
              <w:spacing w:beforeAutospacing="0" w:afterAutospacing="0" w:line="360" w:lineRule="auto"/>
              <w:ind w:left="0" w:right="0" w:firstLine="704" w:firstLineChars="400"/>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pacing w:val="-17"/>
                <w:sz w:val="21"/>
                <w:szCs w:val="21"/>
                <w:highlight w:val="none"/>
              </w:rPr>
              <w:t>式</w:t>
            </w:r>
            <w:r>
              <w:rPr>
                <w:rFonts w:hint="default" w:ascii="Times New Roman" w:hAnsi="Times New Roman" w:eastAsia="宋体" w:cs="Times New Roman"/>
                <w:color w:val="000000"/>
                <w:spacing w:val="-15"/>
                <w:sz w:val="21"/>
                <w:szCs w:val="21"/>
                <w:highlight w:val="none"/>
              </w:rPr>
              <w:t>中：</w:t>
            </w:r>
          </w:p>
          <w:p w14:paraId="42084F08">
            <w:pPr>
              <w:keepNext w:val="0"/>
              <w:keepLines w:val="0"/>
              <w:pageBreakBefore w:val="0"/>
              <w:shd w:val="clear" w:color="auto" w:fill="auto"/>
              <w:kinsoku/>
              <w:wordWrap/>
              <w:overflowPunct/>
              <w:topLinePunct w:val="0"/>
              <w:autoSpaceDE w:val="0"/>
              <w:autoSpaceDN w:val="0"/>
              <w:bidi w:val="0"/>
              <w:adjustRightInd w:val="0"/>
              <w:snapToGrid w:val="0"/>
              <w:spacing w:beforeAutospacing="0" w:afterAutospacing="0" w:line="360" w:lineRule="auto"/>
              <w:ind w:left="0" w:right="0" w:firstLine="792" w:firstLineChars="400"/>
              <w:textAlignment w:val="auto"/>
              <w:rPr>
                <w:rFonts w:hint="default" w:ascii="Times New Roman" w:hAnsi="Times New Roman" w:eastAsia="宋体" w:cs="Times New Roman"/>
                <w:color w:val="000000"/>
                <w:spacing w:val="-6"/>
                <w:sz w:val="21"/>
                <w:szCs w:val="21"/>
                <w:highlight w:val="none"/>
              </w:rPr>
            </w:pPr>
            <w:r>
              <w:rPr>
                <w:rFonts w:hint="default" w:ascii="Times New Roman" w:hAnsi="Times New Roman" w:eastAsia="Times New Roman" w:cs="Times New Roman"/>
                <w:color w:val="000000"/>
                <w:spacing w:val="-6"/>
                <w:sz w:val="21"/>
                <w:szCs w:val="21"/>
                <w:highlight w:val="none"/>
              </w:rPr>
              <w:t>L</w:t>
            </w:r>
            <w:r>
              <w:rPr>
                <w:rFonts w:hint="default" w:ascii="Times New Roman" w:hAnsi="Times New Roman" w:eastAsia="Times New Roman" w:cs="Times New Roman"/>
                <w:i/>
                <w:iCs/>
                <w:color w:val="000000"/>
                <w:spacing w:val="-6"/>
                <w:position w:val="-1"/>
                <w:sz w:val="21"/>
                <w:szCs w:val="21"/>
                <w:highlight w:val="none"/>
              </w:rPr>
              <w:t>p</w:t>
            </w:r>
            <w:r>
              <w:rPr>
                <w:rFonts w:hint="default" w:ascii="Times New Roman" w:hAnsi="Times New Roman" w:eastAsia="Times New Roman" w:cs="Times New Roman"/>
                <w:i/>
                <w:iCs/>
                <w:color w:val="000000"/>
                <w:spacing w:val="-12"/>
                <w:position w:val="-1"/>
                <w:sz w:val="21"/>
                <w:szCs w:val="21"/>
                <w:highlight w:val="none"/>
              </w:rPr>
              <w:t>2</w:t>
            </w:r>
            <w:r>
              <w:rPr>
                <w:rFonts w:hint="default" w:ascii="Times New Roman" w:hAnsi="Times New Roman" w:eastAsia="宋体" w:cs="Times New Roman"/>
                <w:color w:val="000000"/>
                <w:spacing w:val="-12"/>
                <w:sz w:val="21"/>
                <w:szCs w:val="21"/>
                <w:highlight w:val="none"/>
                <w:lang w:eastAsia="zh-CN"/>
              </w:rPr>
              <w:t>（</w:t>
            </w:r>
            <w:r>
              <w:rPr>
                <w:rFonts w:hint="default" w:ascii="Times New Roman" w:hAnsi="Times New Roman" w:eastAsia="Times New Roman" w:cs="Times New Roman"/>
                <w:color w:val="000000"/>
                <w:spacing w:val="-6"/>
                <w:sz w:val="21"/>
                <w:szCs w:val="21"/>
                <w:highlight w:val="none"/>
              </w:rPr>
              <w:t>T</w:t>
            </w:r>
            <w:r>
              <w:rPr>
                <w:rFonts w:hint="default" w:ascii="Times New Roman" w:hAnsi="Times New Roman" w:eastAsia="宋体" w:cs="Times New Roman"/>
                <w:color w:val="000000"/>
                <w:spacing w:val="-12"/>
                <w:sz w:val="21"/>
                <w:szCs w:val="21"/>
                <w:highlight w:val="none"/>
                <w:lang w:eastAsia="zh-CN"/>
              </w:rPr>
              <w:t>）</w:t>
            </w:r>
            <w:r>
              <w:rPr>
                <w:rFonts w:hint="default" w:ascii="Times New Roman" w:hAnsi="Times New Roman" w:eastAsia="宋体" w:cs="Times New Roman"/>
                <w:color w:val="000000"/>
                <w:spacing w:val="-12"/>
                <w:sz w:val="21"/>
                <w:szCs w:val="21"/>
                <w:highlight w:val="none"/>
              </w:rPr>
              <w:t>：</w:t>
            </w:r>
            <w:r>
              <w:rPr>
                <w:rFonts w:hint="default" w:ascii="Times New Roman" w:hAnsi="Times New Roman" w:eastAsia="宋体" w:cs="Times New Roman"/>
                <w:color w:val="000000"/>
                <w:spacing w:val="-7"/>
                <w:sz w:val="21"/>
                <w:szCs w:val="21"/>
                <w:highlight w:val="none"/>
              </w:rPr>
              <w:t>靠</w:t>
            </w:r>
            <w:r>
              <w:rPr>
                <w:rFonts w:hint="default" w:ascii="Times New Roman" w:hAnsi="Times New Roman" w:eastAsia="宋体" w:cs="Times New Roman"/>
                <w:color w:val="000000"/>
                <w:spacing w:val="-6"/>
                <w:sz w:val="21"/>
                <w:szCs w:val="21"/>
                <w:highlight w:val="none"/>
              </w:rPr>
              <w:t>近围护结构处室外</w:t>
            </w:r>
            <w:r>
              <w:rPr>
                <w:rFonts w:hint="default" w:ascii="Times New Roman" w:hAnsi="Times New Roman" w:eastAsia="Times New Roman" w:cs="Times New Roman"/>
                <w:color w:val="000000"/>
                <w:spacing w:val="-6"/>
                <w:sz w:val="21"/>
                <w:szCs w:val="21"/>
                <w:highlight w:val="none"/>
              </w:rPr>
              <w:t>N</w:t>
            </w:r>
            <w:r>
              <w:rPr>
                <w:rFonts w:hint="default" w:ascii="Times New Roman" w:hAnsi="Times New Roman" w:eastAsia="宋体" w:cs="Times New Roman"/>
                <w:color w:val="000000"/>
                <w:spacing w:val="-6"/>
                <w:sz w:val="21"/>
                <w:szCs w:val="21"/>
                <w:highlight w:val="none"/>
              </w:rPr>
              <w:t>个声源的叠加声压级，</w:t>
            </w:r>
            <w:r>
              <w:rPr>
                <w:rFonts w:hint="default" w:ascii="Times New Roman" w:hAnsi="Times New Roman" w:eastAsia="Times New Roman" w:cs="Times New Roman"/>
                <w:color w:val="000000"/>
                <w:spacing w:val="-6"/>
                <w:sz w:val="21"/>
                <w:szCs w:val="21"/>
                <w:highlight w:val="none"/>
              </w:rPr>
              <w:t>dB</w:t>
            </w:r>
            <w:r>
              <w:rPr>
                <w:rFonts w:hint="default" w:ascii="Times New Roman" w:hAnsi="Times New Roman" w:eastAsia="宋体" w:cs="Times New Roman"/>
                <w:color w:val="000000"/>
                <w:spacing w:val="-6"/>
                <w:sz w:val="21"/>
                <w:szCs w:val="21"/>
                <w:highlight w:val="none"/>
                <w:lang w:eastAsia="zh-CN"/>
              </w:rPr>
              <w:t>（</w:t>
            </w:r>
            <w:r>
              <w:rPr>
                <w:rFonts w:hint="default" w:ascii="Times New Roman" w:hAnsi="Times New Roman" w:eastAsia="Times New Roman" w:cs="Times New Roman"/>
                <w:color w:val="000000"/>
                <w:spacing w:val="-6"/>
                <w:sz w:val="21"/>
                <w:szCs w:val="21"/>
                <w:highlight w:val="none"/>
              </w:rPr>
              <w:t>A</w:t>
            </w:r>
            <w:r>
              <w:rPr>
                <w:rFonts w:hint="default" w:ascii="Times New Roman" w:hAnsi="Times New Roman" w:eastAsia="宋体" w:cs="Times New Roman"/>
                <w:color w:val="000000"/>
                <w:spacing w:val="-6"/>
                <w:sz w:val="21"/>
                <w:szCs w:val="21"/>
                <w:highlight w:val="none"/>
                <w:lang w:eastAsia="zh-CN"/>
              </w:rPr>
              <w:t>）</w:t>
            </w:r>
            <w:r>
              <w:rPr>
                <w:rFonts w:hint="default" w:ascii="Times New Roman" w:hAnsi="Times New Roman" w:eastAsia="宋体" w:cs="Times New Roman"/>
                <w:color w:val="000000"/>
                <w:spacing w:val="-6"/>
                <w:sz w:val="21"/>
                <w:szCs w:val="21"/>
                <w:highlight w:val="none"/>
              </w:rPr>
              <w:t>；</w:t>
            </w:r>
          </w:p>
          <w:p w14:paraId="4281C94B">
            <w:pPr>
              <w:keepNext w:val="0"/>
              <w:keepLines w:val="0"/>
              <w:pageBreakBefore w:val="0"/>
              <w:shd w:val="clear" w:color="auto" w:fill="auto"/>
              <w:kinsoku/>
              <w:wordWrap/>
              <w:overflowPunct/>
              <w:topLinePunct w:val="0"/>
              <w:autoSpaceDE w:val="0"/>
              <w:autoSpaceDN w:val="0"/>
              <w:bidi w:val="0"/>
              <w:adjustRightInd w:val="0"/>
              <w:snapToGrid w:val="0"/>
              <w:spacing w:beforeAutospacing="0" w:afterAutospacing="0" w:line="360" w:lineRule="auto"/>
              <w:ind w:left="0" w:right="0" w:firstLine="776" w:firstLineChars="400"/>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Times New Roman" w:cs="Times New Roman"/>
                <w:color w:val="000000"/>
                <w:spacing w:val="-8"/>
                <w:sz w:val="21"/>
                <w:szCs w:val="21"/>
                <w:highlight w:val="none"/>
              </w:rPr>
              <w:t>TLi；</w:t>
            </w:r>
            <w:r>
              <w:rPr>
                <w:rFonts w:hint="default" w:ascii="Times New Roman" w:hAnsi="Times New Roman" w:eastAsia="宋体" w:cs="Times New Roman"/>
                <w:color w:val="000000"/>
                <w:spacing w:val="-8"/>
                <w:sz w:val="21"/>
                <w:szCs w:val="21"/>
                <w:highlight w:val="none"/>
              </w:rPr>
              <w:t>围护结构的隔声量，</w:t>
            </w:r>
            <w:r>
              <w:rPr>
                <w:rFonts w:hint="default" w:ascii="Times New Roman" w:hAnsi="Times New Roman" w:eastAsia="Times New Roman" w:cs="Times New Roman"/>
                <w:color w:val="000000"/>
                <w:spacing w:val="-8"/>
                <w:sz w:val="21"/>
                <w:szCs w:val="21"/>
                <w:highlight w:val="none"/>
              </w:rPr>
              <w:t>dB</w:t>
            </w:r>
            <w:r>
              <w:rPr>
                <w:rFonts w:hint="default" w:ascii="Times New Roman" w:hAnsi="Times New Roman" w:eastAsia="宋体" w:cs="Times New Roman"/>
                <w:color w:val="000000"/>
                <w:spacing w:val="-8"/>
                <w:sz w:val="21"/>
                <w:szCs w:val="21"/>
                <w:highlight w:val="none"/>
                <w:lang w:eastAsia="zh-CN"/>
              </w:rPr>
              <w:t>（</w:t>
            </w:r>
            <w:r>
              <w:rPr>
                <w:rFonts w:hint="default" w:ascii="Times New Roman" w:hAnsi="Times New Roman" w:eastAsia="Times New Roman" w:cs="Times New Roman"/>
                <w:color w:val="000000"/>
                <w:spacing w:val="-7"/>
                <w:sz w:val="21"/>
                <w:szCs w:val="21"/>
                <w:highlight w:val="none"/>
              </w:rPr>
              <w:t>A</w:t>
            </w:r>
            <w:r>
              <w:rPr>
                <w:rFonts w:hint="default" w:ascii="Times New Roman" w:hAnsi="Times New Roman" w:eastAsia="宋体" w:cs="Times New Roman"/>
                <w:color w:val="000000"/>
                <w:spacing w:val="-8"/>
                <w:sz w:val="21"/>
                <w:szCs w:val="21"/>
                <w:highlight w:val="none"/>
                <w:lang w:eastAsia="zh-CN"/>
              </w:rPr>
              <w:t>）</w:t>
            </w:r>
            <w:r>
              <w:rPr>
                <w:rFonts w:hint="default" w:ascii="Times New Roman" w:hAnsi="Times New Roman" w:eastAsia="宋体" w:cs="Times New Roman"/>
                <w:color w:val="000000"/>
                <w:spacing w:val="-8"/>
                <w:sz w:val="21"/>
                <w:szCs w:val="21"/>
                <w:highlight w:val="none"/>
              </w:rPr>
              <w:t>。</w:t>
            </w:r>
          </w:p>
          <w:p w14:paraId="2229AFDD">
            <w:pPr>
              <w:keepNext w:val="0"/>
              <w:keepLines w:val="0"/>
              <w:pageBreakBefore w:val="0"/>
              <w:shd w:val="clear" w:color="auto" w:fill="auto"/>
              <w:kinsoku/>
              <w:wordWrap/>
              <w:overflowPunct/>
              <w:topLinePunct w:val="0"/>
              <w:autoSpaceDE w:val="0"/>
              <w:autoSpaceDN w:val="0"/>
              <w:bidi w:val="0"/>
              <w:adjustRightInd w:val="0"/>
              <w:snapToGrid w:val="0"/>
              <w:spacing w:beforeAutospacing="0" w:afterAutospacing="0" w:line="360" w:lineRule="auto"/>
              <w:ind w:right="0" w:firstLine="372" w:firstLineChars="200"/>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pacing w:val="-12"/>
                <w:sz w:val="21"/>
                <w:szCs w:val="21"/>
                <w:highlight w:val="none"/>
              </w:rPr>
              <w:t>⑤将</w:t>
            </w:r>
            <w:r>
              <w:rPr>
                <w:rFonts w:hint="default" w:ascii="Times New Roman" w:hAnsi="Times New Roman" w:eastAsia="宋体" w:cs="Times New Roman"/>
                <w:color w:val="000000"/>
                <w:spacing w:val="-8"/>
                <w:sz w:val="21"/>
                <w:szCs w:val="21"/>
                <w:highlight w:val="none"/>
              </w:rPr>
              <w:t>室</w:t>
            </w:r>
            <w:r>
              <w:rPr>
                <w:rFonts w:hint="default" w:ascii="Times New Roman" w:hAnsi="Times New Roman" w:eastAsia="宋体" w:cs="Times New Roman"/>
                <w:color w:val="000000"/>
                <w:spacing w:val="-6"/>
                <w:sz w:val="21"/>
                <w:szCs w:val="21"/>
                <w:highlight w:val="none"/>
              </w:rPr>
              <w:t>外声级</w:t>
            </w:r>
            <w:r>
              <w:rPr>
                <w:rFonts w:hint="default" w:ascii="Times New Roman" w:hAnsi="Times New Roman" w:eastAsia="Times New Roman" w:cs="Times New Roman"/>
                <w:i/>
                <w:iCs/>
                <w:color w:val="000000"/>
                <w:spacing w:val="-6"/>
                <w:sz w:val="21"/>
                <w:szCs w:val="21"/>
                <w:highlight w:val="none"/>
              </w:rPr>
              <w:t>L</w:t>
            </w:r>
            <w:r>
              <w:rPr>
                <w:rFonts w:hint="default" w:ascii="Times New Roman" w:hAnsi="Times New Roman" w:eastAsia="Times New Roman" w:cs="Times New Roman"/>
                <w:i/>
                <w:iCs/>
                <w:color w:val="000000"/>
                <w:spacing w:val="-6"/>
                <w:position w:val="-1"/>
                <w:sz w:val="21"/>
                <w:szCs w:val="21"/>
                <w:highlight w:val="none"/>
              </w:rPr>
              <w:t>p2</w:t>
            </w:r>
            <w:r>
              <w:rPr>
                <w:rFonts w:hint="default" w:ascii="Times New Roman" w:hAnsi="Times New Roman" w:eastAsia="Times New Roman" w:cs="Times New Roman"/>
                <w:color w:val="000000"/>
                <w:spacing w:val="-6"/>
                <w:position w:val="-1"/>
                <w:sz w:val="21"/>
                <w:szCs w:val="21"/>
                <w:highlight w:val="none"/>
              </w:rPr>
              <w:t xml:space="preserve"> </w:t>
            </w:r>
            <w:r>
              <w:rPr>
                <w:rFonts w:hint="default" w:ascii="Times New Roman" w:hAnsi="Times New Roman" w:eastAsia="宋体" w:cs="Times New Roman"/>
                <w:i/>
                <w:iCs/>
                <w:color w:val="000000"/>
                <w:spacing w:val="-6"/>
                <w:sz w:val="21"/>
                <w:szCs w:val="21"/>
                <w:highlight w:val="none"/>
                <w:lang w:eastAsia="zh-CN"/>
              </w:rPr>
              <w:t>（</w:t>
            </w:r>
            <w:r>
              <w:rPr>
                <w:rFonts w:hint="default" w:ascii="Times New Roman" w:hAnsi="Times New Roman" w:eastAsia="Times New Roman" w:cs="Times New Roman"/>
                <w:i/>
                <w:iCs/>
                <w:color w:val="000000"/>
                <w:spacing w:val="-6"/>
                <w:sz w:val="21"/>
                <w:szCs w:val="21"/>
                <w:highlight w:val="none"/>
              </w:rPr>
              <w:t>T</w:t>
            </w:r>
            <w:r>
              <w:rPr>
                <w:rFonts w:hint="default" w:ascii="Times New Roman" w:hAnsi="Times New Roman" w:eastAsia="宋体" w:cs="Times New Roman"/>
                <w:i/>
                <w:iCs/>
                <w:color w:val="000000"/>
                <w:spacing w:val="-6"/>
                <w:sz w:val="21"/>
                <w:szCs w:val="21"/>
                <w:highlight w:val="none"/>
                <w:lang w:eastAsia="zh-CN"/>
              </w:rPr>
              <w:t>）</w:t>
            </w:r>
            <w:r>
              <w:rPr>
                <w:rFonts w:hint="default" w:ascii="Times New Roman" w:hAnsi="Times New Roman" w:eastAsia="宋体" w:cs="Times New Roman"/>
                <w:color w:val="000000"/>
                <w:spacing w:val="-6"/>
                <w:sz w:val="21"/>
                <w:szCs w:val="21"/>
                <w:highlight w:val="none"/>
              </w:rPr>
              <w:t>和透声面积换算成等效的室外声源，计算出等效声源的</w:t>
            </w:r>
            <w:r>
              <w:rPr>
                <w:rFonts w:hint="default" w:ascii="Times New Roman" w:hAnsi="Times New Roman" w:eastAsia="宋体" w:cs="Times New Roman"/>
                <w:color w:val="000000"/>
                <w:spacing w:val="-7"/>
                <w:sz w:val="21"/>
                <w:szCs w:val="21"/>
                <w:highlight w:val="none"/>
              </w:rPr>
              <w:t xml:space="preserve">声功率级 </w:t>
            </w:r>
            <w:r>
              <w:rPr>
                <w:rFonts w:hint="default" w:ascii="Times New Roman" w:hAnsi="Times New Roman" w:eastAsia="Times New Roman" w:cs="Times New Roman"/>
                <w:i/>
                <w:iCs/>
                <w:color w:val="000000"/>
                <w:spacing w:val="-7"/>
                <w:sz w:val="21"/>
                <w:szCs w:val="21"/>
                <w:highlight w:val="none"/>
              </w:rPr>
              <w:t>L</w:t>
            </w:r>
            <w:r>
              <w:rPr>
                <w:rFonts w:hint="default" w:ascii="Times New Roman" w:hAnsi="Times New Roman" w:eastAsia="Times New Roman" w:cs="Times New Roman"/>
                <w:i/>
                <w:iCs/>
                <w:color w:val="000000"/>
                <w:spacing w:val="-6"/>
                <w:position w:val="-1"/>
                <w:sz w:val="21"/>
                <w:szCs w:val="21"/>
                <w:highlight w:val="none"/>
              </w:rPr>
              <w:t>W</w:t>
            </w:r>
            <w:r>
              <w:rPr>
                <w:rFonts w:hint="default" w:ascii="Times New Roman" w:hAnsi="Times New Roman" w:eastAsia="宋体" w:cs="Times New Roman"/>
                <w:color w:val="000000"/>
                <w:spacing w:val="-7"/>
                <w:sz w:val="21"/>
                <w:szCs w:val="21"/>
                <w:highlight w:val="none"/>
              </w:rPr>
              <w:t>；</w:t>
            </w:r>
          </w:p>
          <w:p w14:paraId="6C5F1711">
            <w:pPr>
              <w:keepNext w:val="0"/>
              <w:keepLines w:val="0"/>
              <w:pageBreakBefore w:val="0"/>
              <w:shd w:val="clear" w:color="auto" w:fill="auto"/>
              <w:kinsoku/>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drawing>
                <wp:inline distT="0" distB="0" distL="114300" distR="114300">
                  <wp:extent cx="1609725" cy="320675"/>
                  <wp:effectExtent l="0" t="0" r="9525" b="3175"/>
                  <wp:docPr id="567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 name="图片 10"/>
                          <pic:cNvPicPr>
                            <a:picLocks noChangeAspect="1"/>
                          </pic:cNvPicPr>
                        </pic:nvPicPr>
                        <pic:blipFill>
                          <a:blip r:embed="rId27"/>
                          <a:stretch>
                            <a:fillRect/>
                          </a:stretch>
                        </pic:blipFill>
                        <pic:spPr>
                          <a:xfrm>
                            <a:off x="0" y="0"/>
                            <a:ext cx="1609725" cy="320675"/>
                          </a:xfrm>
                          <a:prstGeom prst="rect">
                            <a:avLst/>
                          </a:prstGeom>
                          <a:noFill/>
                          <a:ln>
                            <a:noFill/>
                          </a:ln>
                        </pic:spPr>
                      </pic:pic>
                    </a:graphicData>
                  </a:graphic>
                </wp:inline>
              </w:drawing>
            </w:r>
          </w:p>
          <w:p w14:paraId="5E3C4E84">
            <w:pPr>
              <w:keepNext w:val="0"/>
              <w:keepLines w:val="0"/>
              <w:pageBreakBefore w:val="0"/>
              <w:shd w:val="clear" w:color="auto" w:fill="auto"/>
              <w:kinsoku/>
              <w:wordWrap/>
              <w:overflowPunct/>
              <w:topLinePunct w:val="0"/>
              <w:autoSpaceDE w:val="0"/>
              <w:autoSpaceDN w:val="0"/>
              <w:bidi w:val="0"/>
              <w:adjustRightInd w:val="0"/>
              <w:snapToGrid w:val="0"/>
              <w:spacing w:beforeAutospacing="0" w:afterAutospacing="0" w:line="360" w:lineRule="auto"/>
              <w:ind w:left="0" w:right="0" w:firstLine="720" w:firstLineChars="400"/>
              <w:textAlignment w:val="auto"/>
              <w:rPr>
                <w:rFonts w:hint="default"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pacing w:val="-15"/>
                <w:sz w:val="21"/>
                <w:szCs w:val="21"/>
                <w:highlight w:val="none"/>
                <w:lang w:val="en-US" w:eastAsia="zh-CN"/>
              </w:rPr>
              <w:t>其中</w:t>
            </w:r>
            <w:r>
              <w:rPr>
                <w:rFonts w:hint="default" w:ascii="Times New Roman" w:hAnsi="Times New Roman" w:eastAsia="宋体" w:cs="Times New Roman"/>
                <w:color w:val="000000"/>
                <w:spacing w:val="-15"/>
                <w:sz w:val="21"/>
                <w:szCs w:val="21"/>
                <w:highlight w:val="none"/>
              </w:rPr>
              <w:t>：</w:t>
            </w:r>
            <w:r>
              <w:rPr>
                <w:rFonts w:hint="default" w:ascii="Times New Roman" w:hAnsi="Times New Roman" w:eastAsia="Times New Roman" w:cs="Times New Roman"/>
                <w:color w:val="000000"/>
                <w:spacing w:val="-15"/>
                <w:sz w:val="21"/>
                <w:szCs w:val="21"/>
                <w:highlight w:val="none"/>
              </w:rPr>
              <w:t>s</w:t>
            </w:r>
            <w:r>
              <w:rPr>
                <w:rFonts w:hint="default" w:ascii="Times New Roman" w:hAnsi="Times New Roman" w:eastAsia="宋体" w:cs="Times New Roman"/>
                <w:color w:val="000000"/>
                <w:spacing w:val="-15"/>
                <w:sz w:val="21"/>
                <w:szCs w:val="21"/>
                <w:highlight w:val="none"/>
              </w:rPr>
              <w:t>为透声面积，</w:t>
            </w:r>
            <w:r>
              <w:rPr>
                <w:rFonts w:hint="eastAsia" w:ascii="Times New Roman" w:hAnsi="Times New Roman" w:eastAsia="宋体" w:cs="Times New Roman"/>
                <w:color w:val="000000"/>
                <w:spacing w:val="-15"/>
                <w:sz w:val="21"/>
                <w:szCs w:val="21"/>
                <w:highlight w:val="none"/>
                <w:lang w:eastAsia="zh-CN"/>
              </w:rPr>
              <w:t>㎡</w:t>
            </w:r>
            <w:r>
              <w:rPr>
                <w:rFonts w:hint="default" w:ascii="Times New Roman" w:hAnsi="Times New Roman" w:eastAsia="宋体" w:cs="Times New Roman"/>
                <w:color w:val="000000"/>
                <w:spacing w:val="-15"/>
                <w:sz w:val="21"/>
                <w:szCs w:val="21"/>
                <w:highlight w:val="none"/>
              </w:rPr>
              <w:t>。</w:t>
            </w:r>
          </w:p>
          <w:p w14:paraId="4BBF72B5">
            <w:pPr>
              <w:keepNext w:val="0"/>
              <w:keepLines w:val="0"/>
              <w:pageBreakBefore w:val="0"/>
              <w:widowControl/>
              <w:shd w:val="clear" w:color="auto" w:fill="auto"/>
              <w:kinsoku/>
              <w:wordWrap/>
              <w:overflowPunct/>
              <w:topLinePunct w:val="0"/>
              <w:autoSpaceDE w:val="0"/>
              <w:autoSpaceDN w:val="0"/>
              <w:bidi w:val="0"/>
              <w:adjustRightInd w:val="0"/>
              <w:snapToGrid w:val="0"/>
              <w:spacing w:beforeAutospacing="0" w:afterAutospacing="0" w:line="360" w:lineRule="auto"/>
              <w:ind w:right="0" w:firstLine="412" w:firstLineChars="200"/>
              <w:textAlignment w:val="auto"/>
              <w:rPr>
                <w:rFonts w:hint="default" w:ascii="Times New Roman" w:hAnsi="Times New Roman" w:eastAsia="Times New Roman" w:cs="Times New Roman"/>
                <w:i/>
                <w:iCs/>
                <w:color w:val="000000"/>
                <w:spacing w:val="-3"/>
                <w:sz w:val="21"/>
                <w:szCs w:val="21"/>
                <w:highlight w:val="none"/>
              </w:rPr>
            </w:pPr>
            <w:r>
              <w:rPr>
                <w:rFonts w:hint="default" w:ascii="Times New Roman" w:hAnsi="Times New Roman" w:eastAsia="宋体" w:cs="Times New Roman"/>
                <w:color w:val="000000"/>
                <w:spacing w:val="-2"/>
                <w:sz w:val="21"/>
                <w:szCs w:val="21"/>
                <w:highlight w:val="none"/>
              </w:rPr>
              <w:t>⑥等效室外声源的位置为围护结构的位置，其声功率级为</w:t>
            </w:r>
            <w:r>
              <w:rPr>
                <w:rFonts w:hint="default" w:ascii="Times New Roman" w:hAnsi="Times New Roman" w:eastAsia="Times New Roman" w:cs="Times New Roman"/>
                <w:color w:val="000000"/>
                <w:sz w:val="21"/>
                <w:szCs w:val="21"/>
                <w:highlight w:val="none"/>
              </w:rPr>
              <w:t>L</w:t>
            </w:r>
            <w:r>
              <w:rPr>
                <w:rFonts w:hint="default" w:ascii="Times New Roman" w:hAnsi="Times New Roman" w:eastAsia="Times New Roman" w:cs="Times New Roman"/>
                <w:i/>
                <w:iCs/>
                <w:color w:val="000000"/>
                <w:sz w:val="21"/>
                <w:szCs w:val="21"/>
                <w:highlight w:val="none"/>
              </w:rPr>
              <w:t>w</w:t>
            </w:r>
            <w:r>
              <w:rPr>
                <w:rFonts w:hint="default" w:ascii="Times New Roman" w:hAnsi="Times New Roman" w:eastAsia="宋体" w:cs="Times New Roman"/>
                <w:color w:val="000000"/>
                <w:spacing w:val="-2"/>
                <w:sz w:val="21"/>
                <w:szCs w:val="21"/>
                <w:highlight w:val="none"/>
              </w:rPr>
              <w:t>，由此按室</w:t>
            </w:r>
            <w:r>
              <w:rPr>
                <w:rFonts w:hint="default" w:ascii="Times New Roman" w:hAnsi="Times New Roman" w:eastAsia="宋体" w:cs="Times New Roman"/>
                <w:color w:val="000000"/>
                <w:sz w:val="21"/>
                <w:szCs w:val="21"/>
                <w:highlight w:val="none"/>
              </w:rPr>
              <w:t>外</w:t>
            </w:r>
            <w:r>
              <w:rPr>
                <w:rFonts w:hint="default" w:ascii="Times New Roman" w:hAnsi="Times New Roman" w:eastAsia="宋体" w:cs="Times New Roman"/>
                <w:color w:val="000000"/>
                <w:spacing w:val="-6"/>
                <w:sz w:val="21"/>
                <w:szCs w:val="21"/>
                <w:highlight w:val="none"/>
              </w:rPr>
              <w:t>声源方法计算</w:t>
            </w:r>
            <w:r>
              <w:rPr>
                <w:rFonts w:hint="default" w:ascii="Times New Roman" w:hAnsi="Times New Roman" w:eastAsia="宋体" w:cs="Times New Roman"/>
                <w:color w:val="000000"/>
                <w:spacing w:val="-3"/>
                <w:sz w:val="21"/>
                <w:szCs w:val="21"/>
                <w:highlight w:val="none"/>
              </w:rPr>
              <w:t>等效室外声源在预测点产生的</w:t>
            </w:r>
            <w:r>
              <w:rPr>
                <w:rFonts w:hint="default" w:ascii="Times New Roman" w:hAnsi="Times New Roman" w:eastAsia="Times New Roman" w:cs="Times New Roman"/>
                <w:color w:val="000000"/>
                <w:spacing w:val="-3"/>
                <w:sz w:val="21"/>
                <w:szCs w:val="21"/>
                <w:highlight w:val="none"/>
              </w:rPr>
              <w:t>A</w:t>
            </w:r>
            <w:r>
              <w:rPr>
                <w:rFonts w:hint="default" w:ascii="Times New Roman" w:hAnsi="Times New Roman" w:eastAsia="宋体" w:cs="Times New Roman"/>
                <w:color w:val="000000"/>
                <w:spacing w:val="-3"/>
                <w:sz w:val="21"/>
                <w:szCs w:val="21"/>
                <w:highlight w:val="none"/>
              </w:rPr>
              <w:t>声级。</w:t>
            </w:r>
          </w:p>
          <w:p w14:paraId="3B149F2D">
            <w:pPr>
              <w:keepNext w:val="0"/>
              <w:keepLines w:val="0"/>
              <w:pageBreakBefore w:val="0"/>
              <w:widowControl w:val="0"/>
              <w:shd w:val="clear" w:color="auto" w:fill="auto"/>
              <w:kinsoku/>
              <w:wordWrap/>
              <w:overflowPunct/>
              <w:topLinePunct w:val="0"/>
              <w:autoSpaceDE w:val="0"/>
              <w:autoSpaceDN w:val="0"/>
              <w:bidi w:val="0"/>
              <w:adjustRightInd w:val="0"/>
              <w:snapToGrid w:val="0"/>
              <w:spacing w:beforeAutospacing="0" w:afterAutospacing="0" w:line="360" w:lineRule="auto"/>
              <w:ind w:right="0" w:firstLine="448" w:firstLineChars="200"/>
              <w:textAlignment w:val="auto"/>
              <w:rPr>
                <w:rFonts w:hint="default" w:ascii="Times New Roman" w:hAnsi="Times New Roman" w:eastAsia="宋体" w:cs="Times New Roman"/>
                <w:color w:val="000000"/>
                <w:spacing w:val="7"/>
                <w:sz w:val="21"/>
                <w:szCs w:val="21"/>
                <w:highlight w:val="none"/>
              </w:rPr>
            </w:pPr>
            <w:r>
              <w:rPr>
                <w:rFonts w:hint="default" w:ascii="Times New Roman" w:hAnsi="Times New Roman" w:cs="Times New Roman"/>
                <w:color w:val="000000"/>
                <w:spacing w:val="7"/>
                <w:sz w:val="21"/>
                <w:szCs w:val="21"/>
                <w:highlight w:val="none"/>
                <w:lang w:eastAsia="zh-CN"/>
              </w:rPr>
              <w:t>（3）</w:t>
            </w:r>
            <w:r>
              <w:rPr>
                <w:rFonts w:hint="default" w:ascii="Times New Roman" w:hAnsi="Times New Roman" w:eastAsia="宋体" w:cs="Times New Roman"/>
                <w:color w:val="000000"/>
                <w:spacing w:val="7"/>
                <w:sz w:val="21"/>
                <w:szCs w:val="21"/>
                <w:highlight w:val="none"/>
              </w:rPr>
              <w:t>计算总声压级</w:t>
            </w:r>
          </w:p>
          <w:p w14:paraId="630579BC">
            <w:pPr>
              <w:keepNext w:val="0"/>
              <w:keepLines w:val="0"/>
              <w:pageBreakBefore w:val="0"/>
              <w:widowControl w:val="0"/>
              <w:shd w:val="clear" w:color="auto" w:fill="auto"/>
              <w:kinsoku/>
              <w:wordWrap/>
              <w:overflowPunct/>
              <w:topLinePunct w:val="0"/>
              <w:autoSpaceDE w:val="0"/>
              <w:autoSpaceDN w:val="0"/>
              <w:bidi w:val="0"/>
              <w:adjustRightInd w:val="0"/>
              <w:snapToGrid w:val="0"/>
              <w:spacing w:beforeAutospacing="0" w:afterAutospacing="0" w:line="360" w:lineRule="auto"/>
              <w:ind w:left="0" w:leftChars="0" w:right="0" w:firstLine="364" w:firstLineChars="200"/>
              <w:textAlignment w:val="auto"/>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pacing w:val="-14"/>
                <w:sz w:val="21"/>
                <w:szCs w:val="21"/>
                <w:highlight w:val="none"/>
              </w:rPr>
              <w:t>设</w:t>
            </w:r>
            <w:r>
              <w:rPr>
                <w:rFonts w:hint="default" w:ascii="Times New Roman" w:hAnsi="Times New Roman" w:eastAsia="宋体" w:cs="Times New Roman"/>
                <w:color w:val="000000"/>
                <w:spacing w:val="-8"/>
                <w:sz w:val="21"/>
                <w:szCs w:val="21"/>
                <w:highlight w:val="none"/>
              </w:rPr>
              <w:t>第</w:t>
            </w:r>
            <w:r>
              <w:rPr>
                <w:rFonts w:hint="default" w:ascii="Times New Roman" w:hAnsi="Times New Roman" w:eastAsia="Times New Roman" w:cs="Times New Roman"/>
                <w:color w:val="000000"/>
                <w:spacing w:val="-7"/>
                <w:sz w:val="21"/>
                <w:szCs w:val="21"/>
                <w:highlight w:val="none"/>
              </w:rPr>
              <w:t>i</w:t>
            </w:r>
            <w:r>
              <w:rPr>
                <w:rFonts w:hint="default" w:ascii="Times New Roman" w:hAnsi="Times New Roman" w:eastAsia="宋体" w:cs="Times New Roman"/>
                <w:color w:val="000000"/>
                <w:spacing w:val="-7"/>
                <w:sz w:val="21"/>
                <w:szCs w:val="21"/>
                <w:highlight w:val="none"/>
              </w:rPr>
              <w:t>个室外声源在预测点产生的</w:t>
            </w:r>
            <w:r>
              <w:rPr>
                <w:rFonts w:hint="default" w:ascii="Times New Roman" w:hAnsi="Times New Roman" w:eastAsia="Times New Roman" w:cs="Times New Roman"/>
                <w:color w:val="000000"/>
                <w:spacing w:val="-7"/>
                <w:sz w:val="21"/>
                <w:szCs w:val="21"/>
                <w:highlight w:val="none"/>
              </w:rPr>
              <w:t>A</w:t>
            </w:r>
            <w:r>
              <w:rPr>
                <w:rFonts w:hint="default" w:ascii="Times New Roman" w:hAnsi="Times New Roman" w:eastAsia="宋体" w:cs="Times New Roman"/>
                <w:color w:val="000000"/>
                <w:spacing w:val="-7"/>
                <w:sz w:val="21"/>
                <w:szCs w:val="21"/>
                <w:highlight w:val="none"/>
              </w:rPr>
              <w:t>声级为</w:t>
            </w:r>
            <w:r>
              <w:rPr>
                <w:rFonts w:hint="default" w:ascii="Times New Roman" w:hAnsi="Times New Roman" w:eastAsia="Times New Roman" w:cs="Times New Roman"/>
                <w:i/>
                <w:iCs/>
                <w:color w:val="000000"/>
                <w:spacing w:val="-7"/>
                <w:sz w:val="21"/>
                <w:szCs w:val="21"/>
                <w:highlight w:val="none"/>
              </w:rPr>
              <w:t>L</w:t>
            </w:r>
            <w:r>
              <w:rPr>
                <w:rFonts w:hint="default" w:ascii="Times New Roman" w:hAnsi="Times New Roman" w:eastAsia="Times New Roman" w:cs="Times New Roman"/>
                <w:i/>
                <w:iCs/>
                <w:color w:val="000000"/>
                <w:spacing w:val="-7"/>
                <w:position w:val="-1"/>
                <w:sz w:val="21"/>
                <w:szCs w:val="21"/>
                <w:highlight w:val="none"/>
              </w:rPr>
              <w:t>A,i</w:t>
            </w:r>
            <w:r>
              <w:rPr>
                <w:rFonts w:hint="default" w:ascii="Times New Roman" w:hAnsi="Times New Roman" w:eastAsia="Times New Roman" w:cs="Times New Roman"/>
                <w:color w:val="000000"/>
                <w:spacing w:val="-7"/>
                <w:position w:val="-1"/>
                <w:sz w:val="21"/>
                <w:szCs w:val="21"/>
                <w:highlight w:val="none"/>
              </w:rPr>
              <w:t xml:space="preserve"> </w:t>
            </w:r>
            <w:r>
              <w:rPr>
                <w:rFonts w:hint="default" w:ascii="Times New Roman" w:hAnsi="Times New Roman" w:eastAsia="宋体" w:cs="Times New Roman"/>
                <w:color w:val="000000"/>
                <w:spacing w:val="-7"/>
                <w:sz w:val="21"/>
                <w:szCs w:val="21"/>
                <w:highlight w:val="none"/>
              </w:rPr>
              <w:t>，在</w:t>
            </w:r>
            <w:r>
              <w:rPr>
                <w:rFonts w:hint="default" w:ascii="Times New Roman" w:hAnsi="Times New Roman" w:eastAsia="Times New Roman" w:cs="Times New Roman"/>
                <w:color w:val="000000"/>
                <w:spacing w:val="-7"/>
                <w:sz w:val="21"/>
                <w:szCs w:val="21"/>
                <w:highlight w:val="none"/>
              </w:rPr>
              <w:t>T</w:t>
            </w:r>
            <w:r>
              <w:rPr>
                <w:rFonts w:hint="default" w:ascii="Times New Roman" w:hAnsi="Times New Roman" w:eastAsia="宋体" w:cs="Times New Roman"/>
                <w:color w:val="000000"/>
                <w:spacing w:val="-7"/>
                <w:sz w:val="21"/>
                <w:szCs w:val="21"/>
                <w:highlight w:val="none"/>
              </w:rPr>
              <w:t>时间内该声源工作时间</w:t>
            </w:r>
            <w:r>
              <w:rPr>
                <w:rFonts w:hint="default" w:ascii="Times New Roman" w:hAnsi="Times New Roman" w:eastAsia="宋体" w:cs="Times New Roman"/>
                <w:color w:val="000000"/>
                <w:spacing w:val="-12"/>
                <w:sz w:val="21"/>
                <w:szCs w:val="21"/>
                <w:highlight w:val="none"/>
              </w:rPr>
              <w:t>为</w:t>
            </w:r>
            <w:r>
              <w:rPr>
                <w:rFonts w:hint="default" w:ascii="Times New Roman" w:hAnsi="Times New Roman" w:eastAsia="Times New Roman" w:cs="Times New Roman"/>
                <w:i/>
                <w:iCs/>
                <w:color w:val="000000"/>
                <w:spacing w:val="-6"/>
                <w:sz w:val="21"/>
                <w:szCs w:val="21"/>
                <w:highlight w:val="none"/>
              </w:rPr>
              <w:t>t</w:t>
            </w:r>
            <w:r>
              <w:rPr>
                <w:rFonts w:hint="default" w:ascii="Times New Roman" w:hAnsi="Times New Roman" w:eastAsia="Times New Roman" w:cs="Times New Roman"/>
                <w:i/>
                <w:iCs/>
                <w:color w:val="000000"/>
                <w:spacing w:val="-6"/>
                <w:position w:val="-1"/>
                <w:sz w:val="21"/>
                <w:szCs w:val="21"/>
                <w:highlight w:val="none"/>
              </w:rPr>
              <w:t>i</w:t>
            </w:r>
            <w:r>
              <w:rPr>
                <w:rFonts w:hint="default" w:ascii="Times New Roman" w:hAnsi="Times New Roman" w:eastAsia="Times New Roman" w:cs="Times New Roman"/>
                <w:color w:val="000000"/>
                <w:spacing w:val="-6"/>
                <w:position w:val="-1"/>
                <w:sz w:val="21"/>
                <w:szCs w:val="21"/>
                <w:highlight w:val="none"/>
              </w:rPr>
              <w:t xml:space="preserve"> </w:t>
            </w:r>
            <w:r>
              <w:rPr>
                <w:rFonts w:hint="default" w:ascii="Times New Roman" w:hAnsi="Times New Roman" w:eastAsia="宋体" w:cs="Times New Roman"/>
                <w:color w:val="000000"/>
                <w:spacing w:val="-6"/>
                <w:sz w:val="21"/>
                <w:szCs w:val="21"/>
                <w:highlight w:val="none"/>
              </w:rPr>
              <w:t>；第</w:t>
            </w:r>
            <w:r>
              <w:rPr>
                <w:rFonts w:hint="default" w:ascii="Times New Roman" w:hAnsi="Times New Roman" w:eastAsia="Times New Roman" w:cs="Times New Roman"/>
                <w:color w:val="000000"/>
                <w:spacing w:val="-6"/>
                <w:sz w:val="21"/>
                <w:szCs w:val="21"/>
                <w:highlight w:val="none"/>
              </w:rPr>
              <w:t>j</w:t>
            </w:r>
            <w:r>
              <w:rPr>
                <w:rFonts w:hint="default" w:ascii="Times New Roman" w:hAnsi="Times New Roman" w:eastAsia="宋体" w:cs="Times New Roman"/>
                <w:color w:val="000000"/>
                <w:spacing w:val="-6"/>
                <w:sz w:val="21"/>
                <w:szCs w:val="21"/>
                <w:highlight w:val="none"/>
              </w:rPr>
              <w:t>个等效室外声源在预测点产生的</w:t>
            </w:r>
            <w:r>
              <w:rPr>
                <w:rFonts w:hint="default" w:ascii="Times New Roman" w:hAnsi="Times New Roman" w:eastAsia="Times New Roman" w:cs="Times New Roman"/>
                <w:color w:val="000000"/>
                <w:spacing w:val="-6"/>
                <w:sz w:val="21"/>
                <w:szCs w:val="21"/>
                <w:highlight w:val="none"/>
              </w:rPr>
              <w:t>A</w:t>
            </w:r>
            <w:r>
              <w:rPr>
                <w:rFonts w:hint="default" w:ascii="Times New Roman" w:hAnsi="Times New Roman" w:eastAsia="宋体" w:cs="Times New Roman"/>
                <w:color w:val="000000"/>
                <w:spacing w:val="-6"/>
                <w:sz w:val="21"/>
                <w:szCs w:val="21"/>
                <w:highlight w:val="none"/>
              </w:rPr>
              <w:t>声级为</w:t>
            </w:r>
            <w:r>
              <w:rPr>
                <w:rFonts w:hint="default" w:ascii="Times New Roman" w:hAnsi="Times New Roman" w:eastAsia="Times New Roman" w:cs="Times New Roman"/>
                <w:i/>
                <w:iCs/>
                <w:color w:val="000000"/>
                <w:spacing w:val="-6"/>
                <w:sz w:val="21"/>
                <w:szCs w:val="21"/>
                <w:highlight w:val="none"/>
              </w:rPr>
              <w:t>L</w:t>
            </w:r>
            <w:r>
              <w:rPr>
                <w:rFonts w:hint="default" w:ascii="Times New Roman" w:hAnsi="Times New Roman" w:eastAsia="Times New Roman" w:cs="Times New Roman"/>
                <w:i/>
                <w:iCs/>
                <w:color w:val="000000"/>
                <w:spacing w:val="-6"/>
                <w:position w:val="-1"/>
                <w:sz w:val="21"/>
                <w:szCs w:val="21"/>
                <w:highlight w:val="none"/>
              </w:rPr>
              <w:t>Aj</w:t>
            </w:r>
            <w:r>
              <w:rPr>
                <w:rFonts w:hint="default" w:ascii="Times New Roman" w:hAnsi="Times New Roman" w:eastAsia="Times New Roman" w:cs="Times New Roman"/>
                <w:color w:val="000000"/>
                <w:spacing w:val="-6"/>
                <w:position w:val="-1"/>
                <w:sz w:val="21"/>
                <w:szCs w:val="21"/>
                <w:highlight w:val="none"/>
              </w:rPr>
              <w:t xml:space="preserve"> </w:t>
            </w:r>
            <w:r>
              <w:rPr>
                <w:rFonts w:hint="default" w:ascii="Times New Roman" w:hAnsi="Times New Roman" w:eastAsia="宋体" w:cs="Times New Roman"/>
                <w:color w:val="000000"/>
                <w:spacing w:val="-6"/>
                <w:sz w:val="21"/>
                <w:szCs w:val="21"/>
                <w:highlight w:val="none"/>
              </w:rPr>
              <w:t>，在</w:t>
            </w:r>
            <w:r>
              <w:rPr>
                <w:rFonts w:hint="default" w:ascii="Times New Roman" w:hAnsi="Times New Roman" w:eastAsia="Times New Roman" w:cs="Times New Roman"/>
                <w:color w:val="000000"/>
                <w:spacing w:val="-6"/>
                <w:sz w:val="21"/>
                <w:szCs w:val="21"/>
                <w:highlight w:val="none"/>
              </w:rPr>
              <w:t>T</w:t>
            </w:r>
            <w:r>
              <w:rPr>
                <w:rFonts w:hint="default" w:ascii="Times New Roman" w:hAnsi="Times New Roman" w:eastAsia="宋体" w:cs="Times New Roman"/>
                <w:color w:val="000000"/>
                <w:spacing w:val="-6"/>
                <w:sz w:val="21"/>
                <w:szCs w:val="21"/>
                <w:highlight w:val="none"/>
              </w:rPr>
              <w:t>时间内该声源</w:t>
            </w:r>
            <w:r>
              <w:rPr>
                <w:rFonts w:hint="default" w:ascii="Times New Roman" w:hAnsi="Times New Roman" w:eastAsia="宋体" w:cs="Times New Roman"/>
                <w:color w:val="000000"/>
                <w:spacing w:val="1"/>
                <w:sz w:val="21"/>
                <w:szCs w:val="21"/>
                <w:highlight w:val="none"/>
              </w:rPr>
              <w:t>工作时间为</w:t>
            </w:r>
            <w:r>
              <w:rPr>
                <w:rFonts w:hint="default" w:ascii="Times New Roman" w:hAnsi="Times New Roman" w:eastAsia="Times New Roman" w:cs="Times New Roman"/>
                <w:i/>
                <w:iCs/>
                <w:color w:val="000000"/>
                <w:sz w:val="21"/>
                <w:szCs w:val="21"/>
                <w:highlight w:val="none"/>
              </w:rPr>
              <w:t>t</w:t>
            </w:r>
            <w:r>
              <w:rPr>
                <w:rFonts w:hint="default" w:ascii="Times New Roman" w:hAnsi="Times New Roman" w:eastAsia="Times New Roman" w:cs="Times New Roman"/>
                <w:i/>
                <w:iCs/>
                <w:color w:val="000000"/>
                <w:position w:val="-1"/>
                <w:sz w:val="21"/>
                <w:szCs w:val="21"/>
                <w:highlight w:val="none"/>
              </w:rPr>
              <w:t>,j</w:t>
            </w:r>
            <w:r>
              <w:rPr>
                <w:rFonts w:hint="default" w:ascii="Times New Roman" w:hAnsi="Times New Roman" w:eastAsia="Times New Roman" w:cs="Times New Roman"/>
                <w:color w:val="000000"/>
                <w:position w:val="-1"/>
                <w:sz w:val="21"/>
                <w:szCs w:val="21"/>
                <w:highlight w:val="none"/>
              </w:rPr>
              <w:t xml:space="preserve"> </w:t>
            </w:r>
            <w:r>
              <w:rPr>
                <w:rFonts w:hint="default" w:ascii="Times New Roman" w:hAnsi="Times New Roman" w:eastAsia="宋体" w:cs="Times New Roman"/>
                <w:color w:val="000000"/>
                <w:sz w:val="21"/>
                <w:szCs w:val="21"/>
                <w:highlight w:val="none"/>
              </w:rPr>
              <w:t>，则拟建工程声源对预测点产生的贡献值</w:t>
            </w:r>
            <w:r>
              <w:rPr>
                <w:rFonts w:hint="default" w:ascii="Times New Roman" w:hAnsi="Times New Roman" w:eastAsia="宋体" w:cs="Times New Roman"/>
                <w:color w:val="000000"/>
                <w:sz w:val="21"/>
                <w:szCs w:val="21"/>
                <w:highlight w:val="none"/>
                <w:lang w:eastAsia="zh-CN"/>
              </w:rPr>
              <w:t>（</w:t>
            </w:r>
            <w:r>
              <w:rPr>
                <w:rFonts w:hint="default" w:ascii="Times New Roman" w:hAnsi="Times New Roman" w:eastAsia="Times New Roman" w:cs="Times New Roman"/>
                <w:color w:val="000000"/>
                <w:sz w:val="21"/>
                <w:szCs w:val="21"/>
                <w:highlight w:val="none"/>
              </w:rPr>
              <w:t>L</w:t>
            </w:r>
            <w:r>
              <w:rPr>
                <w:rFonts w:hint="default" w:ascii="Times New Roman" w:hAnsi="Times New Roman" w:eastAsia="Times New Roman" w:cs="Times New Roman"/>
                <w:i/>
                <w:iCs/>
                <w:color w:val="000000"/>
                <w:position w:val="-1"/>
                <w:sz w:val="21"/>
                <w:szCs w:val="21"/>
                <w:highlight w:val="none"/>
              </w:rPr>
              <w:t>eqg</w:t>
            </w:r>
            <w:r>
              <w:rPr>
                <w:rFonts w:hint="default" w:ascii="Times New Roman" w:hAnsi="Times New Roman" w:eastAsia="Times New Roman" w:cs="Times New Roman"/>
                <w:color w:val="000000"/>
                <w:position w:val="-1"/>
                <w:sz w:val="21"/>
                <w:szCs w:val="21"/>
                <w:highlight w:val="none"/>
              </w:rPr>
              <w:t xml:space="preserve"> </w:t>
            </w:r>
            <w:r>
              <w:rPr>
                <w:rFonts w:hint="default" w:ascii="Times New Roman" w:hAnsi="Times New Roman" w:eastAsia="宋体" w:cs="Times New Roman"/>
                <w:color w:val="000000"/>
                <w:sz w:val="21"/>
                <w:szCs w:val="21"/>
                <w:highlight w:val="none"/>
                <w:lang w:eastAsia="zh-CN"/>
              </w:rPr>
              <w:t>）</w:t>
            </w:r>
          </w:p>
          <w:p w14:paraId="6541EFED">
            <w:pPr>
              <w:keepNext w:val="0"/>
              <w:keepLines w:val="0"/>
              <w:pageBreakBefore w:val="0"/>
              <w:widowControl w:val="0"/>
              <w:shd w:val="clear" w:color="auto" w:fill="auto"/>
              <w:kinsoku/>
              <w:wordWrap/>
              <w:overflowPunct/>
              <w:topLinePunct w:val="0"/>
              <w:autoSpaceDE w:val="0"/>
              <w:autoSpaceDN w:val="0"/>
              <w:bidi w:val="0"/>
              <w:adjustRightInd w:val="0"/>
              <w:snapToGrid w:val="0"/>
              <w:spacing w:beforeAutospacing="0" w:afterAutospacing="0" w:line="360" w:lineRule="auto"/>
              <w:ind w:left="0" w:leftChars="0" w:right="0" w:firstLine="1260" w:firstLineChars="600"/>
              <w:textAlignment w:val="auto"/>
              <w:rPr>
                <w:rFonts w:hint="default" w:ascii="Times New Roman" w:hAnsi="Times New Roman" w:eastAsia="宋体" w:cs="Times New Roman"/>
                <w:color w:val="000000"/>
                <w:spacing w:val="-17"/>
                <w:sz w:val="21"/>
                <w:szCs w:val="21"/>
                <w:highlight w:val="none"/>
              </w:rPr>
            </w:pPr>
            <w:r>
              <w:rPr>
                <w:rFonts w:hint="default" w:ascii="Times New Roman" w:hAnsi="Times New Roman" w:cs="Times New Roman"/>
                <w:color w:val="000000"/>
                <w:sz w:val="21"/>
                <w:szCs w:val="21"/>
                <w:highlight w:val="none"/>
              </w:rPr>
              <w:drawing>
                <wp:inline distT="0" distB="0" distL="114300" distR="114300">
                  <wp:extent cx="2656205" cy="506095"/>
                  <wp:effectExtent l="0" t="0" r="10795" b="8255"/>
                  <wp:docPr id="56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 name="图片 11"/>
                          <pic:cNvPicPr>
                            <a:picLocks noChangeAspect="1"/>
                          </pic:cNvPicPr>
                        </pic:nvPicPr>
                        <pic:blipFill>
                          <a:blip r:embed="rId28"/>
                          <a:stretch>
                            <a:fillRect/>
                          </a:stretch>
                        </pic:blipFill>
                        <pic:spPr>
                          <a:xfrm>
                            <a:off x="0" y="0"/>
                            <a:ext cx="2656205" cy="506095"/>
                          </a:xfrm>
                          <a:prstGeom prst="rect">
                            <a:avLst/>
                          </a:prstGeom>
                          <a:noFill/>
                          <a:ln>
                            <a:noFill/>
                          </a:ln>
                        </pic:spPr>
                      </pic:pic>
                    </a:graphicData>
                  </a:graphic>
                </wp:inline>
              </w:drawing>
            </w:r>
          </w:p>
          <w:p w14:paraId="57B1BA2F">
            <w:pPr>
              <w:keepNext w:val="0"/>
              <w:keepLines w:val="0"/>
              <w:pageBreakBefore w:val="0"/>
              <w:widowControl w:val="0"/>
              <w:shd w:val="clear" w:color="auto" w:fill="auto"/>
              <w:kinsoku/>
              <w:wordWrap/>
              <w:overflowPunct/>
              <w:topLinePunct w:val="0"/>
              <w:autoSpaceDE w:val="0"/>
              <w:autoSpaceDN w:val="0"/>
              <w:bidi w:val="0"/>
              <w:adjustRightInd w:val="0"/>
              <w:snapToGrid w:val="0"/>
              <w:spacing w:beforeAutospacing="0" w:afterAutospacing="0" w:line="360" w:lineRule="auto"/>
              <w:ind w:left="0" w:leftChars="0" w:right="0" w:firstLine="1056" w:firstLineChars="600"/>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pacing w:val="-17"/>
                <w:sz w:val="21"/>
                <w:szCs w:val="21"/>
                <w:highlight w:val="none"/>
              </w:rPr>
              <w:t>式</w:t>
            </w:r>
            <w:r>
              <w:rPr>
                <w:rFonts w:hint="default" w:ascii="Times New Roman" w:hAnsi="Times New Roman" w:eastAsia="宋体" w:cs="Times New Roman"/>
                <w:color w:val="000000"/>
                <w:spacing w:val="-15"/>
                <w:sz w:val="21"/>
                <w:szCs w:val="21"/>
                <w:highlight w:val="none"/>
              </w:rPr>
              <w:t>中：</w:t>
            </w:r>
          </w:p>
          <w:p w14:paraId="48C10880">
            <w:pPr>
              <w:keepNext w:val="0"/>
              <w:keepLines w:val="0"/>
              <w:pageBreakBefore w:val="0"/>
              <w:widowControl w:val="0"/>
              <w:shd w:val="clear" w:color="auto" w:fill="auto"/>
              <w:kinsoku/>
              <w:wordWrap/>
              <w:overflowPunct/>
              <w:topLinePunct w:val="0"/>
              <w:autoSpaceDE w:val="0"/>
              <w:autoSpaceDN w:val="0"/>
              <w:bidi w:val="0"/>
              <w:adjustRightInd w:val="0"/>
              <w:snapToGrid w:val="0"/>
              <w:spacing w:beforeAutospacing="0" w:afterAutospacing="0" w:line="360" w:lineRule="auto"/>
              <w:ind w:left="0" w:leftChars="0" w:right="0" w:firstLine="1176" w:firstLineChars="600"/>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Times New Roman" w:cs="Times New Roman"/>
                <w:color w:val="000000"/>
                <w:spacing w:val="-7"/>
                <w:position w:val="17"/>
                <w:sz w:val="21"/>
                <w:szCs w:val="21"/>
                <w:highlight w:val="none"/>
              </w:rPr>
              <w:t>t</w:t>
            </w:r>
            <w:r>
              <w:rPr>
                <w:rFonts w:hint="default" w:ascii="Times New Roman" w:hAnsi="Times New Roman" w:eastAsia="Times New Roman" w:cs="Times New Roman"/>
                <w:color w:val="000000"/>
                <w:spacing w:val="-7"/>
                <w:position w:val="16"/>
                <w:sz w:val="21"/>
                <w:szCs w:val="21"/>
                <w:highlight w:val="none"/>
              </w:rPr>
              <w:t>j</w:t>
            </w:r>
            <w:r>
              <w:rPr>
                <w:rFonts w:hint="default" w:ascii="Times New Roman" w:hAnsi="Times New Roman" w:eastAsia="Times New Roman" w:cs="Times New Roman"/>
                <w:color w:val="000000"/>
                <w:spacing w:val="-9"/>
                <w:position w:val="16"/>
                <w:sz w:val="21"/>
                <w:szCs w:val="21"/>
                <w:highlight w:val="none"/>
              </w:rPr>
              <w:t xml:space="preserve"> </w:t>
            </w:r>
            <w:r>
              <w:rPr>
                <w:rFonts w:hint="default" w:ascii="Times New Roman" w:hAnsi="Times New Roman" w:eastAsia="宋体" w:cs="Times New Roman"/>
                <w:color w:val="000000"/>
                <w:spacing w:val="-7"/>
                <w:position w:val="17"/>
                <w:sz w:val="21"/>
                <w:szCs w:val="21"/>
                <w:highlight w:val="none"/>
              </w:rPr>
              <w:t>：在</w:t>
            </w:r>
            <w:r>
              <w:rPr>
                <w:rFonts w:hint="default" w:ascii="Times New Roman" w:hAnsi="Times New Roman" w:eastAsia="Times New Roman" w:cs="Times New Roman"/>
                <w:color w:val="000000"/>
                <w:spacing w:val="-7"/>
                <w:position w:val="17"/>
                <w:sz w:val="21"/>
                <w:szCs w:val="21"/>
                <w:highlight w:val="none"/>
              </w:rPr>
              <w:t>T</w:t>
            </w:r>
            <w:r>
              <w:rPr>
                <w:rFonts w:hint="default" w:ascii="Times New Roman" w:hAnsi="Times New Roman" w:eastAsia="宋体" w:cs="Times New Roman"/>
                <w:color w:val="000000"/>
                <w:spacing w:val="-7"/>
                <w:position w:val="17"/>
                <w:sz w:val="21"/>
                <w:szCs w:val="21"/>
                <w:highlight w:val="none"/>
              </w:rPr>
              <w:t>时间内</w:t>
            </w:r>
            <w:r>
              <w:rPr>
                <w:rFonts w:hint="default" w:ascii="Times New Roman" w:hAnsi="Times New Roman" w:eastAsia="Times New Roman" w:cs="Times New Roman"/>
                <w:color w:val="000000"/>
                <w:spacing w:val="-7"/>
                <w:position w:val="17"/>
                <w:sz w:val="21"/>
                <w:szCs w:val="21"/>
                <w:highlight w:val="none"/>
              </w:rPr>
              <w:t>j</w:t>
            </w:r>
            <w:r>
              <w:rPr>
                <w:rFonts w:hint="default" w:ascii="Times New Roman" w:hAnsi="Times New Roman" w:eastAsia="宋体" w:cs="Times New Roman"/>
                <w:color w:val="000000"/>
                <w:spacing w:val="-7"/>
                <w:position w:val="17"/>
                <w:sz w:val="21"/>
                <w:szCs w:val="21"/>
                <w:highlight w:val="none"/>
              </w:rPr>
              <w:t>声源工作时间，</w:t>
            </w:r>
            <w:r>
              <w:rPr>
                <w:rFonts w:hint="default" w:ascii="Times New Roman" w:hAnsi="Times New Roman" w:eastAsia="Times New Roman" w:cs="Times New Roman"/>
                <w:color w:val="000000"/>
                <w:spacing w:val="-7"/>
                <w:position w:val="17"/>
                <w:sz w:val="21"/>
                <w:szCs w:val="21"/>
                <w:highlight w:val="none"/>
              </w:rPr>
              <w:t>s</w:t>
            </w:r>
            <w:r>
              <w:rPr>
                <w:rFonts w:hint="default" w:ascii="Times New Roman" w:hAnsi="Times New Roman" w:eastAsia="宋体" w:cs="Times New Roman"/>
                <w:color w:val="000000"/>
                <w:spacing w:val="-7"/>
                <w:position w:val="17"/>
                <w:sz w:val="21"/>
                <w:szCs w:val="21"/>
                <w:highlight w:val="none"/>
              </w:rPr>
              <w:t>；</w:t>
            </w:r>
          </w:p>
          <w:p w14:paraId="4AC2F8A0">
            <w:pPr>
              <w:keepNext w:val="0"/>
              <w:keepLines w:val="0"/>
              <w:pageBreakBefore w:val="0"/>
              <w:widowControl w:val="0"/>
              <w:shd w:val="clear" w:color="auto" w:fill="auto"/>
              <w:kinsoku/>
              <w:wordWrap/>
              <w:overflowPunct/>
              <w:topLinePunct w:val="0"/>
              <w:autoSpaceDE w:val="0"/>
              <w:autoSpaceDN w:val="0"/>
              <w:bidi w:val="0"/>
              <w:adjustRightInd w:val="0"/>
              <w:snapToGrid w:val="0"/>
              <w:spacing w:beforeAutospacing="0" w:afterAutospacing="0" w:line="360" w:lineRule="auto"/>
              <w:ind w:left="0" w:leftChars="0" w:right="0" w:firstLine="1176" w:firstLineChars="600"/>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Times New Roman" w:cs="Times New Roman"/>
                <w:color w:val="000000"/>
                <w:spacing w:val="-7"/>
                <w:sz w:val="21"/>
                <w:szCs w:val="21"/>
                <w:highlight w:val="none"/>
              </w:rPr>
              <w:t>t</w:t>
            </w:r>
            <w:r>
              <w:rPr>
                <w:rFonts w:hint="default" w:ascii="Times New Roman" w:hAnsi="Times New Roman" w:eastAsia="Times New Roman" w:cs="Times New Roman"/>
                <w:color w:val="000000"/>
                <w:spacing w:val="-7"/>
                <w:position w:val="-1"/>
                <w:sz w:val="21"/>
                <w:szCs w:val="21"/>
                <w:highlight w:val="none"/>
              </w:rPr>
              <w:t>i</w:t>
            </w:r>
            <w:r>
              <w:rPr>
                <w:rFonts w:hint="default" w:ascii="Times New Roman" w:hAnsi="Times New Roman" w:eastAsia="Times New Roman" w:cs="Times New Roman"/>
                <w:color w:val="000000"/>
                <w:spacing w:val="-9"/>
                <w:position w:val="-1"/>
                <w:sz w:val="21"/>
                <w:szCs w:val="21"/>
                <w:highlight w:val="none"/>
              </w:rPr>
              <w:t xml:space="preserve"> </w:t>
            </w:r>
            <w:r>
              <w:rPr>
                <w:rFonts w:hint="default" w:ascii="Times New Roman" w:hAnsi="Times New Roman" w:eastAsia="宋体" w:cs="Times New Roman"/>
                <w:color w:val="000000"/>
                <w:spacing w:val="-7"/>
                <w:sz w:val="21"/>
                <w:szCs w:val="21"/>
                <w:highlight w:val="none"/>
              </w:rPr>
              <w:t>：在</w:t>
            </w:r>
            <w:r>
              <w:rPr>
                <w:rFonts w:hint="default" w:ascii="Times New Roman" w:hAnsi="Times New Roman" w:eastAsia="Times New Roman" w:cs="Times New Roman"/>
                <w:color w:val="000000"/>
                <w:spacing w:val="-7"/>
                <w:sz w:val="21"/>
                <w:szCs w:val="21"/>
                <w:highlight w:val="none"/>
              </w:rPr>
              <w:t>T</w:t>
            </w:r>
            <w:r>
              <w:rPr>
                <w:rFonts w:hint="default" w:ascii="Times New Roman" w:hAnsi="Times New Roman" w:eastAsia="宋体" w:cs="Times New Roman"/>
                <w:color w:val="000000"/>
                <w:spacing w:val="-7"/>
                <w:sz w:val="21"/>
                <w:szCs w:val="21"/>
                <w:highlight w:val="none"/>
              </w:rPr>
              <w:t>时间内</w:t>
            </w:r>
            <w:r>
              <w:rPr>
                <w:rFonts w:hint="default" w:ascii="Times New Roman" w:hAnsi="Times New Roman" w:eastAsia="Times New Roman" w:cs="Times New Roman"/>
                <w:color w:val="000000"/>
                <w:spacing w:val="-7"/>
                <w:sz w:val="21"/>
                <w:szCs w:val="21"/>
                <w:highlight w:val="none"/>
              </w:rPr>
              <w:t>i</w:t>
            </w:r>
            <w:r>
              <w:rPr>
                <w:rFonts w:hint="default" w:ascii="Times New Roman" w:hAnsi="Times New Roman" w:eastAsia="宋体" w:cs="Times New Roman"/>
                <w:color w:val="000000"/>
                <w:spacing w:val="-7"/>
                <w:sz w:val="21"/>
                <w:szCs w:val="21"/>
                <w:highlight w:val="none"/>
              </w:rPr>
              <w:t>声源工作时间，</w:t>
            </w:r>
            <w:r>
              <w:rPr>
                <w:rFonts w:hint="default" w:ascii="Times New Roman" w:hAnsi="Times New Roman" w:eastAsia="Times New Roman" w:cs="Times New Roman"/>
                <w:color w:val="000000"/>
                <w:spacing w:val="-7"/>
                <w:sz w:val="21"/>
                <w:szCs w:val="21"/>
                <w:highlight w:val="none"/>
              </w:rPr>
              <w:t>s</w:t>
            </w:r>
            <w:r>
              <w:rPr>
                <w:rFonts w:hint="default" w:ascii="Times New Roman" w:hAnsi="Times New Roman" w:eastAsia="宋体" w:cs="Times New Roman"/>
                <w:color w:val="000000"/>
                <w:spacing w:val="-7"/>
                <w:sz w:val="21"/>
                <w:szCs w:val="21"/>
                <w:highlight w:val="none"/>
              </w:rPr>
              <w:t>；</w:t>
            </w:r>
          </w:p>
          <w:p w14:paraId="3C8BF25A">
            <w:pPr>
              <w:pStyle w:val="61"/>
              <w:keepNext w:val="0"/>
              <w:keepLines w:val="0"/>
              <w:pageBreakBefore w:val="0"/>
              <w:widowControl w:val="0"/>
              <w:shd w:val="clear" w:color="auto" w:fill="auto"/>
              <w:kinsoku/>
              <w:wordWrap/>
              <w:overflowPunct/>
              <w:topLinePunct w:val="0"/>
              <w:autoSpaceDE w:val="0"/>
              <w:autoSpaceDN w:val="0"/>
              <w:bidi w:val="0"/>
              <w:adjustRightInd w:val="0"/>
              <w:snapToGrid w:val="0"/>
              <w:spacing w:before="0" w:beforeAutospacing="0" w:after="0" w:afterAutospacing="0" w:line="360" w:lineRule="auto"/>
              <w:ind w:left="0" w:leftChars="0" w:right="0" w:firstLine="1056" w:firstLineChars="600"/>
              <w:textAlignment w:val="auto"/>
              <w:rPr>
                <w:rFonts w:hint="default" w:ascii="Times New Roman" w:hAnsi="Times New Roman" w:eastAsia="宋体" w:cs="Times New Roman"/>
                <w:color w:val="000000"/>
                <w:spacing w:val="-17"/>
                <w:sz w:val="21"/>
                <w:szCs w:val="21"/>
                <w:highlight w:val="none"/>
              </w:rPr>
            </w:pPr>
            <w:r>
              <w:rPr>
                <w:rFonts w:hint="default" w:ascii="Times New Roman" w:hAnsi="Times New Roman" w:eastAsia="Times New Roman" w:cs="Times New Roman"/>
                <w:color w:val="000000"/>
                <w:spacing w:val="-17"/>
                <w:sz w:val="21"/>
                <w:szCs w:val="21"/>
                <w:highlight w:val="none"/>
              </w:rPr>
              <w:t>T</w:t>
            </w:r>
            <w:r>
              <w:rPr>
                <w:rFonts w:hint="default" w:ascii="Times New Roman" w:hAnsi="Times New Roman" w:eastAsia="宋体" w:cs="Times New Roman"/>
                <w:color w:val="000000"/>
                <w:spacing w:val="-34"/>
                <w:sz w:val="21"/>
                <w:szCs w:val="21"/>
                <w:highlight w:val="none"/>
              </w:rPr>
              <w:t>：</w:t>
            </w:r>
            <w:r>
              <w:rPr>
                <w:rFonts w:hint="default" w:ascii="Times New Roman" w:hAnsi="Times New Roman" w:eastAsia="宋体" w:cs="Times New Roman"/>
                <w:color w:val="000000"/>
                <w:spacing w:val="-17"/>
                <w:sz w:val="21"/>
                <w:szCs w:val="21"/>
                <w:highlight w:val="none"/>
              </w:rPr>
              <w:t>用于计算等效声级的时间，</w:t>
            </w:r>
            <w:r>
              <w:rPr>
                <w:rFonts w:hint="default" w:ascii="Times New Roman" w:hAnsi="Times New Roman" w:eastAsia="Times New Roman" w:cs="Times New Roman"/>
                <w:color w:val="000000"/>
                <w:spacing w:val="-17"/>
                <w:sz w:val="21"/>
                <w:szCs w:val="21"/>
                <w:highlight w:val="none"/>
              </w:rPr>
              <w:t>s</w:t>
            </w:r>
            <w:r>
              <w:rPr>
                <w:rFonts w:hint="default" w:ascii="Times New Roman" w:hAnsi="Times New Roman" w:eastAsia="宋体" w:cs="Times New Roman"/>
                <w:color w:val="000000"/>
                <w:spacing w:val="-17"/>
                <w:sz w:val="21"/>
                <w:szCs w:val="21"/>
                <w:highlight w:val="none"/>
              </w:rPr>
              <w:t>；</w:t>
            </w:r>
          </w:p>
          <w:p w14:paraId="6653169D">
            <w:pPr>
              <w:pStyle w:val="61"/>
              <w:keepNext w:val="0"/>
              <w:keepLines w:val="0"/>
              <w:pageBreakBefore w:val="0"/>
              <w:widowControl w:val="0"/>
              <w:shd w:val="clear" w:color="auto" w:fill="auto"/>
              <w:kinsoku/>
              <w:wordWrap/>
              <w:overflowPunct/>
              <w:topLinePunct w:val="0"/>
              <w:autoSpaceDE w:val="0"/>
              <w:autoSpaceDN w:val="0"/>
              <w:bidi w:val="0"/>
              <w:adjustRightInd w:val="0"/>
              <w:snapToGrid w:val="0"/>
              <w:spacing w:before="0" w:beforeAutospacing="0" w:after="0" w:afterAutospacing="0" w:line="360" w:lineRule="auto"/>
              <w:ind w:left="0" w:leftChars="0" w:right="0" w:firstLine="1056" w:firstLineChars="600"/>
              <w:textAlignment w:val="auto"/>
              <w:rPr>
                <w:rFonts w:hint="default" w:ascii="Times New Roman" w:hAnsi="Times New Roman" w:eastAsia="宋体" w:cs="Times New Roman"/>
                <w:color w:val="000000"/>
                <w:spacing w:val="-17"/>
                <w:sz w:val="21"/>
                <w:szCs w:val="21"/>
                <w:highlight w:val="none"/>
              </w:rPr>
            </w:pPr>
            <w:r>
              <w:rPr>
                <w:rFonts w:hint="default" w:ascii="Times New Roman" w:hAnsi="Times New Roman" w:eastAsia="Times New Roman" w:cs="Times New Roman"/>
                <w:color w:val="000000"/>
                <w:spacing w:val="-17"/>
                <w:sz w:val="21"/>
                <w:szCs w:val="21"/>
                <w:highlight w:val="none"/>
              </w:rPr>
              <w:t>N</w:t>
            </w:r>
            <w:r>
              <w:rPr>
                <w:rFonts w:hint="default" w:ascii="Times New Roman" w:hAnsi="Times New Roman" w:eastAsia="宋体" w:cs="Times New Roman"/>
                <w:color w:val="000000"/>
                <w:spacing w:val="-17"/>
                <w:sz w:val="21"/>
                <w:szCs w:val="21"/>
                <w:highlight w:val="none"/>
              </w:rPr>
              <w:t>；室外声源个数；</w:t>
            </w:r>
          </w:p>
          <w:p w14:paraId="68C668C9">
            <w:pPr>
              <w:pStyle w:val="61"/>
              <w:keepNext w:val="0"/>
              <w:keepLines w:val="0"/>
              <w:pageBreakBefore w:val="0"/>
              <w:widowControl w:val="0"/>
              <w:shd w:val="clear" w:color="auto" w:fill="auto"/>
              <w:kinsoku/>
              <w:wordWrap/>
              <w:overflowPunct/>
              <w:topLinePunct w:val="0"/>
              <w:autoSpaceDE w:val="0"/>
              <w:autoSpaceDN w:val="0"/>
              <w:bidi w:val="0"/>
              <w:adjustRightInd w:val="0"/>
              <w:snapToGrid w:val="0"/>
              <w:spacing w:before="0" w:beforeAutospacing="0" w:after="0" w:afterAutospacing="0" w:line="360" w:lineRule="auto"/>
              <w:ind w:left="0" w:leftChars="0" w:right="0" w:firstLine="1056" w:firstLineChars="600"/>
              <w:textAlignment w:val="auto"/>
              <w:rPr>
                <w:rFonts w:hint="eastAsia" w:ascii="Times New Roman" w:hAnsi="Times New Roman" w:eastAsia="宋体" w:cs="Times New Roman"/>
                <w:bCs/>
                <w:color w:val="000000"/>
                <w:sz w:val="21"/>
                <w:szCs w:val="21"/>
                <w:highlight w:val="none"/>
                <w:lang w:val="en-US" w:eastAsia="zh-CN"/>
              </w:rPr>
            </w:pPr>
            <w:r>
              <w:rPr>
                <w:rFonts w:hint="default" w:ascii="Times New Roman" w:hAnsi="Times New Roman" w:eastAsia="Times New Roman" w:cs="Times New Roman"/>
                <w:color w:val="000000"/>
                <w:spacing w:val="-17"/>
                <w:sz w:val="21"/>
                <w:szCs w:val="21"/>
                <w:highlight w:val="none"/>
              </w:rPr>
              <w:t>M</w:t>
            </w:r>
            <w:r>
              <w:rPr>
                <w:rFonts w:hint="default" w:ascii="Times New Roman" w:hAnsi="Times New Roman" w:eastAsia="宋体" w:cs="Times New Roman"/>
                <w:color w:val="000000"/>
                <w:spacing w:val="-17"/>
                <w:sz w:val="21"/>
                <w:szCs w:val="21"/>
                <w:highlight w:val="none"/>
              </w:rPr>
              <w:t>：等效室外声源</w:t>
            </w:r>
            <w:r>
              <w:rPr>
                <w:rFonts w:hint="default" w:ascii="Times New Roman" w:hAnsi="Times New Roman" w:eastAsia="宋体" w:cs="Times New Roman"/>
                <w:color w:val="000000"/>
                <w:spacing w:val="-17"/>
                <w:sz w:val="21"/>
                <w:szCs w:val="21"/>
                <w:highlight w:val="none"/>
                <w:lang w:val="en-US" w:eastAsia="zh-CN"/>
              </w:rPr>
              <w:t>个数</w:t>
            </w:r>
            <w:r>
              <w:rPr>
                <w:rFonts w:hint="eastAsia"/>
                <w:lang w:eastAsia="zh-CN"/>
              </w:rPr>
              <w:t>。</w:t>
            </w:r>
          </w:p>
          <w:p w14:paraId="227F62D2">
            <w:pPr>
              <w:keepNext w:val="0"/>
              <w:keepLines w:val="0"/>
              <w:pageBreakBefore w:val="0"/>
              <w:widowControl w:val="0"/>
              <w:shd w:val="clear" w:color="auto" w:fill="auto"/>
              <w:kinsoku/>
              <w:wordWrap/>
              <w:overflowPunct/>
              <w:topLinePunct w:val="0"/>
              <w:autoSpaceDE w:val="0"/>
              <w:autoSpaceDN w:val="0"/>
              <w:bidi w:val="0"/>
              <w:adjustRightInd w:val="0"/>
              <w:snapToGrid w:val="0"/>
              <w:spacing w:beforeAutospacing="0" w:afterAutospacing="0" w:line="360" w:lineRule="auto"/>
              <w:ind w:right="0" w:firstLine="448" w:firstLineChars="200"/>
              <w:textAlignment w:val="auto"/>
              <w:rPr>
                <w:rFonts w:hint="default" w:ascii="Times New Roman" w:hAnsi="Times New Roman" w:eastAsia="宋体" w:cs="Times New Roman"/>
                <w:color w:val="000000"/>
                <w:spacing w:val="7"/>
                <w:sz w:val="21"/>
                <w:szCs w:val="21"/>
                <w:highlight w:val="none"/>
              </w:rPr>
            </w:pPr>
            <w:r>
              <w:rPr>
                <w:rFonts w:hint="default" w:ascii="Times New Roman" w:hAnsi="Times New Roman" w:cs="Times New Roman"/>
                <w:color w:val="000000"/>
                <w:spacing w:val="7"/>
                <w:sz w:val="21"/>
                <w:szCs w:val="21"/>
                <w:highlight w:val="none"/>
                <w:lang w:eastAsia="zh-CN"/>
              </w:rPr>
              <w:t>（4）</w:t>
            </w:r>
            <w:r>
              <w:rPr>
                <w:rFonts w:hint="default" w:ascii="Times New Roman" w:hAnsi="Times New Roman" w:eastAsia="宋体" w:cs="Times New Roman"/>
                <w:color w:val="000000"/>
                <w:spacing w:val="7"/>
                <w:sz w:val="21"/>
                <w:szCs w:val="21"/>
                <w:highlight w:val="none"/>
              </w:rPr>
              <w:t>噪声预测计算</w:t>
            </w:r>
          </w:p>
          <w:p w14:paraId="5DDDCE85">
            <w:pPr>
              <w:keepNext w:val="0"/>
              <w:keepLines w:val="0"/>
              <w:pageBreakBefore w:val="0"/>
              <w:shd w:val="clear" w:color="auto" w:fill="auto"/>
              <w:kinsoku/>
              <w:wordWrap/>
              <w:overflowPunct/>
              <w:topLinePunct w:val="0"/>
              <w:bidi w:val="0"/>
              <w:adjustRightInd w:val="0"/>
              <w:snapToGrid w:val="0"/>
              <w:spacing w:beforeAutospacing="0" w:afterAutospacing="0" w:line="360" w:lineRule="auto"/>
              <w:jc w:val="both"/>
              <w:textAlignment w:val="center"/>
              <w:rPr>
                <w:rFonts w:hint="default"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 xml:space="preserve">           </w:t>
            </w:r>
            <w:r>
              <w:rPr>
                <w:rFonts w:hint="default" w:ascii="Times New Roman" w:hAnsi="Times New Roman" w:cs="Times New Roman"/>
                <w:color w:val="000000"/>
                <w:sz w:val="21"/>
                <w:szCs w:val="21"/>
                <w:highlight w:val="none"/>
              </w:rPr>
              <w:drawing>
                <wp:inline distT="0" distB="0" distL="114300" distR="114300">
                  <wp:extent cx="2004695" cy="322580"/>
                  <wp:effectExtent l="0" t="0" r="14605" b="1270"/>
                  <wp:docPr id="567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 name="图片 102"/>
                          <pic:cNvPicPr>
                            <a:picLocks noChangeAspect="1"/>
                          </pic:cNvPicPr>
                        </pic:nvPicPr>
                        <pic:blipFill>
                          <a:blip r:embed="rId29"/>
                          <a:stretch>
                            <a:fillRect/>
                          </a:stretch>
                        </pic:blipFill>
                        <pic:spPr>
                          <a:xfrm>
                            <a:off x="0" y="0"/>
                            <a:ext cx="2004695" cy="322580"/>
                          </a:xfrm>
                          <a:prstGeom prst="rect">
                            <a:avLst/>
                          </a:prstGeom>
                          <a:noFill/>
                          <a:ln>
                            <a:noFill/>
                          </a:ln>
                        </pic:spPr>
                      </pic:pic>
                    </a:graphicData>
                  </a:graphic>
                </wp:inline>
              </w:drawing>
            </w:r>
          </w:p>
          <w:p w14:paraId="352E61EB">
            <w:pPr>
              <w:keepNext w:val="0"/>
              <w:keepLines w:val="0"/>
              <w:pageBreakBefore w:val="0"/>
              <w:widowControl w:val="0"/>
              <w:shd w:val="clear" w:color="auto" w:fill="auto"/>
              <w:kinsoku/>
              <w:wordWrap/>
              <w:overflowPunct/>
              <w:topLinePunct w:val="0"/>
              <w:autoSpaceDE w:val="0"/>
              <w:autoSpaceDN w:val="0"/>
              <w:bidi w:val="0"/>
              <w:adjustRightInd w:val="0"/>
              <w:snapToGrid w:val="0"/>
              <w:spacing w:beforeAutospacing="0" w:afterAutospacing="0" w:line="360" w:lineRule="auto"/>
              <w:ind w:left="0" w:firstLine="1232" w:firstLineChars="700"/>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pacing w:val="-17"/>
                <w:sz w:val="21"/>
                <w:szCs w:val="21"/>
                <w:highlight w:val="none"/>
              </w:rPr>
              <w:t>式</w:t>
            </w:r>
            <w:r>
              <w:rPr>
                <w:rFonts w:hint="default" w:ascii="Times New Roman" w:hAnsi="Times New Roman" w:eastAsia="宋体" w:cs="Times New Roman"/>
                <w:color w:val="000000"/>
                <w:spacing w:val="-15"/>
                <w:sz w:val="21"/>
                <w:szCs w:val="21"/>
                <w:highlight w:val="none"/>
              </w:rPr>
              <w:t>中：</w:t>
            </w:r>
          </w:p>
          <w:p w14:paraId="2C6BDAC8">
            <w:pPr>
              <w:keepNext w:val="0"/>
              <w:keepLines w:val="0"/>
              <w:pageBreakBefore w:val="0"/>
              <w:widowControl w:val="0"/>
              <w:shd w:val="clear" w:color="auto" w:fill="auto"/>
              <w:kinsoku/>
              <w:wordWrap/>
              <w:overflowPunct/>
              <w:topLinePunct w:val="0"/>
              <w:autoSpaceDE w:val="0"/>
              <w:autoSpaceDN w:val="0"/>
              <w:bidi w:val="0"/>
              <w:adjustRightInd w:val="0"/>
              <w:snapToGrid w:val="0"/>
              <w:spacing w:beforeAutospacing="0" w:afterAutospacing="0" w:line="360" w:lineRule="auto"/>
              <w:ind w:left="0" w:firstLine="1224" w:firstLineChars="600"/>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Times New Roman" w:cs="Times New Roman"/>
                <w:i/>
                <w:iCs/>
                <w:color w:val="000000"/>
                <w:spacing w:val="-3"/>
                <w:sz w:val="21"/>
                <w:szCs w:val="21"/>
                <w:highlight w:val="none"/>
              </w:rPr>
              <w:t>L</w:t>
            </w:r>
            <w:r>
              <w:rPr>
                <w:rFonts w:hint="default" w:ascii="Times New Roman" w:hAnsi="Times New Roman" w:eastAsia="Times New Roman" w:cs="Times New Roman"/>
                <w:i/>
                <w:iCs/>
                <w:color w:val="000000"/>
                <w:spacing w:val="-3"/>
                <w:position w:val="-6"/>
                <w:sz w:val="21"/>
                <w:szCs w:val="21"/>
                <w:highlight w:val="none"/>
              </w:rPr>
              <w:t>epg</w:t>
            </w:r>
            <w:r>
              <w:rPr>
                <w:rFonts w:hint="default" w:ascii="Times New Roman" w:hAnsi="Times New Roman" w:eastAsia="宋体" w:cs="Times New Roman"/>
                <w:color w:val="000000"/>
                <w:spacing w:val="-6"/>
                <w:sz w:val="21"/>
                <w:szCs w:val="21"/>
                <w:highlight w:val="none"/>
              </w:rPr>
              <w:t>：项目声源</w:t>
            </w:r>
            <w:r>
              <w:rPr>
                <w:rFonts w:hint="default" w:ascii="Times New Roman" w:hAnsi="Times New Roman" w:eastAsia="宋体" w:cs="Times New Roman"/>
                <w:color w:val="000000"/>
                <w:spacing w:val="-3"/>
                <w:sz w:val="21"/>
                <w:szCs w:val="21"/>
                <w:highlight w:val="none"/>
              </w:rPr>
              <w:t>在预测点的等效声级贡献值，</w:t>
            </w:r>
            <w:r>
              <w:rPr>
                <w:rFonts w:hint="default" w:ascii="Times New Roman" w:hAnsi="Times New Roman" w:eastAsia="Times New Roman" w:cs="Times New Roman"/>
                <w:color w:val="000000"/>
                <w:spacing w:val="-3"/>
                <w:sz w:val="21"/>
                <w:szCs w:val="21"/>
                <w:highlight w:val="none"/>
              </w:rPr>
              <w:t>dB</w:t>
            </w:r>
            <w:r>
              <w:rPr>
                <w:rFonts w:hint="default" w:ascii="Times New Roman" w:hAnsi="Times New Roman" w:eastAsia="宋体" w:cs="Times New Roman"/>
                <w:color w:val="000000"/>
                <w:spacing w:val="-3"/>
                <w:sz w:val="21"/>
                <w:szCs w:val="21"/>
                <w:highlight w:val="none"/>
                <w:lang w:eastAsia="zh-CN"/>
              </w:rPr>
              <w:t>（</w:t>
            </w:r>
            <w:r>
              <w:rPr>
                <w:rFonts w:hint="default" w:ascii="Times New Roman" w:hAnsi="Times New Roman" w:eastAsia="Times New Roman" w:cs="Times New Roman"/>
                <w:color w:val="000000"/>
                <w:spacing w:val="-3"/>
                <w:sz w:val="21"/>
                <w:szCs w:val="21"/>
                <w:highlight w:val="none"/>
              </w:rPr>
              <w:t>A</w:t>
            </w:r>
            <w:r>
              <w:rPr>
                <w:rFonts w:hint="default" w:ascii="Times New Roman" w:hAnsi="Times New Roman" w:eastAsia="宋体" w:cs="Times New Roman"/>
                <w:color w:val="000000"/>
                <w:spacing w:val="-3"/>
                <w:sz w:val="21"/>
                <w:szCs w:val="21"/>
                <w:highlight w:val="none"/>
                <w:lang w:eastAsia="zh-CN"/>
              </w:rPr>
              <w:t>）</w:t>
            </w:r>
            <w:r>
              <w:rPr>
                <w:rFonts w:hint="default" w:ascii="Times New Roman" w:hAnsi="Times New Roman" w:eastAsia="宋体" w:cs="Times New Roman"/>
                <w:color w:val="000000"/>
                <w:spacing w:val="-3"/>
                <w:sz w:val="21"/>
                <w:szCs w:val="21"/>
                <w:highlight w:val="none"/>
              </w:rPr>
              <w:t>；</w:t>
            </w:r>
          </w:p>
          <w:p w14:paraId="2423B8A3">
            <w:pPr>
              <w:keepNext w:val="0"/>
              <w:keepLines w:val="0"/>
              <w:pageBreakBefore w:val="0"/>
              <w:widowControl w:val="0"/>
              <w:shd w:val="clear" w:color="auto" w:fill="auto"/>
              <w:kinsoku/>
              <w:wordWrap/>
              <w:overflowPunct/>
              <w:topLinePunct w:val="0"/>
              <w:autoSpaceDE w:val="0"/>
              <w:autoSpaceDN w:val="0"/>
              <w:bidi w:val="0"/>
              <w:adjustRightInd w:val="0"/>
              <w:snapToGrid w:val="0"/>
              <w:spacing w:beforeAutospacing="0" w:afterAutospacing="0" w:line="360" w:lineRule="auto"/>
              <w:ind w:left="0" w:firstLine="1212" w:firstLineChars="600"/>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Times New Roman" w:cs="Times New Roman"/>
                <w:i/>
                <w:iCs/>
                <w:color w:val="000000"/>
                <w:spacing w:val="-4"/>
                <w:sz w:val="21"/>
                <w:szCs w:val="21"/>
                <w:highlight w:val="none"/>
              </w:rPr>
              <w:t>Leqb：</w:t>
            </w:r>
            <w:r>
              <w:rPr>
                <w:rFonts w:hint="default" w:ascii="Times New Roman" w:hAnsi="Times New Roman" w:eastAsia="宋体" w:cs="Times New Roman"/>
                <w:color w:val="000000"/>
                <w:spacing w:val="-8"/>
                <w:sz w:val="21"/>
                <w:szCs w:val="21"/>
                <w:highlight w:val="none"/>
              </w:rPr>
              <w:t>预</w:t>
            </w:r>
            <w:r>
              <w:rPr>
                <w:rFonts w:hint="default" w:ascii="Times New Roman" w:hAnsi="Times New Roman" w:eastAsia="宋体" w:cs="Times New Roman"/>
                <w:color w:val="000000"/>
                <w:spacing w:val="-6"/>
                <w:sz w:val="21"/>
                <w:szCs w:val="21"/>
                <w:highlight w:val="none"/>
              </w:rPr>
              <w:t>测</w:t>
            </w:r>
            <w:r>
              <w:rPr>
                <w:rFonts w:hint="default" w:ascii="Times New Roman" w:hAnsi="Times New Roman" w:eastAsia="宋体" w:cs="Times New Roman"/>
                <w:color w:val="000000"/>
                <w:spacing w:val="-4"/>
                <w:sz w:val="21"/>
                <w:szCs w:val="21"/>
                <w:highlight w:val="none"/>
              </w:rPr>
              <w:t>点的背景值，</w:t>
            </w:r>
            <w:r>
              <w:rPr>
                <w:rFonts w:hint="default" w:ascii="Times New Roman" w:hAnsi="Times New Roman" w:eastAsia="Times New Roman" w:cs="Times New Roman"/>
                <w:color w:val="000000"/>
                <w:spacing w:val="-4"/>
                <w:sz w:val="21"/>
                <w:szCs w:val="21"/>
                <w:highlight w:val="none"/>
              </w:rPr>
              <w:t>dB</w:t>
            </w:r>
            <w:r>
              <w:rPr>
                <w:rFonts w:hint="default" w:ascii="Times New Roman" w:hAnsi="Times New Roman" w:eastAsia="宋体" w:cs="Times New Roman"/>
                <w:color w:val="000000"/>
                <w:spacing w:val="-4"/>
                <w:sz w:val="21"/>
                <w:szCs w:val="21"/>
                <w:highlight w:val="none"/>
                <w:lang w:eastAsia="zh-CN"/>
              </w:rPr>
              <w:t>（</w:t>
            </w:r>
            <w:r>
              <w:rPr>
                <w:rFonts w:hint="default" w:ascii="Times New Roman" w:hAnsi="Times New Roman" w:eastAsia="Times New Roman" w:cs="Times New Roman"/>
                <w:color w:val="000000"/>
                <w:spacing w:val="-4"/>
                <w:sz w:val="21"/>
                <w:szCs w:val="21"/>
                <w:highlight w:val="none"/>
              </w:rPr>
              <w:t>A</w:t>
            </w:r>
            <w:r>
              <w:rPr>
                <w:rFonts w:hint="default" w:ascii="Times New Roman" w:hAnsi="Times New Roman" w:eastAsia="宋体" w:cs="Times New Roman"/>
                <w:color w:val="000000"/>
                <w:spacing w:val="-4"/>
                <w:sz w:val="21"/>
                <w:szCs w:val="21"/>
                <w:highlight w:val="none"/>
                <w:lang w:eastAsia="zh-CN"/>
              </w:rPr>
              <w:t>）</w:t>
            </w:r>
            <w:r>
              <w:rPr>
                <w:rFonts w:hint="default" w:ascii="Times New Roman" w:hAnsi="Times New Roman" w:eastAsia="宋体" w:cs="Times New Roman"/>
                <w:color w:val="000000"/>
                <w:spacing w:val="-4"/>
                <w:sz w:val="21"/>
                <w:szCs w:val="21"/>
                <w:highlight w:val="none"/>
              </w:rPr>
              <w:t>。</w:t>
            </w:r>
          </w:p>
          <w:p w14:paraId="6CBBB1CE">
            <w:pPr>
              <w:widowControl/>
              <w:shd w:val="clear" w:color="auto" w:fill="auto"/>
              <w:spacing w:line="360" w:lineRule="auto"/>
              <w:ind w:firstLine="420" w:firstLineChars="200"/>
              <w:rPr>
                <w:color w:val="000000"/>
                <w:kern w:val="0"/>
                <w:sz w:val="21"/>
                <w:szCs w:val="21"/>
                <w:highlight w:val="none"/>
              </w:rPr>
            </w:pPr>
            <w:r>
              <w:rPr>
                <w:color w:val="000000"/>
                <w:kern w:val="0"/>
                <w:sz w:val="21"/>
                <w:szCs w:val="21"/>
                <w:highlight w:val="none"/>
              </w:rPr>
              <w:t>为确保项目运营期厂界噪声达标，项目采用的噪声治理措施如下：</w:t>
            </w:r>
          </w:p>
          <w:p w14:paraId="5171D884">
            <w:pPr>
              <w:widowControl/>
              <w:shd w:val="clear" w:color="auto" w:fill="auto"/>
              <w:spacing w:line="360" w:lineRule="auto"/>
              <w:ind w:firstLine="420" w:firstLineChars="200"/>
              <w:rPr>
                <w:rFonts w:hint="eastAsia" w:eastAsia="宋体"/>
                <w:color w:val="000000"/>
                <w:sz w:val="21"/>
                <w:szCs w:val="21"/>
                <w:highlight w:val="none"/>
                <w:lang w:eastAsia="zh-CN"/>
              </w:rPr>
            </w:pPr>
            <w:r>
              <w:rPr>
                <w:rFonts w:hint="eastAsia" w:ascii="宋体" w:hAnsi="宋体" w:cs="宋体"/>
                <w:color w:val="000000"/>
                <w:sz w:val="21"/>
                <w:szCs w:val="21"/>
                <w:highlight w:val="none"/>
              </w:rPr>
              <w:t>①</w:t>
            </w:r>
            <w:r>
              <w:rPr>
                <w:rFonts w:hint="eastAsia"/>
                <w:color w:val="000000"/>
                <w:sz w:val="21"/>
                <w:szCs w:val="21"/>
                <w:highlight w:val="none"/>
              </w:rPr>
              <w:t>合理布局，将高噪声设备布置于车间</w:t>
            </w:r>
            <w:r>
              <w:rPr>
                <w:rFonts w:hint="eastAsia"/>
                <w:color w:val="000000"/>
                <w:sz w:val="21"/>
                <w:szCs w:val="21"/>
                <w:highlight w:val="none"/>
                <w:lang w:val="en-US" w:eastAsia="zh-CN"/>
              </w:rPr>
              <w:t>中央区域</w:t>
            </w:r>
            <w:r>
              <w:rPr>
                <w:rFonts w:hint="eastAsia"/>
                <w:color w:val="000000"/>
                <w:sz w:val="21"/>
                <w:szCs w:val="21"/>
                <w:highlight w:val="none"/>
              </w:rPr>
              <w:t>，尽量减少</w:t>
            </w:r>
            <w:r>
              <w:t>高噪声设备</w:t>
            </w:r>
            <w:r>
              <w:rPr>
                <w:rFonts w:hint="eastAsia"/>
                <w:color w:val="000000"/>
                <w:sz w:val="21"/>
                <w:szCs w:val="21"/>
                <w:highlight w:val="none"/>
              </w:rPr>
              <w:t>对环境的影响</w:t>
            </w:r>
            <w:r>
              <w:rPr>
                <w:rFonts w:hint="eastAsia"/>
                <w:color w:val="000000"/>
                <w:sz w:val="21"/>
                <w:szCs w:val="21"/>
                <w:highlight w:val="none"/>
                <w:lang w:eastAsia="zh-CN"/>
              </w:rPr>
              <w:t>；</w:t>
            </w:r>
          </w:p>
          <w:p w14:paraId="5B18361F">
            <w:pPr>
              <w:widowControl/>
              <w:shd w:val="clear" w:color="auto" w:fill="auto"/>
              <w:tabs>
                <w:tab w:val="center" w:pos="8820"/>
              </w:tabs>
              <w:spacing w:line="360" w:lineRule="auto"/>
              <w:ind w:firstLine="420" w:firstLineChars="200"/>
              <w:rPr>
                <w:color w:val="000000"/>
                <w:sz w:val="21"/>
                <w:szCs w:val="21"/>
                <w:highlight w:val="none"/>
              </w:rPr>
            </w:pPr>
            <w:r>
              <w:rPr>
                <w:rFonts w:hint="eastAsia" w:ascii="宋体" w:hAnsi="宋体" w:cs="宋体"/>
                <w:color w:val="000000"/>
                <w:sz w:val="21"/>
                <w:szCs w:val="21"/>
                <w:highlight w:val="none"/>
              </w:rPr>
              <w:t>②</w:t>
            </w:r>
            <w:r>
              <w:rPr>
                <w:color w:val="000000"/>
                <w:kern w:val="0"/>
                <w:sz w:val="21"/>
                <w:szCs w:val="21"/>
                <w:highlight w:val="none"/>
                <w:lang w:bidi="zh-HK"/>
              </w:rPr>
              <w:t>加强设备的维护和保养，确保设备处于良好的运转状态</w:t>
            </w:r>
            <w:r>
              <w:rPr>
                <w:color w:val="000000"/>
                <w:sz w:val="21"/>
                <w:szCs w:val="21"/>
                <w:highlight w:val="none"/>
              </w:rPr>
              <w:t>；</w:t>
            </w:r>
          </w:p>
          <w:p w14:paraId="3AD78B66">
            <w:pPr>
              <w:widowControl/>
              <w:shd w:val="clear" w:color="auto" w:fill="auto"/>
              <w:spacing w:line="360" w:lineRule="auto"/>
              <w:ind w:firstLine="420" w:firstLineChars="200"/>
              <w:rPr>
                <w:rFonts w:hint="default" w:ascii="Times New Roman" w:hAnsi="Times New Roman" w:cs="Times New Roman"/>
                <w:color w:val="000000"/>
                <w:sz w:val="21"/>
                <w:szCs w:val="21"/>
                <w:highlight w:val="none"/>
                <w:lang w:eastAsia="zh-CN" w:bidi="zh-HK"/>
              </w:rPr>
            </w:pPr>
            <w:r>
              <w:rPr>
                <w:rFonts w:hint="eastAsia" w:ascii="宋体" w:hAnsi="宋体" w:cs="宋体"/>
                <w:color w:val="000000"/>
                <w:sz w:val="21"/>
                <w:szCs w:val="21"/>
                <w:highlight w:val="none"/>
              </w:rPr>
              <w:t>③</w:t>
            </w:r>
            <w:r>
              <w:rPr>
                <w:color w:val="000000"/>
                <w:sz w:val="21"/>
                <w:szCs w:val="21"/>
                <w:highlight w:val="none"/>
              </w:rPr>
              <w:t>避免高噪声设备集中放置；</w:t>
            </w:r>
            <w:r>
              <w:rPr>
                <w:color w:val="000000"/>
                <w:sz w:val="21"/>
                <w:szCs w:val="21"/>
                <w:highlight w:val="none"/>
                <w:lang w:bidi="zh-HK"/>
              </w:rPr>
              <w:t>设置隔声门窗，生产作业时尽量避免开窗，以增强隔声效果</w:t>
            </w:r>
            <w:r>
              <w:rPr>
                <w:rFonts w:hint="eastAsia"/>
                <w:color w:val="000000"/>
                <w:sz w:val="21"/>
                <w:szCs w:val="21"/>
                <w:highlight w:val="none"/>
                <w:lang w:eastAsia="zh-CN" w:bidi="zh-HK"/>
              </w:rPr>
              <w:t>。</w:t>
            </w:r>
          </w:p>
          <w:p w14:paraId="690493C1">
            <w:pPr>
              <w:widowControl/>
              <w:shd w:val="clear" w:color="auto" w:fill="auto"/>
              <w:spacing w:line="360" w:lineRule="auto"/>
              <w:ind w:firstLine="420" w:firstLineChars="200"/>
              <w:rPr>
                <w:rFonts w:hint="default" w:ascii="Times New Roman" w:hAnsi="Times New Roman" w:eastAsia="宋体" w:cs="Times New Roman"/>
                <w:color w:val="000000"/>
                <w:sz w:val="21"/>
                <w:szCs w:val="21"/>
                <w:highlight w:val="none"/>
                <w:lang w:val="en-US" w:eastAsia="zh-CN" w:bidi="zh-HK"/>
              </w:rPr>
            </w:pPr>
            <w:r>
              <w:rPr>
                <w:rFonts w:hint="default" w:ascii="Times New Roman" w:hAnsi="Times New Roman" w:eastAsia="宋体" w:cs="Times New Roman"/>
                <w:color w:val="000000"/>
                <w:sz w:val="21"/>
                <w:szCs w:val="21"/>
                <w:highlight w:val="none"/>
                <w:lang w:val="en-US" w:eastAsia="zh-CN" w:bidi="zh-HK"/>
              </w:rPr>
              <w:t>④除尘风机设置隔声罩进行降噪，</w:t>
            </w:r>
            <w:r>
              <w:rPr>
                <w:rFonts w:hint="eastAsia" w:ascii="Times New Roman" w:hAnsi="Times New Roman" w:eastAsia="宋体" w:cs="Times New Roman"/>
                <w:color w:val="000000"/>
                <w:sz w:val="21"/>
                <w:szCs w:val="21"/>
                <w:highlight w:val="none"/>
                <w:lang w:val="en-US" w:eastAsia="zh-CN" w:bidi="zh-HK"/>
              </w:rPr>
              <w:t>加装</w:t>
            </w:r>
            <w:r>
              <w:rPr>
                <w:rFonts w:hint="eastAsia" w:cs="Times New Roman"/>
                <w:color w:val="000000"/>
                <w:sz w:val="21"/>
                <w:szCs w:val="21"/>
                <w:highlight w:val="none"/>
                <w:lang w:val="en-US" w:eastAsia="zh-CN" w:bidi="zh-HK"/>
              </w:rPr>
              <w:t>消声</w:t>
            </w:r>
            <w:r>
              <w:rPr>
                <w:rFonts w:hint="default" w:ascii="Times New Roman" w:hAnsi="Times New Roman" w:eastAsia="宋体" w:cs="Times New Roman"/>
                <w:color w:val="000000"/>
                <w:sz w:val="21"/>
                <w:szCs w:val="21"/>
                <w:highlight w:val="none"/>
                <w:lang w:val="en-US" w:eastAsia="zh-CN" w:bidi="zh-HK"/>
              </w:rPr>
              <w:t>棉。</w:t>
            </w:r>
          </w:p>
          <w:p w14:paraId="1F521EA1">
            <w:pPr>
              <w:widowControl/>
              <w:shd w:val="clear" w:color="auto" w:fill="auto"/>
              <w:spacing w:line="360" w:lineRule="auto"/>
              <w:ind w:firstLine="420" w:firstLineChars="200"/>
              <w:rPr>
                <w:rFonts w:hint="default" w:ascii="Times New Roman" w:hAnsi="Times New Roman" w:eastAsia="宋体" w:cs="Times New Roman"/>
                <w:color w:val="000000"/>
                <w:sz w:val="21"/>
                <w:szCs w:val="21"/>
                <w:highlight w:val="none"/>
                <w:lang w:val="en-US" w:eastAsia="zh-CN" w:bidi="zh-HK"/>
              </w:rPr>
            </w:pPr>
            <w:r>
              <w:rPr>
                <w:rFonts w:hint="default" w:ascii="Times New Roman" w:hAnsi="Times New Roman" w:eastAsia="宋体" w:cs="Times New Roman"/>
                <w:color w:val="000000"/>
                <w:sz w:val="21"/>
                <w:szCs w:val="21"/>
                <w:highlight w:val="none"/>
                <w:lang w:val="en-US" w:eastAsia="zh-CN" w:bidi="zh-HK"/>
              </w:rPr>
              <w:t>（</w:t>
            </w:r>
            <w:r>
              <w:rPr>
                <w:rFonts w:hint="eastAsia" w:ascii="Times New Roman" w:hAnsi="Times New Roman" w:eastAsia="宋体" w:cs="Times New Roman"/>
                <w:color w:val="000000"/>
                <w:sz w:val="21"/>
                <w:szCs w:val="21"/>
                <w:highlight w:val="none"/>
                <w:lang w:val="en-US" w:eastAsia="zh-CN" w:bidi="zh-HK"/>
              </w:rPr>
              <w:t>5</w:t>
            </w:r>
            <w:r>
              <w:rPr>
                <w:rFonts w:hint="default" w:ascii="Times New Roman" w:hAnsi="Times New Roman" w:eastAsia="宋体" w:cs="Times New Roman"/>
                <w:color w:val="000000"/>
                <w:sz w:val="21"/>
                <w:szCs w:val="21"/>
                <w:highlight w:val="none"/>
                <w:lang w:val="en-US" w:eastAsia="zh-CN" w:bidi="zh-HK"/>
              </w:rPr>
              <w:t>）预测结果：</w:t>
            </w:r>
          </w:p>
          <w:p w14:paraId="05C06E40">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color w:val="000000"/>
                <w:kern w:val="0"/>
                <w:sz w:val="21"/>
                <w:szCs w:val="21"/>
                <w:highlight w:val="none"/>
                <w:lang w:eastAsia="zh-CN" w:bidi="zh-HK"/>
              </w:rPr>
            </w:pPr>
            <w:r>
              <w:rPr>
                <w:color w:val="000000"/>
                <w:sz w:val="21"/>
                <w:szCs w:val="21"/>
                <w:highlight w:val="none"/>
              </w:rPr>
              <w:t>由于</w:t>
            </w:r>
            <w:r>
              <w:rPr>
                <w:rFonts w:hint="eastAsia"/>
                <w:color w:val="000000"/>
                <w:sz w:val="21"/>
                <w:szCs w:val="21"/>
                <w:highlight w:val="none"/>
                <w:lang w:val="en-US" w:eastAsia="zh-CN"/>
              </w:rPr>
              <w:t>本</w:t>
            </w:r>
            <w:r>
              <w:rPr>
                <w:color w:val="000000"/>
                <w:sz w:val="21"/>
                <w:szCs w:val="21"/>
                <w:highlight w:val="none"/>
              </w:rPr>
              <w:t>项目</w:t>
            </w:r>
            <w:r>
              <w:rPr>
                <w:rFonts w:hint="eastAsia"/>
                <w:color w:val="000000"/>
                <w:sz w:val="21"/>
                <w:szCs w:val="21"/>
                <w:highlight w:val="none"/>
              </w:rPr>
              <w:t>生产设备及工艺集中在生产车间，</w:t>
            </w:r>
            <w:r>
              <w:rPr>
                <w:rFonts w:hint="default" w:ascii="Times New Roman" w:hAnsi="Times New Roman" w:eastAsia="宋体" w:cs="Times New Roman"/>
                <w:color w:val="000000"/>
                <w:sz w:val="21"/>
                <w:szCs w:val="21"/>
                <w:highlight w:val="none"/>
                <w:lang w:val="en-US" w:eastAsia="zh-CN"/>
              </w:rPr>
              <w:t>项目夜间不生产，对夜间噪声不进行预测</w:t>
            </w:r>
            <w:r>
              <w:rPr>
                <w:rFonts w:hint="eastAsia" w:ascii="Times New Roman" w:hAnsi="Times New Roman" w:eastAsia="宋体" w:cs="Times New Roman"/>
                <w:color w:val="000000"/>
                <w:sz w:val="21"/>
                <w:szCs w:val="21"/>
                <w:highlight w:val="none"/>
                <w:lang w:val="en-US" w:eastAsia="zh-CN"/>
              </w:rPr>
              <w:t>，</w:t>
            </w:r>
            <w:r>
              <w:rPr>
                <w:color w:val="000000"/>
                <w:sz w:val="21"/>
                <w:szCs w:val="21"/>
                <w:highlight w:val="none"/>
              </w:rPr>
              <w:t>故对项目</w:t>
            </w:r>
            <w:r>
              <w:rPr>
                <w:rFonts w:hint="eastAsia"/>
                <w:color w:val="000000"/>
                <w:sz w:val="21"/>
                <w:szCs w:val="21"/>
                <w:highlight w:val="none"/>
              </w:rPr>
              <w:t>生产车间的</w:t>
            </w:r>
            <w:r>
              <w:rPr>
                <w:color w:val="000000"/>
                <w:sz w:val="21"/>
                <w:szCs w:val="21"/>
                <w:highlight w:val="none"/>
              </w:rPr>
              <w:t>昼间噪声进行预测</w:t>
            </w:r>
            <w:r>
              <w:rPr>
                <w:rFonts w:hint="eastAsia"/>
                <w:color w:val="000000"/>
                <w:sz w:val="21"/>
                <w:szCs w:val="21"/>
                <w:highlight w:val="none"/>
              </w:rPr>
              <w:t>，</w:t>
            </w:r>
            <w:r>
              <w:rPr>
                <w:color w:val="000000"/>
                <w:kern w:val="0"/>
                <w:sz w:val="21"/>
                <w:szCs w:val="21"/>
                <w:highlight w:val="none"/>
                <w:lang w:bidi="zh-HK"/>
              </w:rPr>
              <w:t>按照最不利情况预测厂界</w:t>
            </w:r>
            <w:r>
              <w:t>噪声受到</w:t>
            </w:r>
            <w:r>
              <w:rPr>
                <w:color w:val="000000"/>
                <w:kern w:val="0"/>
                <w:sz w:val="21"/>
                <w:szCs w:val="21"/>
                <w:highlight w:val="none"/>
                <w:lang w:bidi="zh-HK"/>
              </w:rPr>
              <w:t>的影响</w:t>
            </w:r>
            <w:r>
              <w:rPr>
                <w:rFonts w:hint="eastAsia"/>
                <w:color w:val="000000"/>
                <w:kern w:val="0"/>
                <w:sz w:val="21"/>
                <w:szCs w:val="21"/>
                <w:highlight w:val="none"/>
                <w:lang w:eastAsia="zh-CN" w:bidi="zh-HK"/>
              </w:rPr>
              <w:t>。</w:t>
            </w:r>
          </w:p>
          <w:p w14:paraId="6B73A665">
            <w:pPr>
              <w:keepNext w:val="0"/>
              <w:keepLines w:val="0"/>
              <w:pageBreakBefore w:val="0"/>
              <w:widowControl/>
              <w:shd w:val="clear" w:color="auto" w:fill="auto"/>
              <w:kinsoku/>
              <w:wordWrap/>
              <w:overflowPunct/>
              <w:topLinePunct w:val="0"/>
              <w:autoSpaceDE/>
              <w:autoSpaceDN/>
              <w:bidi w:val="0"/>
              <w:adjustRightInd w:val="0"/>
              <w:snapToGrid w:val="0"/>
              <w:spacing w:line="360" w:lineRule="auto"/>
              <w:ind w:firstLine="420" w:firstLineChars="200"/>
              <w:textAlignment w:val="auto"/>
              <w:rPr>
                <w:color w:val="000000"/>
                <w:sz w:val="21"/>
                <w:szCs w:val="21"/>
                <w:highlight w:val="none"/>
              </w:rPr>
            </w:pPr>
            <w:r>
              <w:rPr>
                <w:color w:val="000000"/>
                <w:kern w:val="0"/>
                <w:sz w:val="21"/>
                <w:szCs w:val="21"/>
                <w:highlight w:val="none"/>
                <w:lang w:bidi="zh-HK"/>
              </w:rPr>
              <w:t>预测结果</w:t>
            </w:r>
            <w:r>
              <w:rPr>
                <w:rFonts w:hint="eastAsia"/>
                <w:color w:val="000000"/>
                <w:kern w:val="0"/>
                <w:sz w:val="21"/>
                <w:szCs w:val="21"/>
                <w:highlight w:val="none"/>
                <w:lang w:val="en-US" w:eastAsia="zh-CN" w:bidi="zh-HK"/>
              </w:rPr>
              <w:t>详</w:t>
            </w:r>
            <w:r>
              <w:rPr>
                <w:rFonts w:hint="eastAsia"/>
                <w:color w:val="000000"/>
                <w:kern w:val="0"/>
                <w:sz w:val="21"/>
                <w:szCs w:val="21"/>
                <w:highlight w:val="none"/>
                <w:lang w:bidi="zh-HK"/>
              </w:rPr>
              <w:t>见</w:t>
            </w:r>
            <w:r>
              <w:rPr>
                <w:rFonts w:hint="eastAsia"/>
                <w:color w:val="000000"/>
                <w:kern w:val="0"/>
                <w:sz w:val="21"/>
                <w:szCs w:val="21"/>
                <w:highlight w:val="none"/>
                <w:lang w:val="en-US" w:eastAsia="zh-CN" w:bidi="zh-HK"/>
              </w:rPr>
              <w:t>下</w:t>
            </w:r>
            <w:r>
              <w:rPr>
                <w:color w:val="000000"/>
                <w:sz w:val="21"/>
                <w:szCs w:val="21"/>
                <w:highlight w:val="none"/>
              </w:rPr>
              <w:t>表。</w:t>
            </w:r>
          </w:p>
          <w:p w14:paraId="5A2F7120">
            <w:pPr>
              <w:keepNext w:val="0"/>
              <w:keepLines w:val="0"/>
              <w:pageBreakBefore w:val="0"/>
              <w:widowControl/>
              <w:shd w:val="clear" w:color="auto" w:fill="auto"/>
              <w:kinsoku/>
              <w:wordWrap/>
              <w:overflowPunct/>
              <w:topLinePunct w:val="0"/>
              <w:autoSpaceDE/>
              <w:autoSpaceDN/>
              <w:bidi w:val="0"/>
              <w:adjustRightInd w:val="0"/>
              <w:snapToGrid w:val="0"/>
              <w:spacing w:line="240" w:lineRule="auto"/>
              <w:jc w:val="center"/>
              <w:textAlignment w:val="auto"/>
              <w:rPr>
                <w:b/>
                <w:color w:val="000000"/>
                <w:sz w:val="21"/>
                <w:szCs w:val="21"/>
                <w:highlight w:val="none"/>
              </w:rPr>
            </w:pPr>
            <w:r>
              <w:rPr>
                <w:b/>
                <w:color w:val="000000"/>
                <w:sz w:val="21"/>
                <w:szCs w:val="21"/>
                <w:highlight w:val="none"/>
              </w:rPr>
              <w:t>表4-</w:t>
            </w:r>
            <w:r>
              <w:rPr>
                <w:rFonts w:hint="eastAsia"/>
                <w:b/>
                <w:color w:val="000000"/>
                <w:sz w:val="21"/>
                <w:szCs w:val="21"/>
                <w:highlight w:val="none"/>
                <w:lang w:val="en-US" w:eastAsia="zh-CN"/>
              </w:rPr>
              <w:t>16</w:t>
            </w:r>
            <w:r>
              <w:rPr>
                <w:b/>
                <w:color w:val="000000"/>
                <w:sz w:val="21"/>
                <w:szCs w:val="21"/>
                <w:highlight w:val="none"/>
              </w:rPr>
              <w:t xml:space="preserve">   噪声预测结果一览表  单位：dB（A）</w:t>
            </w:r>
          </w:p>
          <w:tbl>
            <w:tblPr>
              <w:tblStyle w:val="21"/>
              <w:tblW w:w="49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40"/>
              <w:gridCol w:w="785"/>
              <w:gridCol w:w="691"/>
              <w:gridCol w:w="750"/>
              <w:gridCol w:w="774"/>
              <w:gridCol w:w="1200"/>
              <w:gridCol w:w="1192"/>
              <w:gridCol w:w="1158"/>
            </w:tblGrid>
            <w:tr w14:paraId="6C62D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40" w:hRule="atLeast"/>
                <w:jc w:val="center"/>
              </w:trPr>
              <w:tc>
                <w:tcPr>
                  <w:tcW w:w="951" w:type="pct"/>
                  <w:tcBorders>
                    <w:tl2br w:val="nil"/>
                    <w:tr2bl w:val="nil"/>
                  </w:tcBorders>
                  <w:shd w:val="clear" w:color="auto" w:fill="auto"/>
                  <w:noWrap w:val="0"/>
                  <w:vAlign w:val="center"/>
                </w:tcPr>
                <w:p w14:paraId="7C3F81C4">
                  <w:pPr>
                    <w:pStyle w:val="112"/>
                    <w:shd w:val="clear" w:color="auto" w:fill="auto"/>
                    <w:rPr>
                      <w:rFonts w:hint="default"/>
                      <w:b w:val="0"/>
                      <w:bCs w:val="0"/>
                      <w:color w:val="000000"/>
                      <w:sz w:val="21"/>
                      <w:szCs w:val="21"/>
                      <w:highlight w:val="none"/>
                      <w:lang w:val="en-US" w:eastAsia="zh-CN"/>
                    </w:rPr>
                  </w:pPr>
                  <w:r>
                    <w:rPr>
                      <w:rFonts w:hint="eastAsia"/>
                      <w:b w:val="0"/>
                      <w:bCs w:val="0"/>
                      <w:color w:val="000000"/>
                      <w:sz w:val="21"/>
                      <w:szCs w:val="21"/>
                      <w:highlight w:val="none"/>
                      <w:lang w:val="en-US" w:eastAsia="zh-CN"/>
                    </w:rPr>
                    <w:t>位置</w:t>
                  </w:r>
                </w:p>
              </w:tc>
              <w:tc>
                <w:tcPr>
                  <w:tcW w:w="485" w:type="pct"/>
                  <w:tcBorders>
                    <w:tl2br w:val="nil"/>
                    <w:tr2bl w:val="nil"/>
                  </w:tcBorders>
                  <w:shd w:val="clear" w:color="auto" w:fill="auto"/>
                  <w:noWrap w:val="0"/>
                  <w:vAlign w:val="center"/>
                </w:tcPr>
                <w:p w14:paraId="6E09C601">
                  <w:pPr>
                    <w:pStyle w:val="112"/>
                    <w:shd w:val="clear" w:color="auto" w:fill="auto"/>
                    <w:rPr>
                      <w:rFonts w:hint="default" w:eastAsia="宋体"/>
                      <w:b w:val="0"/>
                      <w:bCs w:val="0"/>
                      <w:color w:val="000000"/>
                      <w:sz w:val="21"/>
                      <w:szCs w:val="21"/>
                      <w:highlight w:val="none"/>
                      <w:lang w:val="en-US" w:eastAsia="zh-CN"/>
                    </w:rPr>
                  </w:pPr>
                  <w:r>
                    <w:rPr>
                      <w:rFonts w:hint="eastAsia" w:eastAsia="宋体"/>
                      <w:b w:val="0"/>
                      <w:bCs w:val="0"/>
                      <w:color w:val="000000"/>
                      <w:sz w:val="21"/>
                      <w:szCs w:val="21"/>
                      <w:highlight w:val="none"/>
                      <w:lang w:val="en-US" w:eastAsia="zh-CN"/>
                    </w:rPr>
                    <w:t>东厂界</w:t>
                  </w:r>
                </w:p>
              </w:tc>
              <w:tc>
                <w:tcPr>
                  <w:tcW w:w="427" w:type="pct"/>
                  <w:tcBorders>
                    <w:tl2br w:val="nil"/>
                    <w:tr2bl w:val="nil"/>
                  </w:tcBorders>
                  <w:shd w:val="clear" w:color="auto" w:fill="auto"/>
                  <w:noWrap w:val="0"/>
                  <w:vAlign w:val="center"/>
                </w:tcPr>
                <w:p w14:paraId="263B830B">
                  <w:pPr>
                    <w:pStyle w:val="112"/>
                    <w:shd w:val="clear" w:color="auto" w:fill="auto"/>
                    <w:rPr>
                      <w:rFonts w:hint="default" w:eastAsia="宋体"/>
                      <w:b w:val="0"/>
                      <w:bCs w:val="0"/>
                      <w:color w:val="000000"/>
                      <w:sz w:val="21"/>
                      <w:szCs w:val="21"/>
                      <w:highlight w:val="none"/>
                      <w:lang w:val="en-US" w:eastAsia="zh-CN"/>
                    </w:rPr>
                  </w:pPr>
                  <w:r>
                    <w:rPr>
                      <w:rFonts w:hint="eastAsia" w:eastAsia="宋体"/>
                      <w:b w:val="0"/>
                      <w:bCs w:val="0"/>
                      <w:color w:val="000000"/>
                      <w:sz w:val="21"/>
                      <w:szCs w:val="21"/>
                      <w:highlight w:val="none"/>
                      <w:lang w:val="en-US" w:eastAsia="zh-CN"/>
                    </w:rPr>
                    <w:t>南厂界</w:t>
                  </w:r>
                </w:p>
              </w:tc>
              <w:tc>
                <w:tcPr>
                  <w:tcW w:w="463" w:type="pct"/>
                  <w:tcBorders>
                    <w:tl2br w:val="nil"/>
                    <w:tr2bl w:val="nil"/>
                  </w:tcBorders>
                  <w:shd w:val="clear" w:color="auto" w:fill="auto"/>
                  <w:noWrap w:val="0"/>
                  <w:vAlign w:val="center"/>
                </w:tcPr>
                <w:p w14:paraId="7ADE0F27">
                  <w:pPr>
                    <w:pStyle w:val="112"/>
                    <w:shd w:val="clear" w:color="auto" w:fill="auto"/>
                    <w:rPr>
                      <w:rFonts w:hint="default" w:eastAsia="宋体"/>
                      <w:b w:val="0"/>
                      <w:bCs w:val="0"/>
                      <w:color w:val="000000"/>
                      <w:sz w:val="21"/>
                      <w:szCs w:val="21"/>
                      <w:highlight w:val="none"/>
                      <w:lang w:val="en-US" w:eastAsia="zh-CN"/>
                    </w:rPr>
                  </w:pPr>
                  <w:r>
                    <w:rPr>
                      <w:rFonts w:hint="eastAsia" w:eastAsia="宋体"/>
                      <w:b w:val="0"/>
                      <w:bCs w:val="0"/>
                      <w:color w:val="000000"/>
                      <w:sz w:val="21"/>
                      <w:szCs w:val="21"/>
                      <w:highlight w:val="none"/>
                      <w:lang w:val="en-US" w:eastAsia="zh-CN"/>
                    </w:rPr>
                    <w:t>西厂界</w:t>
                  </w:r>
                </w:p>
              </w:tc>
              <w:tc>
                <w:tcPr>
                  <w:tcW w:w="478" w:type="pct"/>
                  <w:tcBorders>
                    <w:tl2br w:val="nil"/>
                    <w:tr2bl w:val="nil"/>
                  </w:tcBorders>
                  <w:shd w:val="clear" w:color="auto" w:fill="auto"/>
                  <w:noWrap w:val="0"/>
                  <w:vAlign w:val="center"/>
                </w:tcPr>
                <w:p w14:paraId="7097DB74">
                  <w:pPr>
                    <w:pStyle w:val="112"/>
                    <w:shd w:val="clear" w:color="auto" w:fill="auto"/>
                    <w:rPr>
                      <w:rFonts w:hint="default" w:eastAsia="宋体"/>
                      <w:b w:val="0"/>
                      <w:bCs w:val="0"/>
                      <w:color w:val="000000"/>
                      <w:sz w:val="21"/>
                      <w:szCs w:val="21"/>
                      <w:highlight w:val="none"/>
                      <w:lang w:val="en-US" w:eastAsia="zh-CN"/>
                    </w:rPr>
                  </w:pPr>
                  <w:r>
                    <w:rPr>
                      <w:rFonts w:hint="eastAsia" w:eastAsia="宋体"/>
                      <w:b w:val="0"/>
                      <w:bCs w:val="0"/>
                      <w:color w:val="000000"/>
                      <w:sz w:val="21"/>
                      <w:szCs w:val="21"/>
                      <w:highlight w:val="none"/>
                      <w:lang w:val="en-US" w:eastAsia="zh-CN"/>
                    </w:rPr>
                    <w:t>北厂界</w:t>
                  </w:r>
                </w:p>
              </w:tc>
              <w:tc>
                <w:tcPr>
                  <w:tcW w:w="741" w:type="pct"/>
                  <w:tcBorders>
                    <w:tl2br w:val="nil"/>
                    <w:tr2bl w:val="nil"/>
                  </w:tcBorders>
                  <w:shd w:val="clear" w:color="auto" w:fill="auto"/>
                  <w:noWrap w:val="0"/>
                  <w:vAlign w:val="center"/>
                </w:tcPr>
                <w:p w14:paraId="555B3346">
                  <w:pPr>
                    <w:pStyle w:val="112"/>
                    <w:shd w:val="clear" w:color="auto" w:fill="auto"/>
                    <w:rPr>
                      <w:rFonts w:hint="default" w:eastAsia="宋体"/>
                      <w:b w:val="0"/>
                      <w:bCs w:val="0"/>
                      <w:color w:val="000000"/>
                      <w:sz w:val="21"/>
                      <w:szCs w:val="21"/>
                      <w:highlight w:val="yellow"/>
                      <w:lang w:val="en-US" w:eastAsia="zh-CN"/>
                    </w:rPr>
                  </w:pPr>
                  <w:r>
                    <w:rPr>
                      <w:rFonts w:hint="eastAsia" w:ascii="Times New Roman" w:hAnsi="Times New Roman" w:cs="Times New Roman"/>
                      <w:b w:val="0"/>
                      <w:bCs w:val="0"/>
                      <w:color w:val="000000"/>
                      <w:sz w:val="21"/>
                      <w:szCs w:val="21"/>
                      <w:highlight w:val="none"/>
                      <w:lang w:val="en-US" w:eastAsia="zh-CN"/>
                    </w:rPr>
                    <w:t>尹家务村（西北侧）</w:t>
                  </w:r>
                </w:p>
              </w:tc>
              <w:tc>
                <w:tcPr>
                  <w:tcW w:w="736" w:type="pct"/>
                  <w:tcBorders>
                    <w:tl2br w:val="nil"/>
                    <w:tr2bl w:val="nil"/>
                  </w:tcBorders>
                  <w:shd w:val="clear" w:color="auto" w:fill="auto"/>
                  <w:noWrap w:val="0"/>
                  <w:vAlign w:val="center"/>
                </w:tcPr>
                <w:p w14:paraId="35F0DAA7">
                  <w:pPr>
                    <w:pStyle w:val="112"/>
                    <w:shd w:val="clear" w:color="auto" w:fill="auto"/>
                    <w:rPr>
                      <w:rFonts w:hint="default" w:eastAsia="宋体"/>
                      <w:b w:val="0"/>
                      <w:bCs w:val="0"/>
                      <w:color w:val="000000"/>
                      <w:sz w:val="21"/>
                      <w:szCs w:val="21"/>
                      <w:highlight w:val="none"/>
                      <w:lang w:val="en-US" w:eastAsia="zh-CN"/>
                    </w:rPr>
                  </w:pPr>
                  <w:r>
                    <w:rPr>
                      <w:rFonts w:hint="eastAsia" w:ascii="Times New Roman" w:hAnsi="Times New Roman" w:cs="Times New Roman"/>
                      <w:b w:val="0"/>
                      <w:bCs w:val="0"/>
                      <w:color w:val="000000"/>
                      <w:sz w:val="21"/>
                      <w:szCs w:val="21"/>
                      <w:highlight w:val="none"/>
                      <w:lang w:val="en-US" w:eastAsia="zh-CN"/>
                    </w:rPr>
                    <w:t>尹家务村（东南侧）</w:t>
                  </w:r>
                </w:p>
              </w:tc>
              <w:tc>
                <w:tcPr>
                  <w:tcW w:w="715" w:type="pct"/>
                  <w:tcBorders>
                    <w:tl2br w:val="nil"/>
                    <w:tr2bl w:val="nil"/>
                  </w:tcBorders>
                  <w:shd w:val="clear" w:color="auto" w:fill="auto"/>
                  <w:noWrap w:val="0"/>
                  <w:vAlign w:val="center"/>
                </w:tcPr>
                <w:p w14:paraId="330A70AE">
                  <w:pPr>
                    <w:pStyle w:val="112"/>
                    <w:shd w:val="clear" w:color="auto" w:fill="auto"/>
                    <w:rPr>
                      <w:rFonts w:hint="default" w:eastAsia="宋体"/>
                      <w:b w:val="0"/>
                      <w:bCs w:val="0"/>
                      <w:color w:val="000000"/>
                      <w:sz w:val="21"/>
                      <w:szCs w:val="21"/>
                      <w:highlight w:val="none"/>
                      <w:lang w:val="en-US" w:eastAsia="zh-CN"/>
                    </w:rPr>
                  </w:pPr>
                  <w:r>
                    <w:rPr>
                      <w:rFonts w:hint="eastAsia" w:eastAsia="宋体"/>
                      <w:b w:val="0"/>
                      <w:bCs w:val="0"/>
                      <w:color w:val="000000"/>
                      <w:sz w:val="21"/>
                      <w:szCs w:val="21"/>
                      <w:highlight w:val="none"/>
                      <w:lang w:val="en-US" w:eastAsia="zh-CN"/>
                    </w:rPr>
                    <w:t>尹家务中学</w:t>
                  </w:r>
                </w:p>
              </w:tc>
            </w:tr>
            <w:tr w14:paraId="14952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951" w:type="pct"/>
                  <w:tcBorders>
                    <w:tl2br w:val="nil"/>
                    <w:tr2bl w:val="nil"/>
                  </w:tcBorders>
                  <w:shd w:val="clear" w:color="auto" w:fill="auto"/>
                  <w:noWrap w:val="0"/>
                  <w:vAlign w:val="center"/>
                </w:tcPr>
                <w:p w14:paraId="195A3CF8">
                  <w:pPr>
                    <w:pStyle w:val="112"/>
                    <w:shd w:val="clear" w:color="auto" w:fill="auto"/>
                    <w:rPr>
                      <w:rFonts w:hint="eastAsia"/>
                      <w:color w:val="000000"/>
                      <w:sz w:val="21"/>
                      <w:szCs w:val="21"/>
                      <w:highlight w:val="none"/>
                    </w:rPr>
                  </w:pPr>
                  <w:r>
                    <w:rPr>
                      <w:rFonts w:hint="eastAsia"/>
                      <w:color w:val="000000"/>
                      <w:sz w:val="21"/>
                      <w:szCs w:val="21"/>
                      <w:highlight w:val="none"/>
                      <w:lang w:val="en-US" w:eastAsia="zh-CN"/>
                    </w:rPr>
                    <w:t>贡献值</w:t>
                  </w:r>
                  <w:r>
                    <w:rPr>
                      <w:color w:val="000000"/>
                      <w:sz w:val="21"/>
                      <w:szCs w:val="21"/>
                      <w:highlight w:val="none"/>
                    </w:rPr>
                    <w:t>（昼间）</w:t>
                  </w:r>
                </w:p>
              </w:tc>
              <w:tc>
                <w:tcPr>
                  <w:tcW w:w="485" w:type="pct"/>
                  <w:tcBorders>
                    <w:tl2br w:val="nil"/>
                    <w:tr2bl w:val="nil"/>
                  </w:tcBorders>
                  <w:shd w:val="clear" w:color="auto" w:fill="auto"/>
                  <w:noWrap w:val="0"/>
                  <w:vAlign w:val="center"/>
                </w:tcPr>
                <w:p w14:paraId="6CE46FA5">
                  <w:pPr>
                    <w:pStyle w:val="112"/>
                    <w:shd w:val="clear" w:color="auto" w:fil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56</w:t>
                  </w:r>
                </w:p>
              </w:tc>
              <w:tc>
                <w:tcPr>
                  <w:tcW w:w="427" w:type="pct"/>
                  <w:tcBorders>
                    <w:tl2br w:val="nil"/>
                    <w:tr2bl w:val="nil"/>
                  </w:tcBorders>
                  <w:shd w:val="clear" w:color="auto" w:fill="auto"/>
                  <w:noWrap w:val="0"/>
                  <w:vAlign w:val="center"/>
                </w:tcPr>
                <w:p w14:paraId="25A87E40">
                  <w:pPr>
                    <w:pStyle w:val="112"/>
                    <w:shd w:val="clear" w:color="auto" w:fil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57</w:t>
                  </w:r>
                </w:p>
              </w:tc>
              <w:tc>
                <w:tcPr>
                  <w:tcW w:w="463" w:type="pct"/>
                  <w:tcBorders>
                    <w:tl2br w:val="nil"/>
                    <w:tr2bl w:val="nil"/>
                  </w:tcBorders>
                  <w:shd w:val="clear" w:color="auto" w:fill="auto"/>
                  <w:noWrap w:val="0"/>
                  <w:vAlign w:val="center"/>
                </w:tcPr>
                <w:p w14:paraId="24718AE3">
                  <w:pPr>
                    <w:pStyle w:val="112"/>
                    <w:shd w:val="clear" w:color="auto" w:fil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53</w:t>
                  </w:r>
                </w:p>
              </w:tc>
              <w:tc>
                <w:tcPr>
                  <w:tcW w:w="478" w:type="pct"/>
                  <w:tcBorders>
                    <w:tl2br w:val="nil"/>
                    <w:tr2bl w:val="nil"/>
                  </w:tcBorders>
                  <w:shd w:val="clear" w:color="auto" w:fill="auto"/>
                  <w:noWrap w:val="0"/>
                  <w:vAlign w:val="center"/>
                </w:tcPr>
                <w:p w14:paraId="70185CF9">
                  <w:pPr>
                    <w:pStyle w:val="112"/>
                    <w:shd w:val="clear" w:color="auto" w:fil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55</w:t>
                  </w:r>
                </w:p>
              </w:tc>
              <w:tc>
                <w:tcPr>
                  <w:tcW w:w="741" w:type="pct"/>
                  <w:tcBorders>
                    <w:tl2br w:val="nil"/>
                    <w:tr2bl w:val="nil"/>
                  </w:tcBorders>
                  <w:shd w:val="clear" w:color="auto" w:fill="auto"/>
                  <w:noWrap w:val="0"/>
                  <w:vAlign w:val="center"/>
                </w:tcPr>
                <w:p w14:paraId="04448FEF">
                  <w:pPr>
                    <w:pStyle w:val="112"/>
                    <w:shd w:val="clear" w:color="auto" w:fil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35</w:t>
                  </w:r>
                </w:p>
              </w:tc>
              <w:tc>
                <w:tcPr>
                  <w:tcW w:w="736" w:type="pct"/>
                  <w:tcBorders>
                    <w:tl2br w:val="nil"/>
                    <w:tr2bl w:val="nil"/>
                  </w:tcBorders>
                  <w:shd w:val="clear" w:color="auto" w:fill="auto"/>
                  <w:noWrap w:val="0"/>
                  <w:vAlign w:val="center"/>
                </w:tcPr>
                <w:p w14:paraId="01B35B00">
                  <w:pPr>
                    <w:pStyle w:val="112"/>
                    <w:shd w:val="clear" w:color="auto" w:fil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40</w:t>
                  </w:r>
                </w:p>
              </w:tc>
              <w:tc>
                <w:tcPr>
                  <w:tcW w:w="715" w:type="pct"/>
                  <w:tcBorders>
                    <w:tl2br w:val="nil"/>
                    <w:tr2bl w:val="nil"/>
                  </w:tcBorders>
                  <w:shd w:val="clear" w:color="auto" w:fill="auto"/>
                  <w:noWrap w:val="0"/>
                  <w:vAlign w:val="center"/>
                </w:tcPr>
                <w:p w14:paraId="582B44FA">
                  <w:pPr>
                    <w:pStyle w:val="112"/>
                    <w:shd w:val="clear" w:color="auto" w:fil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36</w:t>
                  </w:r>
                </w:p>
              </w:tc>
            </w:tr>
            <w:tr w14:paraId="185F4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951" w:type="pct"/>
                  <w:tcBorders>
                    <w:tl2br w:val="nil"/>
                    <w:tr2bl w:val="nil"/>
                  </w:tcBorders>
                  <w:shd w:val="clear" w:color="auto" w:fill="auto"/>
                  <w:noWrap w:val="0"/>
                  <w:vAlign w:val="center"/>
                </w:tcPr>
                <w:p w14:paraId="34527C77">
                  <w:pPr>
                    <w:pStyle w:val="112"/>
                    <w:shd w:val="clear" w:color="auto" w:fill="auto"/>
                    <w:rPr>
                      <w:rFonts w:hint="default"/>
                      <w:color w:val="000000"/>
                      <w:sz w:val="21"/>
                      <w:szCs w:val="21"/>
                      <w:highlight w:val="none"/>
                      <w:lang w:val="en-US" w:eastAsia="zh-CN"/>
                    </w:rPr>
                  </w:pPr>
                  <w:r>
                    <w:rPr>
                      <w:rFonts w:hint="eastAsia"/>
                      <w:color w:val="000000"/>
                      <w:sz w:val="21"/>
                      <w:szCs w:val="21"/>
                      <w:highlight w:val="none"/>
                      <w:lang w:val="en-US" w:eastAsia="zh-CN"/>
                    </w:rPr>
                    <w:t>背景值</w:t>
                  </w:r>
                  <w:r>
                    <w:rPr>
                      <w:color w:val="000000"/>
                      <w:sz w:val="21"/>
                      <w:szCs w:val="21"/>
                      <w:highlight w:val="none"/>
                    </w:rPr>
                    <w:t>（昼间）</w:t>
                  </w:r>
                </w:p>
              </w:tc>
              <w:tc>
                <w:tcPr>
                  <w:tcW w:w="485" w:type="pct"/>
                  <w:tcBorders>
                    <w:tl2br w:val="nil"/>
                    <w:tr2bl w:val="nil"/>
                  </w:tcBorders>
                  <w:shd w:val="clear" w:color="auto" w:fill="auto"/>
                  <w:noWrap w:val="0"/>
                  <w:vAlign w:val="center"/>
                </w:tcPr>
                <w:p w14:paraId="054B0BC4">
                  <w:pPr>
                    <w:pStyle w:val="112"/>
                    <w:shd w:val="clear" w:color="auto" w:fil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w:t>
                  </w:r>
                </w:p>
              </w:tc>
              <w:tc>
                <w:tcPr>
                  <w:tcW w:w="427" w:type="pct"/>
                  <w:tcBorders>
                    <w:tl2br w:val="nil"/>
                    <w:tr2bl w:val="nil"/>
                  </w:tcBorders>
                  <w:shd w:val="clear" w:color="auto" w:fill="auto"/>
                  <w:noWrap w:val="0"/>
                  <w:vAlign w:val="center"/>
                </w:tcPr>
                <w:p w14:paraId="4DCA1215">
                  <w:pPr>
                    <w:shd w:val="clear" w:color="auto" w:fill="auto"/>
                    <w:jc w:val="center"/>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w:t>
                  </w:r>
                </w:p>
              </w:tc>
              <w:tc>
                <w:tcPr>
                  <w:tcW w:w="463" w:type="pct"/>
                  <w:tcBorders>
                    <w:tl2br w:val="nil"/>
                    <w:tr2bl w:val="nil"/>
                  </w:tcBorders>
                  <w:shd w:val="clear" w:color="auto" w:fill="auto"/>
                  <w:noWrap w:val="0"/>
                  <w:vAlign w:val="center"/>
                </w:tcPr>
                <w:p w14:paraId="4DE1517C">
                  <w:pPr>
                    <w:shd w:val="clear" w:color="auto" w:fill="auto"/>
                    <w:jc w:val="center"/>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w:t>
                  </w:r>
                </w:p>
              </w:tc>
              <w:tc>
                <w:tcPr>
                  <w:tcW w:w="478" w:type="pct"/>
                  <w:tcBorders>
                    <w:tl2br w:val="nil"/>
                    <w:tr2bl w:val="nil"/>
                  </w:tcBorders>
                  <w:shd w:val="clear" w:color="auto" w:fill="auto"/>
                  <w:noWrap w:val="0"/>
                  <w:vAlign w:val="center"/>
                </w:tcPr>
                <w:p w14:paraId="0D7F49BD">
                  <w:pPr>
                    <w:shd w:val="clear" w:color="auto" w:fill="auto"/>
                    <w:jc w:val="center"/>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w:t>
                  </w:r>
                </w:p>
              </w:tc>
              <w:tc>
                <w:tcPr>
                  <w:tcW w:w="741" w:type="pct"/>
                  <w:tcBorders>
                    <w:tl2br w:val="nil"/>
                    <w:tr2bl w:val="nil"/>
                  </w:tcBorders>
                  <w:shd w:val="clear" w:color="auto" w:fill="auto"/>
                  <w:noWrap w:val="0"/>
                  <w:vAlign w:val="center"/>
                </w:tcPr>
                <w:p w14:paraId="2DBC1E2A">
                  <w:pPr>
                    <w:pStyle w:val="112"/>
                    <w:shd w:val="clear" w:color="auto" w:fil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39</w:t>
                  </w:r>
                </w:p>
              </w:tc>
              <w:tc>
                <w:tcPr>
                  <w:tcW w:w="736" w:type="pct"/>
                  <w:tcBorders>
                    <w:tl2br w:val="nil"/>
                    <w:tr2bl w:val="nil"/>
                  </w:tcBorders>
                  <w:shd w:val="clear" w:color="auto" w:fill="auto"/>
                  <w:noWrap w:val="0"/>
                  <w:vAlign w:val="center"/>
                </w:tcPr>
                <w:p w14:paraId="61280608">
                  <w:pPr>
                    <w:pStyle w:val="112"/>
                    <w:shd w:val="clear" w:color="auto" w:fil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46</w:t>
                  </w:r>
                </w:p>
              </w:tc>
              <w:tc>
                <w:tcPr>
                  <w:tcW w:w="715" w:type="pct"/>
                  <w:tcBorders>
                    <w:tl2br w:val="nil"/>
                    <w:tr2bl w:val="nil"/>
                  </w:tcBorders>
                  <w:shd w:val="clear" w:color="auto" w:fill="auto"/>
                  <w:noWrap w:val="0"/>
                  <w:vAlign w:val="center"/>
                </w:tcPr>
                <w:p w14:paraId="697B035A">
                  <w:pPr>
                    <w:pStyle w:val="112"/>
                    <w:shd w:val="clear" w:color="auto" w:fill="auto"/>
                    <w:rPr>
                      <w:rFonts w:hint="eastAsia" w:eastAsia="宋体"/>
                      <w:color w:val="000000"/>
                      <w:sz w:val="21"/>
                      <w:szCs w:val="21"/>
                      <w:highlight w:val="none"/>
                      <w:lang w:val="en-US" w:eastAsia="zh-CN"/>
                    </w:rPr>
                  </w:pPr>
                  <w:r>
                    <w:rPr>
                      <w:rFonts w:hint="eastAsia" w:eastAsia="宋体"/>
                      <w:color w:val="000000"/>
                      <w:sz w:val="21"/>
                      <w:szCs w:val="21"/>
                      <w:highlight w:val="none"/>
                      <w:lang w:val="en-US" w:eastAsia="zh-CN"/>
                    </w:rPr>
                    <w:t>44</w:t>
                  </w:r>
                </w:p>
              </w:tc>
            </w:tr>
            <w:tr w14:paraId="742D1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951" w:type="pct"/>
                  <w:tcBorders>
                    <w:tl2br w:val="nil"/>
                    <w:tr2bl w:val="nil"/>
                  </w:tcBorders>
                  <w:shd w:val="clear" w:color="auto" w:fill="auto"/>
                  <w:noWrap w:val="0"/>
                  <w:vAlign w:val="center"/>
                </w:tcPr>
                <w:p w14:paraId="446CE897">
                  <w:pPr>
                    <w:pStyle w:val="112"/>
                    <w:shd w:val="clear" w:color="auto" w:fill="auto"/>
                    <w:rPr>
                      <w:rFonts w:hint="eastAsia"/>
                      <w:color w:val="000000"/>
                      <w:sz w:val="21"/>
                      <w:szCs w:val="21"/>
                      <w:highlight w:val="none"/>
                      <w:lang w:val="en-US" w:eastAsia="zh-CN"/>
                    </w:rPr>
                  </w:pPr>
                  <w:r>
                    <w:rPr>
                      <w:rFonts w:hint="eastAsia"/>
                      <w:color w:val="000000"/>
                      <w:sz w:val="21"/>
                      <w:szCs w:val="21"/>
                      <w:highlight w:val="none"/>
                      <w:lang w:val="en-US" w:eastAsia="zh-CN"/>
                    </w:rPr>
                    <w:t>预测值</w:t>
                  </w:r>
                  <w:r>
                    <w:rPr>
                      <w:color w:val="000000"/>
                      <w:sz w:val="21"/>
                      <w:szCs w:val="21"/>
                      <w:highlight w:val="none"/>
                    </w:rPr>
                    <w:t>（昼间）</w:t>
                  </w:r>
                </w:p>
              </w:tc>
              <w:tc>
                <w:tcPr>
                  <w:tcW w:w="485" w:type="pct"/>
                  <w:tcBorders>
                    <w:tl2br w:val="nil"/>
                    <w:tr2bl w:val="nil"/>
                  </w:tcBorders>
                  <w:shd w:val="clear" w:color="auto" w:fill="auto"/>
                  <w:noWrap w:val="0"/>
                  <w:vAlign w:val="center"/>
                </w:tcPr>
                <w:p w14:paraId="38D5FF1D">
                  <w:pPr>
                    <w:pStyle w:val="112"/>
                    <w:shd w:val="clear" w:color="auto" w:fil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w:t>
                  </w:r>
                </w:p>
              </w:tc>
              <w:tc>
                <w:tcPr>
                  <w:tcW w:w="427" w:type="pct"/>
                  <w:tcBorders>
                    <w:tl2br w:val="nil"/>
                    <w:tr2bl w:val="nil"/>
                  </w:tcBorders>
                  <w:shd w:val="clear" w:color="auto" w:fill="auto"/>
                  <w:noWrap w:val="0"/>
                  <w:vAlign w:val="center"/>
                </w:tcPr>
                <w:p w14:paraId="6FA809E6">
                  <w:pPr>
                    <w:shd w:val="clear" w:color="auto" w:fill="auto"/>
                    <w:jc w:val="center"/>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w:t>
                  </w:r>
                </w:p>
              </w:tc>
              <w:tc>
                <w:tcPr>
                  <w:tcW w:w="463" w:type="pct"/>
                  <w:tcBorders>
                    <w:tl2br w:val="nil"/>
                    <w:tr2bl w:val="nil"/>
                  </w:tcBorders>
                  <w:shd w:val="clear" w:color="auto" w:fill="auto"/>
                  <w:noWrap w:val="0"/>
                  <w:vAlign w:val="center"/>
                </w:tcPr>
                <w:p w14:paraId="783ED85A">
                  <w:pPr>
                    <w:shd w:val="clear" w:color="auto" w:fill="auto"/>
                    <w:jc w:val="center"/>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w:t>
                  </w:r>
                </w:p>
              </w:tc>
              <w:tc>
                <w:tcPr>
                  <w:tcW w:w="478" w:type="pct"/>
                  <w:tcBorders>
                    <w:tl2br w:val="nil"/>
                    <w:tr2bl w:val="nil"/>
                  </w:tcBorders>
                  <w:shd w:val="clear" w:color="auto" w:fill="auto"/>
                  <w:noWrap w:val="0"/>
                  <w:vAlign w:val="center"/>
                </w:tcPr>
                <w:p w14:paraId="1CD88364">
                  <w:pPr>
                    <w:shd w:val="clear" w:color="auto" w:fill="auto"/>
                    <w:jc w:val="center"/>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w:t>
                  </w:r>
                </w:p>
              </w:tc>
              <w:tc>
                <w:tcPr>
                  <w:tcW w:w="741" w:type="pct"/>
                  <w:tcBorders>
                    <w:tl2br w:val="nil"/>
                    <w:tr2bl w:val="nil"/>
                  </w:tcBorders>
                  <w:shd w:val="clear" w:color="auto" w:fill="auto"/>
                  <w:noWrap w:val="0"/>
                  <w:vAlign w:val="center"/>
                </w:tcPr>
                <w:p w14:paraId="177C72DC">
                  <w:pPr>
                    <w:pStyle w:val="112"/>
                    <w:shd w:val="clear" w:color="auto" w:fil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51</w:t>
                  </w:r>
                </w:p>
              </w:tc>
              <w:tc>
                <w:tcPr>
                  <w:tcW w:w="736" w:type="pct"/>
                  <w:tcBorders>
                    <w:tl2br w:val="nil"/>
                    <w:tr2bl w:val="nil"/>
                  </w:tcBorders>
                  <w:shd w:val="clear" w:color="auto" w:fill="auto"/>
                  <w:noWrap w:val="0"/>
                  <w:vAlign w:val="center"/>
                </w:tcPr>
                <w:p w14:paraId="2ED4FE30">
                  <w:pPr>
                    <w:pStyle w:val="112"/>
                    <w:shd w:val="clear" w:color="auto" w:fil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52</w:t>
                  </w:r>
                </w:p>
              </w:tc>
              <w:tc>
                <w:tcPr>
                  <w:tcW w:w="715" w:type="pct"/>
                  <w:tcBorders>
                    <w:tl2br w:val="nil"/>
                    <w:tr2bl w:val="nil"/>
                  </w:tcBorders>
                  <w:shd w:val="clear" w:color="auto" w:fill="auto"/>
                  <w:noWrap w:val="0"/>
                  <w:vAlign w:val="center"/>
                </w:tcPr>
                <w:p w14:paraId="522ED2E4">
                  <w:pPr>
                    <w:pStyle w:val="112"/>
                    <w:shd w:val="clear" w:color="auto" w:fil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45</w:t>
                  </w:r>
                </w:p>
              </w:tc>
            </w:tr>
            <w:tr w14:paraId="4EA71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951" w:type="pct"/>
                  <w:tcBorders>
                    <w:tl2br w:val="nil"/>
                    <w:tr2bl w:val="nil"/>
                  </w:tcBorders>
                  <w:shd w:val="clear" w:color="auto" w:fill="auto"/>
                  <w:noWrap w:val="0"/>
                  <w:vAlign w:val="center"/>
                </w:tcPr>
                <w:p w14:paraId="1F3287FD">
                  <w:pPr>
                    <w:pStyle w:val="112"/>
                    <w:shd w:val="clear" w:color="auto" w:fill="auto"/>
                    <w:rPr>
                      <w:color w:val="000000"/>
                      <w:sz w:val="21"/>
                      <w:szCs w:val="21"/>
                      <w:highlight w:val="none"/>
                    </w:rPr>
                  </w:pPr>
                  <w:r>
                    <w:rPr>
                      <w:color w:val="000000"/>
                      <w:sz w:val="21"/>
                      <w:szCs w:val="21"/>
                      <w:highlight w:val="none"/>
                    </w:rPr>
                    <w:t>标准值（昼间）</w:t>
                  </w:r>
                </w:p>
              </w:tc>
              <w:tc>
                <w:tcPr>
                  <w:tcW w:w="485" w:type="pct"/>
                  <w:tcBorders>
                    <w:tl2br w:val="nil"/>
                    <w:tr2bl w:val="nil"/>
                  </w:tcBorders>
                  <w:shd w:val="clear" w:color="auto" w:fill="auto"/>
                  <w:noWrap w:val="0"/>
                  <w:vAlign w:val="center"/>
                </w:tcPr>
                <w:p w14:paraId="64D2B8EF">
                  <w:pPr>
                    <w:shd w:val="clear" w:color="auto" w:fill="auto"/>
                    <w:jc w:val="center"/>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60</w:t>
                  </w:r>
                </w:p>
              </w:tc>
              <w:tc>
                <w:tcPr>
                  <w:tcW w:w="427" w:type="pct"/>
                  <w:tcBorders>
                    <w:tl2br w:val="nil"/>
                    <w:tr2bl w:val="nil"/>
                  </w:tcBorders>
                  <w:shd w:val="clear" w:color="auto" w:fill="auto"/>
                  <w:noWrap w:val="0"/>
                  <w:vAlign w:val="center"/>
                </w:tcPr>
                <w:p w14:paraId="0738DDAA">
                  <w:pPr>
                    <w:shd w:val="clear" w:color="auto" w:fill="auto"/>
                    <w:jc w:val="center"/>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60</w:t>
                  </w:r>
                </w:p>
              </w:tc>
              <w:tc>
                <w:tcPr>
                  <w:tcW w:w="463" w:type="pct"/>
                  <w:tcBorders>
                    <w:tl2br w:val="nil"/>
                    <w:tr2bl w:val="nil"/>
                  </w:tcBorders>
                  <w:shd w:val="clear" w:color="auto" w:fill="auto"/>
                  <w:noWrap w:val="0"/>
                  <w:vAlign w:val="center"/>
                </w:tcPr>
                <w:p w14:paraId="233D0B82">
                  <w:pPr>
                    <w:shd w:val="clear" w:color="auto" w:fill="auto"/>
                    <w:jc w:val="center"/>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60</w:t>
                  </w:r>
                </w:p>
              </w:tc>
              <w:tc>
                <w:tcPr>
                  <w:tcW w:w="478" w:type="pct"/>
                  <w:tcBorders>
                    <w:tl2br w:val="nil"/>
                    <w:tr2bl w:val="nil"/>
                  </w:tcBorders>
                  <w:shd w:val="clear" w:color="auto" w:fill="auto"/>
                  <w:noWrap w:val="0"/>
                  <w:vAlign w:val="center"/>
                </w:tcPr>
                <w:p w14:paraId="06FDB2EF">
                  <w:pPr>
                    <w:shd w:val="clear" w:color="auto" w:fill="auto"/>
                    <w:jc w:val="center"/>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60</w:t>
                  </w:r>
                </w:p>
              </w:tc>
              <w:tc>
                <w:tcPr>
                  <w:tcW w:w="741" w:type="pct"/>
                  <w:tcBorders>
                    <w:tl2br w:val="nil"/>
                    <w:tr2bl w:val="nil"/>
                  </w:tcBorders>
                  <w:shd w:val="clear" w:color="auto" w:fill="auto"/>
                  <w:noWrap w:val="0"/>
                  <w:vAlign w:val="center"/>
                </w:tcPr>
                <w:p w14:paraId="69EA615C">
                  <w:pPr>
                    <w:shd w:val="clear" w:color="auto" w:fill="auto"/>
                    <w:jc w:val="center"/>
                    <w:rPr>
                      <w:rFonts w:hint="eastAsia"/>
                      <w:color w:val="000000"/>
                      <w:sz w:val="21"/>
                      <w:szCs w:val="21"/>
                      <w:highlight w:val="none"/>
                      <w:lang w:val="en-US" w:eastAsia="zh-CN"/>
                    </w:rPr>
                  </w:pPr>
                  <w:r>
                    <w:rPr>
                      <w:rFonts w:hint="eastAsia" w:eastAsia="宋体"/>
                      <w:color w:val="000000"/>
                      <w:sz w:val="21"/>
                      <w:szCs w:val="21"/>
                      <w:highlight w:val="none"/>
                      <w:lang w:val="en-US" w:eastAsia="zh-CN"/>
                    </w:rPr>
                    <w:t>60</w:t>
                  </w:r>
                </w:p>
              </w:tc>
              <w:tc>
                <w:tcPr>
                  <w:tcW w:w="736" w:type="pct"/>
                  <w:tcBorders>
                    <w:tl2br w:val="nil"/>
                    <w:tr2bl w:val="nil"/>
                  </w:tcBorders>
                  <w:shd w:val="clear" w:color="auto" w:fill="auto"/>
                  <w:noWrap w:val="0"/>
                  <w:vAlign w:val="center"/>
                </w:tcPr>
                <w:p w14:paraId="527CDD46">
                  <w:pPr>
                    <w:shd w:val="clear" w:color="auto" w:fill="auto"/>
                    <w:jc w:val="center"/>
                    <w:rPr>
                      <w:rFonts w:hint="eastAsia"/>
                      <w:color w:val="000000"/>
                      <w:sz w:val="21"/>
                      <w:szCs w:val="21"/>
                      <w:highlight w:val="none"/>
                      <w:lang w:val="en-US" w:eastAsia="zh-CN"/>
                    </w:rPr>
                  </w:pPr>
                  <w:r>
                    <w:rPr>
                      <w:rFonts w:hint="eastAsia" w:eastAsia="宋体"/>
                      <w:color w:val="000000"/>
                      <w:sz w:val="21"/>
                      <w:szCs w:val="21"/>
                      <w:highlight w:val="none"/>
                      <w:lang w:val="en-US" w:eastAsia="zh-CN"/>
                    </w:rPr>
                    <w:t>60</w:t>
                  </w:r>
                </w:p>
              </w:tc>
              <w:tc>
                <w:tcPr>
                  <w:tcW w:w="715" w:type="pct"/>
                  <w:tcBorders>
                    <w:tl2br w:val="nil"/>
                    <w:tr2bl w:val="nil"/>
                  </w:tcBorders>
                  <w:shd w:val="clear" w:color="auto" w:fill="auto"/>
                  <w:noWrap w:val="0"/>
                  <w:vAlign w:val="center"/>
                </w:tcPr>
                <w:p w14:paraId="5BCFCD38">
                  <w:pPr>
                    <w:shd w:val="clear" w:color="auto" w:fill="auto"/>
                    <w:jc w:val="center"/>
                    <w:rPr>
                      <w:rFonts w:hint="eastAsia" w:eastAsia="宋体"/>
                      <w:color w:val="000000"/>
                      <w:sz w:val="21"/>
                      <w:szCs w:val="21"/>
                      <w:highlight w:val="none"/>
                      <w:lang w:val="en-US" w:eastAsia="zh-CN"/>
                    </w:rPr>
                  </w:pPr>
                  <w:r>
                    <w:rPr>
                      <w:rFonts w:hint="eastAsia" w:eastAsia="宋体"/>
                      <w:color w:val="000000"/>
                      <w:sz w:val="21"/>
                      <w:szCs w:val="21"/>
                      <w:highlight w:val="none"/>
                      <w:lang w:val="en-US" w:eastAsia="zh-CN"/>
                    </w:rPr>
                    <w:t>60</w:t>
                  </w:r>
                </w:p>
              </w:tc>
            </w:tr>
            <w:tr w14:paraId="44253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951" w:type="pct"/>
                  <w:tcBorders>
                    <w:tl2br w:val="nil"/>
                    <w:tr2bl w:val="nil"/>
                  </w:tcBorders>
                  <w:shd w:val="clear" w:color="auto" w:fill="auto"/>
                  <w:noWrap w:val="0"/>
                  <w:vAlign w:val="center"/>
                </w:tcPr>
                <w:p w14:paraId="48266375">
                  <w:pPr>
                    <w:pStyle w:val="112"/>
                    <w:shd w:val="clear" w:color="auto" w:fill="auto"/>
                    <w:rPr>
                      <w:color w:val="000000"/>
                      <w:sz w:val="21"/>
                      <w:szCs w:val="21"/>
                      <w:highlight w:val="none"/>
                    </w:rPr>
                  </w:pPr>
                  <w:r>
                    <w:rPr>
                      <w:color w:val="000000"/>
                      <w:sz w:val="21"/>
                      <w:szCs w:val="21"/>
                      <w:highlight w:val="none"/>
                    </w:rPr>
                    <w:t>是否达标</w:t>
                  </w:r>
                </w:p>
              </w:tc>
              <w:tc>
                <w:tcPr>
                  <w:tcW w:w="485" w:type="pct"/>
                  <w:tcBorders>
                    <w:tl2br w:val="nil"/>
                    <w:tr2bl w:val="nil"/>
                  </w:tcBorders>
                  <w:shd w:val="clear" w:color="auto" w:fill="auto"/>
                  <w:noWrap w:val="0"/>
                  <w:vAlign w:val="center"/>
                </w:tcPr>
                <w:p w14:paraId="5309813F">
                  <w:pPr>
                    <w:pStyle w:val="112"/>
                    <w:shd w:val="clear" w:color="auto" w:fill="auto"/>
                    <w:rPr>
                      <w:color w:val="000000"/>
                      <w:sz w:val="21"/>
                      <w:szCs w:val="21"/>
                      <w:highlight w:val="none"/>
                    </w:rPr>
                  </w:pPr>
                  <w:r>
                    <w:rPr>
                      <w:color w:val="000000"/>
                      <w:sz w:val="21"/>
                      <w:szCs w:val="21"/>
                      <w:highlight w:val="none"/>
                    </w:rPr>
                    <w:t>达标</w:t>
                  </w:r>
                </w:p>
              </w:tc>
              <w:tc>
                <w:tcPr>
                  <w:tcW w:w="427" w:type="pct"/>
                  <w:tcBorders>
                    <w:tl2br w:val="nil"/>
                    <w:tr2bl w:val="nil"/>
                  </w:tcBorders>
                  <w:shd w:val="clear" w:color="auto" w:fill="auto"/>
                  <w:noWrap w:val="0"/>
                  <w:vAlign w:val="center"/>
                </w:tcPr>
                <w:p w14:paraId="55F00A89">
                  <w:pPr>
                    <w:pStyle w:val="112"/>
                    <w:shd w:val="clear" w:color="auto" w:fill="auto"/>
                    <w:rPr>
                      <w:color w:val="000000"/>
                      <w:sz w:val="21"/>
                      <w:szCs w:val="21"/>
                      <w:highlight w:val="none"/>
                    </w:rPr>
                  </w:pPr>
                  <w:r>
                    <w:rPr>
                      <w:color w:val="000000"/>
                      <w:sz w:val="21"/>
                      <w:szCs w:val="21"/>
                      <w:highlight w:val="none"/>
                    </w:rPr>
                    <w:t>达标</w:t>
                  </w:r>
                </w:p>
              </w:tc>
              <w:tc>
                <w:tcPr>
                  <w:tcW w:w="463" w:type="pct"/>
                  <w:tcBorders>
                    <w:tl2br w:val="nil"/>
                    <w:tr2bl w:val="nil"/>
                  </w:tcBorders>
                  <w:shd w:val="clear" w:color="auto" w:fill="auto"/>
                  <w:noWrap w:val="0"/>
                  <w:vAlign w:val="center"/>
                </w:tcPr>
                <w:p w14:paraId="5039D142">
                  <w:pPr>
                    <w:pStyle w:val="112"/>
                    <w:shd w:val="clear" w:color="auto" w:fill="auto"/>
                    <w:rPr>
                      <w:rFonts w:hint="eastAsia" w:eastAsia="宋体"/>
                      <w:color w:val="000000"/>
                      <w:sz w:val="21"/>
                      <w:szCs w:val="21"/>
                      <w:highlight w:val="none"/>
                      <w:lang w:val="en-US" w:eastAsia="zh-CN"/>
                    </w:rPr>
                  </w:pPr>
                  <w:r>
                    <w:rPr>
                      <w:rFonts w:hint="eastAsia"/>
                      <w:color w:val="000000"/>
                      <w:sz w:val="21"/>
                      <w:szCs w:val="21"/>
                      <w:highlight w:val="none"/>
                      <w:lang w:val="en-US" w:eastAsia="zh-CN"/>
                    </w:rPr>
                    <w:t>达标</w:t>
                  </w:r>
                </w:p>
              </w:tc>
              <w:tc>
                <w:tcPr>
                  <w:tcW w:w="478" w:type="pct"/>
                  <w:tcBorders>
                    <w:tl2br w:val="nil"/>
                    <w:tr2bl w:val="nil"/>
                  </w:tcBorders>
                  <w:shd w:val="clear" w:color="auto" w:fill="auto"/>
                  <w:noWrap w:val="0"/>
                  <w:vAlign w:val="center"/>
                </w:tcPr>
                <w:p w14:paraId="58661816">
                  <w:pPr>
                    <w:pStyle w:val="112"/>
                    <w:shd w:val="clear" w:color="auto" w:fill="auto"/>
                    <w:rPr>
                      <w:rFonts w:hint="eastAsia" w:eastAsia="宋体"/>
                      <w:color w:val="000000"/>
                      <w:sz w:val="21"/>
                      <w:szCs w:val="21"/>
                      <w:highlight w:val="none"/>
                      <w:lang w:val="en-US" w:eastAsia="zh-CN"/>
                    </w:rPr>
                  </w:pPr>
                  <w:r>
                    <w:rPr>
                      <w:rFonts w:hint="eastAsia"/>
                      <w:color w:val="000000"/>
                      <w:sz w:val="21"/>
                      <w:szCs w:val="21"/>
                      <w:highlight w:val="none"/>
                      <w:lang w:val="en-US" w:eastAsia="zh-CN"/>
                    </w:rPr>
                    <w:t>达标</w:t>
                  </w:r>
                </w:p>
              </w:tc>
              <w:tc>
                <w:tcPr>
                  <w:tcW w:w="741" w:type="pct"/>
                  <w:tcBorders>
                    <w:tl2br w:val="nil"/>
                    <w:tr2bl w:val="nil"/>
                  </w:tcBorders>
                  <w:shd w:val="clear" w:color="auto" w:fill="auto"/>
                  <w:noWrap w:val="0"/>
                  <w:vAlign w:val="center"/>
                </w:tcPr>
                <w:p w14:paraId="54BDEDF7">
                  <w:pPr>
                    <w:pStyle w:val="112"/>
                    <w:shd w:val="clear" w:color="auto" w:fill="auto"/>
                    <w:rPr>
                      <w:rFonts w:hint="eastAsia"/>
                      <w:color w:val="000000"/>
                      <w:sz w:val="21"/>
                      <w:szCs w:val="21"/>
                      <w:highlight w:val="none"/>
                      <w:lang w:val="en-US" w:eastAsia="zh-CN"/>
                    </w:rPr>
                  </w:pPr>
                  <w:r>
                    <w:rPr>
                      <w:rFonts w:hint="eastAsia"/>
                      <w:color w:val="000000"/>
                      <w:sz w:val="21"/>
                      <w:szCs w:val="21"/>
                      <w:highlight w:val="none"/>
                      <w:lang w:val="en-US" w:eastAsia="zh-CN"/>
                    </w:rPr>
                    <w:t>达标</w:t>
                  </w:r>
                </w:p>
              </w:tc>
              <w:tc>
                <w:tcPr>
                  <w:tcW w:w="736" w:type="pct"/>
                  <w:tcBorders>
                    <w:tl2br w:val="nil"/>
                    <w:tr2bl w:val="nil"/>
                  </w:tcBorders>
                  <w:shd w:val="clear" w:color="auto" w:fill="auto"/>
                  <w:noWrap w:val="0"/>
                  <w:vAlign w:val="center"/>
                </w:tcPr>
                <w:p w14:paraId="56466BBE">
                  <w:pPr>
                    <w:pStyle w:val="112"/>
                    <w:shd w:val="clear" w:color="auto" w:fill="auto"/>
                    <w:rPr>
                      <w:rFonts w:hint="eastAsia"/>
                      <w:color w:val="000000"/>
                      <w:sz w:val="21"/>
                      <w:szCs w:val="21"/>
                      <w:highlight w:val="none"/>
                      <w:lang w:val="en-US" w:eastAsia="zh-CN"/>
                    </w:rPr>
                  </w:pPr>
                  <w:r>
                    <w:rPr>
                      <w:rFonts w:hint="eastAsia"/>
                      <w:color w:val="000000"/>
                      <w:sz w:val="21"/>
                      <w:szCs w:val="21"/>
                      <w:highlight w:val="none"/>
                      <w:lang w:val="en-US" w:eastAsia="zh-CN"/>
                    </w:rPr>
                    <w:t>达标</w:t>
                  </w:r>
                </w:p>
              </w:tc>
              <w:tc>
                <w:tcPr>
                  <w:tcW w:w="715" w:type="pct"/>
                  <w:tcBorders>
                    <w:tl2br w:val="nil"/>
                    <w:tr2bl w:val="nil"/>
                  </w:tcBorders>
                  <w:shd w:val="clear" w:color="auto" w:fill="auto"/>
                  <w:noWrap w:val="0"/>
                  <w:vAlign w:val="center"/>
                </w:tcPr>
                <w:p w14:paraId="39CA04AC">
                  <w:pPr>
                    <w:pStyle w:val="112"/>
                    <w:shd w:val="clear" w:color="auto" w:fill="auto"/>
                    <w:rPr>
                      <w:rFonts w:hint="eastAsia"/>
                      <w:color w:val="000000"/>
                      <w:sz w:val="21"/>
                      <w:szCs w:val="21"/>
                      <w:highlight w:val="none"/>
                      <w:lang w:val="en-US" w:eastAsia="zh-CN"/>
                    </w:rPr>
                  </w:pPr>
                  <w:r>
                    <w:rPr>
                      <w:rFonts w:hint="eastAsia"/>
                      <w:color w:val="000000"/>
                      <w:sz w:val="21"/>
                      <w:szCs w:val="21"/>
                      <w:highlight w:val="none"/>
                      <w:lang w:val="en-US" w:eastAsia="zh-CN"/>
                    </w:rPr>
                    <w:t>达标</w:t>
                  </w:r>
                </w:p>
              </w:tc>
            </w:tr>
          </w:tbl>
          <w:p w14:paraId="5089047F">
            <w:pPr>
              <w:shd w:val="clear" w:color="auto" w:fill="auto"/>
              <w:adjustRightInd w:val="0"/>
              <w:spacing w:line="360" w:lineRule="auto"/>
              <w:ind w:firstLine="420" w:firstLineChars="200"/>
              <w:jc w:val="left"/>
              <w:rPr>
                <w:rFonts w:hint="eastAsia"/>
                <w:bCs/>
                <w:color w:val="000000"/>
                <w:kern w:val="0"/>
                <w:sz w:val="21"/>
                <w:szCs w:val="21"/>
                <w:highlight w:val="none"/>
              </w:rPr>
            </w:pPr>
            <w:r>
              <w:rPr>
                <w:color w:val="000000"/>
                <w:kern w:val="0"/>
                <w:sz w:val="21"/>
                <w:szCs w:val="21"/>
                <w:highlight w:val="none"/>
              </w:rPr>
              <w:t>从上表可知，建设单位对主要噪声设备采取了</w:t>
            </w:r>
            <w:r>
              <w:rPr>
                <w:rFonts w:hint="eastAsia"/>
                <w:color w:val="000000"/>
                <w:kern w:val="0"/>
                <w:sz w:val="21"/>
                <w:szCs w:val="21"/>
                <w:highlight w:val="none"/>
                <w:lang w:val="en-US" w:eastAsia="zh-CN"/>
              </w:rPr>
              <w:t>合理布局、厂房</w:t>
            </w:r>
            <w:r>
              <w:rPr>
                <w:color w:val="000000"/>
                <w:kern w:val="0"/>
                <w:sz w:val="21"/>
                <w:szCs w:val="21"/>
                <w:highlight w:val="none"/>
              </w:rPr>
              <w:t>隔声、加强设备润滑、距离衰减</w:t>
            </w:r>
            <w:r>
              <w:rPr>
                <w:rFonts w:hint="eastAsia"/>
                <w:color w:val="000000"/>
                <w:kern w:val="0"/>
                <w:sz w:val="21"/>
                <w:szCs w:val="21"/>
                <w:highlight w:val="none"/>
                <w:lang w:val="en-US" w:eastAsia="zh-CN"/>
              </w:rPr>
              <w:t>及风机设置隔声罩</w:t>
            </w:r>
            <w:r>
              <w:rPr>
                <w:color w:val="000000"/>
                <w:kern w:val="0"/>
                <w:sz w:val="21"/>
                <w:szCs w:val="21"/>
                <w:highlight w:val="none"/>
              </w:rPr>
              <w:t>等措施后，将使噪声源的噪声影响大大降低，且噪声源强距厂界均有一定距离，能有效降低对厂界的影响。</w:t>
            </w:r>
            <w:r>
              <w:rPr>
                <w:rFonts w:hint="eastAsia"/>
                <w:color w:val="000000"/>
                <w:kern w:val="0"/>
                <w:sz w:val="21"/>
                <w:szCs w:val="21"/>
                <w:highlight w:val="none"/>
                <w:lang w:val="en-US" w:eastAsia="zh-CN"/>
              </w:rPr>
              <w:t>厂界</w:t>
            </w:r>
            <w:r>
              <w:rPr>
                <w:color w:val="000000"/>
                <w:kern w:val="0"/>
                <w:sz w:val="21"/>
                <w:szCs w:val="21"/>
                <w:highlight w:val="none"/>
              </w:rPr>
              <w:t>噪声</w:t>
            </w:r>
            <w:r>
              <w:rPr>
                <w:rFonts w:hint="eastAsia"/>
                <w:color w:val="000000"/>
                <w:kern w:val="0"/>
                <w:sz w:val="21"/>
                <w:szCs w:val="21"/>
                <w:highlight w:val="none"/>
                <w:lang w:val="en-US" w:eastAsia="zh-CN"/>
              </w:rPr>
              <w:t>贡献</w:t>
            </w:r>
            <w:r>
              <w:rPr>
                <w:color w:val="000000"/>
                <w:kern w:val="0"/>
                <w:sz w:val="21"/>
                <w:szCs w:val="21"/>
                <w:highlight w:val="none"/>
              </w:rPr>
              <w:t>值可以满足《工业企业厂界环境噪声排放标准》（GB12348-2008）</w:t>
            </w:r>
            <w:r>
              <w:rPr>
                <w:rFonts w:hint="eastAsia"/>
                <w:color w:val="000000"/>
                <w:kern w:val="0"/>
                <w:sz w:val="21"/>
                <w:szCs w:val="21"/>
                <w:highlight w:val="none"/>
                <w:lang w:val="en-US" w:eastAsia="zh-CN"/>
              </w:rPr>
              <w:t>2</w:t>
            </w:r>
            <w:r>
              <w:rPr>
                <w:color w:val="000000"/>
                <w:kern w:val="0"/>
                <w:sz w:val="21"/>
                <w:szCs w:val="21"/>
                <w:highlight w:val="none"/>
              </w:rPr>
              <w:t>类标准要求</w:t>
            </w:r>
            <w:r>
              <w:rPr>
                <w:rFonts w:hint="eastAsia"/>
                <w:color w:val="000000"/>
                <w:kern w:val="0"/>
                <w:sz w:val="21"/>
                <w:szCs w:val="21"/>
                <w:highlight w:val="none"/>
                <w:lang w:val="en-US" w:eastAsia="zh-CN"/>
              </w:rPr>
              <w:t>，敏感点噪声预测</w:t>
            </w:r>
            <w:r>
              <w:rPr>
                <w:color w:val="000000"/>
                <w:kern w:val="0"/>
                <w:sz w:val="21"/>
                <w:szCs w:val="21"/>
                <w:highlight w:val="none"/>
              </w:rPr>
              <w:t>值可以满足《</w:t>
            </w:r>
            <w:r>
              <w:rPr>
                <w:rFonts w:hint="eastAsia"/>
                <w:color w:val="000000"/>
                <w:kern w:val="0"/>
                <w:sz w:val="21"/>
                <w:szCs w:val="21"/>
                <w:highlight w:val="none"/>
                <w:lang w:val="en-US" w:eastAsia="zh-CN"/>
              </w:rPr>
              <w:t>声环境质量</w:t>
            </w:r>
            <w:r>
              <w:rPr>
                <w:color w:val="000000"/>
                <w:kern w:val="0"/>
                <w:sz w:val="21"/>
                <w:szCs w:val="21"/>
                <w:highlight w:val="none"/>
              </w:rPr>
              <w:t>标准》（GB</w:t>
            </w:r>
            <w:r>
              <w:rPr>
                <w:rFonts w:hint="eastAsia"/>
                <w:color w:val="000000"/>
                <w:kern w:val="0"/>
                <w:sz w:val="21"/>
                <w:szCs w:val="21"/>
                <w:highlight w:val="none"/>
                <w:lang w:val="en-US" w:eastAsia="zh-CN"/>
              </w:rPr>
              <w:t>3096</w:t>
            </w:r>
            <w:r>
              <w:rPr>
                <w:color w:val="000000"/>
                <w:kern w:val="0"/>
                <w:sz w:val="21"/>
                <w:szCs w:val="21"/>
                <w:highlight w:val="none"/>
              </w:rPr>
              <w:t>-2008）</w:t>
            </w:r>
            <w:r>
              <w:rPr>
                <w:rFonts w:hint="eastAsia"/>
                <w:color w:val="000000"/>
                <w:kern w:val="0"/>
                <w:sz w:val="21"/>
                <w:szCs w:val="21"/>
                <w:highlight w:val="none"/>
                <w:lang w:val="en-US" w:eastAsia="zh-CN"/>
              </w:rPr>
              <w:t>2</w:t>
            </w:r>
            <w:r>
              <w:rPr>
                <w:color w:val="000000"/>
                <w:kern w:val="0"/>
                <w:sz w:val="21"/>
                <w:szCs w:val="21"/>
                <w:highlight w:val="none"/>
              </w:rPr>
              <w:t>类标准要求</w:t>
            </w:r>
            <w:r>
              <w:rPr>
                <w:rFonts w:hint="eastAsia"/>
                <w:bCs/>
                <w:color w:val="000000"/>
                <w:kern w:val="0"/>
                <w:sz w:val="21"/>
                <w:szCs w:val="21"/>
                <w:highlight w:val="none"/>
              </w:rPr>
              <w:t>。</w:t>
            </w:r>
          </w:p>
          <w:p w14:paraId="797B5229">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firstLine="420" w:firstLineChars="200"/>
              <w:jc w:val="left"/>
              <w:textAlignment w:val="auto"/>
              <w:rPr>
                <w:rFonts w:ascii="Times New Roman" w:hAnsi="Times New Roman" w:eastAsia="宋体" w:cs="Times New Roman"/>
                <w:bCs/>
                <w:color w:val="000000"/>
                <w:kern w:val="0"/>
                <w:sz w:val="21"/>
                <w:szCs w:val="21"/>
                <w:highlight w:val="none"/>
                <w:lang w:bidi="zh-HK"/>
              </w:rPr>
            </w:pPr>
            <w:r>
              <w:rPr>
                <w:rFonts w:hint="eastAsia" w:cs="Times New Roman"/>
                <w:bCs/>
                <w:color w:val="000000"/>
                <w:kern w:val="0"/>
                <w:sz w:val="21"/>
                <w:szCs w:val="21"/>
                <w:highlight w:val="none"/>
                <w:lang w:eastAsia="zh-CN" w:bidi="zh-HK"/>
              </w:rPr>
              <w:t>3.</w:t>
            </w:r>
            <w:r>
              <w:rPr>
                <w:rFonts w:hint="default" w:ascii="Times New Roman" w:hAnsi="Times New Roman" w:eastAsia="宋体" w:cs="Times New Roman"/>
                <w:b/>
                <w:bCs w:val="0"/>
                <w:color w:val="000000"/>
                <w:kern w:val="0"/>
                <w:sz w:val="21"/>
                <w:szCs w:val="21"/>
                <w:highlight w:val="none"/>
                <w:lang w:bidi="zh-HK"/>
              </w:rPr>
              <w:t>监测计划</w:t>
            </w:r>
          </w:p>
          <w:p w14:paraId="27E0177F">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auto"/>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根据《排污单位自行监测技术指南</w:t>
            </w:r>
            <w:r>
              <w:rPr>
                <w:rFonts w:hint="default" w:ascii="Times New Roman" w:hAnsi="Times New Roman" w:eastAsia="宋体" w:cs="Times New Roman"/>
                <w:color w:val="000000"/>
                <w:highlight w:val="none"/>
                <w:lang w:val="en-US" w:eastAsia="zh-CN"/>
              </w:rPr>
              <w:t>-</w:t>
            </w:r>
            <w:r>
              <w:rPr>
                <w:rFonts w:hint="eastAsia" w:ascii="Times New Roman" w:hAnsi="Times New Roman" w:eastAsia="宋体" w:cs="Times New Roman"/>
                <w:color w:val="000000"/>
                <w:highlight w:val="none"/>
                <w:lang w:val="en-US" w:eastAsia="zh-CN"/>
              </w:rPr>
              <w:t>总则》（</w:t>
            </w:r>
            <w:r>
              <w:rPr>
                <w:rFonts w:hint="default" w:ascii="Times New Roman" w:hAnsi="Times New Roman" w:eastAsia="宋体" w:cs="Times New Roman"/>
                <w:color w:val="000000"/>
                <w:highlight w:val="none"/>
                <w:lang w:val="en-US" w:eastAsia="zh-CN"/>
              </w:rPr>
              <w:t>HJ819-2017</w:t>
            </w:r>
            <w:r>
              <w:rPr>
                <w:rFonts w:hint="eastAsia" w:ascii="Times New Roman" w:hAnsi="Times New Roman" w:eastAsia="宋体" w:cs="Times New Roman"/>
                <w:color w:val="000000"/>
                <w:highlight w:val="none"/>
                <w:lang w:val="en-US" w:eastAsia="zh-CN"/>
              </w:rPr>
              <w:t>）等相关规定要求，制定企业自行监测方案。</w:t>
            </w:r>
          </w:p>
          <w:p w14:paraId="1C5A38DD">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auto"/>
              <w:rPr>
                <w:rFonts w:hint="eastAsia" w:eastAsia="黑体"/>
                <w:bCs/>
                <w:color w:val="000000"/>
                <w:sz w:val="21"/>
                <w:szCs w:val="21"/>
                <w:highlight w:val="none"/>
              </w:rPr>
            </w:pPr>
            <w:r>
              <w:rPr>
                <w:rFonts w:hint="eastAsia" w:ascii="Times New Roman" w:hAnsi="Times New Roman" w:eastAsia="宋体" w:cs="Times New Roman"/>
                <w:color w:val="000000"/>
                <w:highlight w:val="none"/>
                <w:lang w:val="en-US" w:eastAsia="zh-CN"/>
              </w:rPr>
              <w:t>运营期自行监测方案详见下表。</w:t>
            </w:r>
          </w:p>
          <w:p w14:paraId="3255E13D">
            <w:pPr>
              <w:keepNext w:val="0"/>
              <w:keepLines w:val="0"/>
              <w:pageBreakBefore w:val="0"/>
              <w:widowControl/>
              <w:shd w:val="clear" w:color="auto" w:fill="auto"/>
              <w:kinsoku/>
              <w:wordWrap/>
              <w:overflowPunct/>
              <w:topLinePunct w:val="0"/>
              <w:autoSpaceDE/>
              <w:autoSpaceDN/>
              <w:bidi w:val="0"/>
              <w:adjustRightInd w:val="0"/>
              <w:snapToGrid w:val="0"/>
              <w:spacing w:line="240" w:lineRule="auto"/>
              <w:jc w:val="center"/>
              <w:textAlignment w:val="auto"/>
              <w:rPr>
                <w:b/>
                <w:color w:val="000000"/>
                <w:sz w:val="21"/>
                <w:szCs w:val="21"/>
                <w:highlight w:val="none"/>
              </w:rPr>
            </w:pPr>
            <w:r>
              <w:rPr>
                <w:rFonts w:hint="eastAsia"/>
                <w:b/>
                <w:color w:val="000000"/>
                <w:sz w:val="21"/>
                <w:szCs w:val="21"/>
                <w:highlight w:val="none"/>
              </w:rPr>
              <w:t>表4-</w:t>
            </w:r>
            <w:r>
              <w:rPr>
                <w:rFonts w:hint="eastAsia"/>
                <w:b/>
                <w:color w:val="000000"/>
                <w:sz w:val="21"/>
                <w:szCs w:val="21"/>
                <w:highlight w:val="none"/>
                <w:lang w:val="en-US" w:eastAsia="zh-CN"/>
              </w:rPr>
              <w:t xml:space="preserve">17    </w:t>
            </w:r>
            <w:r>
              <w:rPr>
                <w:rFonts w:hint="eastAsia"/>
                <w:b/>
                <w:color w:val="000000"/>
                <w:sz w:val="21"/>
                <w:szCs w:val="21"/>
                <w:highlight w:val="none"/>
              </w:rPr>
              <w:t>运</w:t>
            </w:r>
            <w:r>
              <w:rPr>
                <w:b/>
                <w:color w:val="000000"/>
                <w:sz w:val="21"/>
                <w:szCs w:val="21"/>
                <w:highlight w:val="none"/>
              </w:rPr>
              <w:t>营期噪声监测内容及计划</w:t>
            </w:r>
          </w:p>
          <w:tbl>
            <w:tblPr>
              <w:tblStyle w:val="21"/>
              <w:tblW w:w="5000" w:type="pct"/>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shd w:val="clear" w:color="auto" w:fill="auto"/>
              <w:tblLayout w:type="fixed"/>
              <w:tblCellMar>
                <w:top w:w="0" w:type="dxa"/>
                <w:left w:w="0" w:type="dxa"/>
                <w:bottom w:w="0" w:type="dxa"/>
                <w:right w:w="0" w:type="dxa"/>
              </w:tblCellMar>
            </w:tblPr>
            <w:tblGrid>
              <w:gridCol w:w="691"/>
              <w:gridCol w:w="1095"/>
              <w:gridCol w:w="1304"/>
              <w:gridCol w:w="1576"/>
              <w:gridCol w:w="3472"/>
            </w:tblGrid>
            <w:tr w14:paraId="08EA75A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40" w:hRule="atLeast"/>
                <w:jc w:val="center"/>
              </w:trPr>
              <w:tc>
                <w:tcPr>
                  <w:tcW w:w="425" w:type="pct"/>
                  <w:tcBorders>
                    <w:tl2br w:val="nil"/>
                    <w:tr2bl w:val="nil"/>
                  </w:tcBorders>
                  <w:shd w:val="clear" w:color="auto" w:fill="auto"/>
                  <w:noWrap w:val="0"/>
                  <w:vAlign w:val="center"/>
                </w:tcPr>
                <w:p w14:paraId="4B7A2E68">
                  <w:pPr>
                    <w:shd w:val="clear" w:color="auto" w:fill="auto"/>
                    <w:autoSpaceDE w:val="0"/>
                    <w:autoSpaceDN w:val="0"/>
                    <w:jc w:val="center"/>
                    <w:rPr>
                      <w:b/>
                      <w:bCs/>
                      <w:color w:val="000000"/>
                      <w:sz w:val="21"/>
                      <w:szCs w:val="21"/>
                      <w:highlight w:val="none"/>
                    </w:rPr>
                  </w:pPr>
                  <w:r>
                    <w:rPr>
                      <w:b/>
                      <w:bCs/>
                      <w:color w:val="000000"/>
                      <w:sz w:val="21"/>
                      <w:szCs w:val="21"/>
                      <w:highlight w:val="none"/>
                    </w:rPr>
                    <w:t>类别</w:t>
                  </w:r>
                </w:p>
              </w:tc>
              <w:tc>
                <w:tcPr>
                  <w:tcW w:w="672" w:type="pct"/>
                  <w:tcBorders>
                    <w:tl2br w:val="nil"/>
                    <w:tr2bl w:val="nil"/>
                  </w:tcBorders>
                  <w:shd w:val="clear" w:color="auto" w:fill="auto"/>
                  <w:noWrap w:val="0"/>
                  <w:vAlign w:val="center"/>
                </w:tcPr>
                <w:p w14:paraId="35387E78">
                  <w:pPr>
                    <w:shd w:val="clear" w:color="auto" w:fill="auto"/>
                    <w:autoSpaceDE w:val="0"/>
                    <w:autoSpaceDN w:val="0"/>
                    <w:jc w:val="center"/>
                    <w:rPr>
                      <w:b/>
                      <w:bCs/>
                      <w:color w:val="000000"/>
                      <w:sz w:val="21"/>
                      <w:szCs w:val="21"/>
                      <w:highlight w:val="none"/>
                    </w:rPr>
                  </w:pPr>
                  <w:r>
                    <w:rPr>
                      <w:b/>
                      <w:bCs/>
                      <w:color w:val="000000"/>
                      <w:sz w:val="21"/>
                      <w:szCs w:val="21"/>
                      <w:highlight w:val="none"/>
                    </w:rPr>
                    <w:t>监测项目</w:t>
                  </w:r>
                </w:p>
              </w:tc>
              <w:tc>
                <w:tcPr>
                  <w:tcW w:w="801" w:type="pct"/>
                  <w:tcBorders>
                    <w:tl2br w:val="nil"/>
                    <w:tr2bl w:val="nil"/>
                  </w:tcBorders>
                  <w:shd w:val="clear" w:color="auto" w:fill="auto"/>
                  <w:noWrap w:val="0"/>
                  <w:vAlign w:val="center"/>
                </w:tcPr>
                <w:p w14:paraId="3161204B">
                  <w:pPr>
                    <w:shd w:val="clear" w:color="auto" w:fill="auto"/>
                    <w:autoSpaceDE w:val="0"/>
                    <w:autoSpaceDN w:val="0"/>
                    <w:jc w:val="center"/>
                    <w:rPr>
                      <w:b/>
                      <w:bCs/>
                      <w:color w:val="000000"/>
                      <w:sz w:val="21"/>
                      <w:szCs w:val="21"/>
                      <w:highlight w:val="none"/>
                    </w:rPr>
                  </w:pPr>
                  <w:r>
                    <w:rPr>
                      <w:b/>
                      <w:bCs/>
                      <w:color w:val="000000"/>
                      <w:sz w:val="21"/>
                      <w:szCs w:val="21"/>
                      <w:highlight w:val="none"/>
                    </w:rPr>
                    <w:t>监测频次</w:t>
                  </w:r>
                </w:p>
              </w:tc>
              <w:tc>
                <w:tcPr>
                  <w:tcW w:w="968" w:type="pct"/>
                  <w:tcBorders>
                    <w:tl2br w:val="nil"/>
                    <w:tr2bl w:val="nil"/>
                  </w:tcBorders>
                  <w:shd w:val="clear" w:color="auto" w:fill="auto"/>
                  <w:noWrap w:val="0"/>
                  <w:vAlign w:val="center"/>
                </w:tcPr>
                <w:p w14:paraId="5842DB3F">
                  <w:pPr>
                    <w:shd w:val="clear" w:color="auto" w:fill="auto"/>
                    <w:autoSpaceDE w:val="0"/>
                    <w:autoSpaceDN w:val="0"/>
                    <w:jc w:val="center"/>
                    <w:rPr>
                      <w:b/>
                      <w:bCs/>
                      <w:color w:val="000000"/>
                      <w:sz w:val="21"/>
                      <w:szCs w:val="21"/>
                      <w:highlight w:val="none"/>
                    </w:rPr>
                  </w:pPr>
                  <w:r>
                    <w:rPr>
                      <w:b/>
                      <w:bCs/>
                      <w:color w:val="000000"/>
                      <w:sz w:val="21"/>
                      <w:szCs w:val="21"/>
                      <w:highlight w:val="none"/>
                    </w:rPr>
                    <w:t>监测点位</w:t>
                  </w:r>
                </w:p>
              </w:tc>
              <w:tc>
                <w:tcPr>
                  <w:tcW w:w="2132" w:type="pct"/>
                  <w:tcBorders>
                    <w:tl2br w:val="nil"/>
                    <w:tr2bl w:val="nil"/>
                  </w:tcBorders>
                  <w:shd w:val="clear" w:color="auto" w:fill="auto"/>
                  <w:noWrap w:val="0"/>
                  <w:vAlign w:val="center"/>
                </w:tcPr>
                <w:p w14:paraId="0B85A831">
                  <w:pPr>
                    <w:shd w:val="clear" w:color="auto" w:fill="auto"/>
                    <w:autoSpaceDE w:val="0"/>
                    <w:autoSpaceDN w:val="0"/>
                    <w:jc w:val="center"/>
                    <w:rPr>
                      <w:b/>
                      <w:bCs/>
                      <w:color w:val="000000"/>
                      <w:sz w:val="21"/>
                      <w:szCs w:val="21"/>
                      <w:highlight w:val="none"/>
                    </w:rPr>
                  </w:pPr>
                  <w:r>
                    <w:rPr>
                      <w:rFonts w:hint="eastAsia"/>
                      <w:b/>
                      <w:bCs/>
                      <w:color w:val="000000"/>
                      <w:sz w:val="21"/>
                      <w:szCs w:val="21"/>
                      <w:highlight w:val="none"/>
                    </w:rPr>
                    <w:t>执行标准</w:t>
                  </w:r>
                </w:p>
              </w:tc>
            </w:tr>
            <w:tr w14:paraId="4ECE086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25" w:type="pct"/>
                  <w:tcBorders>
                    <w:tl2br w:val="nil"/>
                    <w:tr2bl w:val="nil"/>
                  </w:tcBorders>
                  <w:shd w:val="clear" w:color="auto" w:fill="auto"/>
                  <w:noWrap w:val="0"/>
                  <w:vAlign w:val="center"/>
                </w:tcPr>
                <w:p w14:paraId="1F8EA1D8">
                  <w:pPr>
                    <w:shd w:val="clear" w:color="auto" w:fill="auto"/>
                    <w:autoSpaceDE w:val="0"/>
                    <w:autoSpaceDN w:val="0"/>
                    <w:jc w:val="center"/>
                    <w:rPr>
                      <w:color w:val="000000"/>
                      <w:sz w:val="21"/>
                      <w:szCs w:val="21"/>
                      <w:highlight w:val="none"/>
                    </w:rPr>
                  </w:pPr>
                  <w:r>
                    <w:rPr>
                      <w:color w:val="000000"/>
                      <w:sz w:val="21"/>
                      <w:szCs w:val="21"/>
                      <w:highlight w:val="none"/>
                    </w:rPr>
                    <w:t>噪声</w:t>
                  </w:r>
                </w:p>
              </w:tc>
              <w:tc>
                <w:tcPr>
                  <w:tcW w:w="672" w:type="pct"/>
                  <w:tcBorders>
                    <w:tl2br w:val="nil"/>
                    <w:tr2bl w:val="nil"/>
                  </w:tcBorders>
                  <w:shd w:val="clear" w:color="auto" w:fill="auto"/>
                  <w:noWrap w:val="0"/>
                  <w:vAlign w:val="center"/>
                </w:tcPr>
                <w:p w14:paraId="4ED35E6C">
                  <w:pPr>
                    <w:shd w:val="clear" w:color="auto" w:fill="auto"/>
                    <w:autoSpaceDE w:val="0"/>
                    <w:autoSpaceDN w:val="0"/>
                    <w:jc w:val="center"/>
                    <w:rPr>
                      <w:color w:val="000000"/>
                      <w:sz w:val="21"/>
                      <w:szCs w:val="21"/>
                      <w:highlight w:val="none"/>
                    </w:rPr>
                  </w:pPr>
                  <w:r>
                    <w:rPr>
                      <w:color w:val="000000"/>
                      <w:sz w:val="21"/>
                      <w:szCs w:val="21"/>
                      <w:highlight w:val="none"/>
                    </w:rPr>
                    <w:t>等效声级Leq（A）</w:t>
                  </w:r>
                </w:p>
              </w:tc>
              <w:tc>
                <w:tcPr>
                  <w:tcW w:w="801" w:type="pct"/>
                  <w:tcBorders>
                    <w:tl2br w:val="nil"/>
                    <w:tr2bl w:val="nil"/>
                  </w:tcBorders>
                  <w:shd w:val="clear" w:color="auto" w:fill="auto"/>
                  <w:noWrap w:val="0"/>
                  <w:vAlign w:val="center"/>
                </w:tcPr>
                <w:p w14:paraId="5B9184F2">
                  <w:pPr>
                    <w:shd w:val="clear" w:color="auto" w:fill="auto"/>
                    <w:autoSpaceDE w:val="0"/>
                    <w:autoSpaceDN w:val="0"/>
                    <w:jc w:val="center"/>
                    <w:rPr>
                      <w:color w:val="000000"/>
                      <w:sz w:val="21"/>
                      <w:szCs w:val="21"/>
                      <w:highlight w:val="none"/>
                    </w:rPr>
                  </w:pPr>
                  <w:r>
                    <w:rPr>
                      <w:color w:val="000000"/>
                      <w:sz w:val="21"/>
                      <w:szCs w:val="21"/>
                      <w:highlight w:val="none"/>
                    </w:rPr>
                    <w:t>每季度1次</w:t>
                  </w:r>
                </w:p>
              </w:tc>
              <w:tc>
                <w:tcPr>
                  <w:tcW w:w="968" w:type="pct"/>
                  <w:tcBorders>
                    <w:tl2br w:val="nil"/>
                    <w:tr2bl w:val="nil"/>
                  </w:tcBorders>
                  <w:shd w:val="clear" w:color="auto" w:fill="auto"/>
                  <w:noWrap w:val="0"/>
                  <w:vAlign w:val="center"/>
                </w:tcPr>
                <w:p w14:paraId="6562828D">
                  <w:pPr>
                    <w:shd w:val="clear" w:color="auto" w:fill="auto"/>
                    <w:autoSpaceDE w:val="0"/>
                    <w:autoSpaceDN w:val="0"/>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厂界四周</w:t>
                  </w:r>
                </w:p>
              </w:tc>
              <w:tc>
                <w:tcPr>
                  <w:tcW w:w="2132" w:type="pct"/>
                  <w:tcBorders>
                    <w:tl2br w:val="nil"/>
                    <w:tr2bl w:val="nil"/>
                  </w:tcBorders>
                  <w:shd w:val="clear" w:color="auto" w:fill="auto"/>
                  <w:noWrap w:val="0"/>
                  <w:vAlign w:val="center"/>
                </w:tcPr>
                <w:p w14:paraId="7CCED2AB">
                  <w:pPr>
                    <w:shd w:val="clear" w:color="auto" w:fill="auto"/>
                    <w:autoSpaceDE w:val="0"/>
                    <w:autoSpaceDN w:val="0"/>
                    <w:jc w:val="center"/>
                    <w:rPr>
                      <w:color w:val="000000"/>
                      <w:sz w:val="21"/>
                      <w:szCs w:val="21"/>
                      <w:highlight w:val="none"/>
                    </w:rPr>
                  </w:pPr>
                  <w:r>
                    <w:rPr>
                      <w:color w:val="000000"/>
                      <w:sz w:val="21"/>
                      <w:szCs w:val="21"/>
                      <w:highlight w:val="none"/>
                    </w:rPr>
                    <w:t>《工业企业厂界环境噪声排放标准》（GB12348-2008）</w:t>
                  </w:r>
                  <w:r>
                    <w:rPr>
                      <w:rFonts w:hint="eastAsia"/>
                      <w:color w:val="000000"/>
                      <w:sz w:val="21"/>
                      <w:szCs w:val="21"/>
                      <w:highlight w:val="none"/>
                      <w:lang w:val="en-US" w:eastAsia="zh-CN"/>
                    </w:rPr>
                    <w:t>2</w:t>
                  </w:r>
                  <w:r>
                    <w:rPr>
                      <w:color w:val="000000"/>
                      <w:sz w:val="21"/>
                      <w:szCs w:val="21"/>
                      <w:highlight w:val="none"/>
                    </w:rPr>
                    <w:t>类</w:t>
                  </w:r>
                  <w:r>
                    <w:rPr>
                      <w:rFonts w:hint="eastAsia"/>
                      <w:color w:val="000000"/>
                      <w:sz w:val="21"/>
                      <w:szCs w:val="21"/>
                      <w:highlight w:val="none"/>
                    </w:rPr>
                    <w:t>标准</w:t>
                  </w:r>
                </w:p>
              </w:tc>
            </w:tr>
          </w:tbl>
          <w:p w14:paraId="67F962A8">
            <w:pPr>
              <w:widowControl/>
              <w:shd w:val="clear" w:color="auto" w:fill="auto"/>
              <w:spacing w:line="360" w:lineRule="auto"/>
              <w:ind w:firstLine="422" w:firstLineChars="200"/>
              <w:jc w:val="both"/>
              <w:rPr>
                <w:rFonts w:ascii="Times New Roman" w:hAnsi="Times New Roman" w:eastAsia="宋体" w:cs="Times New Roman"/>
                <w:b/>
                <w:color w:val="000000"/>
                <w:sz w:val="21"/>
                <w:szCs w:val="21"/>
                <w:highlight w:val="none"/>
              </w:rPr>
            </w:pPr>
            <w:r>
              <w:rPr>
                <w:rFonts w:hint="eastAsia" w:ascii="Times New Roman" w:hAnsi="Times New Roman" w:eastAsia="宋体" w:cs="Times New Roman"/>
                <w:b/>
                <w:color w:val="000000"/>
                <w:sz w:val="21"/>
                <w:szCs w:val="21"/>
                <w:highlight w:val="none"/>
                <w:lang w:val="en-US" w:eastAsia="zh-CN"/>
              </w:rPr>
              <w:t>四</w:t>
            </w:r>
            <w:r>
              <w:rPr>
                <w:rFonts w:hint="eastAsia" w:ascii="Times New Roman" w:hAnsi="Times New Roman" w:eastAsia="宋体" w:cs="Times New Roman"/>
                <w:b/>
                <w:color w:val="000000"/>
                <w:sz w:val="21"/>
                <w:szCs w:val="21"/>
                <w:highlight w:val="none"/>
              </w:rPr>
              <w:t>、运营期固体废物环境影响和保护措施</w:t>
            </w:r>
          </w:p>
          <w:p w14:paraId="1EA6501D">
            <w:pPr>
              <w:shd w:val="clear" w:color="auto" w:fill="auto"/>
              <w:adjustRightInd w:val="0"/>
              <w:spacing w:line="360" w:lineRule="auto"/>
              <w:ind w:firstLine="422" w:firstLineChars="200"/>
              <w:jc w:val="left"/>
              <w:rPr>
                <w:rFonts w:ascii="Times New Roman" w:hAnsi="Times New Roman" w:eastAsia="宋体" w:cs="Times New Roman"/>
                <w:b/>
                <w:bCs/>
                <w:color w:val="000000"/>
                <w:kern w:val="0"/>
                <w:sz w:val="21"/>
                <w:szCs w:val="21"/>
                <w:highlight w:val="none"/>
              </w:rPr>
            </w:pPr>
            <w:r>
              <w:rPr>
                <w:rFonts w:hint="eastAsia" w:cs="Times New Roman"/>
                <w:b/>
                <w:bCs/>
                <w:color w:val="000000"/>
                <w:kern w:val="0"/>
                <w:sz w:val="21"/>
                <w:szCs w:val="21"/>
                <w:highlight w:val="none"/>
                <w:lang w:eastAsia="zh-CN"/>
              </w:rPr>
              <w:t>1.</w:t>
            </w:r>
            <w:r>
              <w:rPr>
                <w:rFonts w:hint="eastAsia" w:ascii="Times New Roman" w:hAnsi="Times New Roman" w:eastAsia="宋体" w:cs="Times New Roman"/>
                <w:b/>
                <w:bCs/>
                <w:color w:val="000000"/>
                <w:kern w:val="0"/>
                <w:sz w:val="21"/>
                <w:szCs w:val="21"/>
                <w:highlight w:val="none"/>
              </w:rPr>
              <w:t>固体废物产生及处置情况</w:t>
            </w:r>
          </w:p>
          <w:p w14:paraId="48FE2E7D">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line="360" w:lineRule="auto"/>
              <w:ind w:firstLine="420" w:firstLineChars="200"/>
              <w:jc w:val="left"/>
              <w:textAlignment w:val="auto"/>
              <w:rPr>
                <w:rFonts w:hint="eastAsia"/>
                <w:color w:val="000000"/>
                <w:sz w:val="21"/>
                <w:szCs w:val="21"/>
                <w:highlight w:val="none"/>
                <w:lang w:val="en-US" w:eastAsia="zh-CN"/>
              </w:rPr>
            </w:pPr>
            <w:r>
              <w:rPr>
                <w:rFonts w:hint="eastAsia"/>
                <w:color w:val="000000"/>
                <w:sz w:val="21"/>
                <w:szCs w:val="21"/>
                <w:highlight w:val="none"/>
                <w:lang w:val="en-US" w:eastAsia="zh-CN"/>
              </w:rPr>
              <w:t>（1）生活垃圾</w:t>
            </w:r>
          </w:p>
          <w:p w14:paraId="0EDC1AE4">
            <w:pPr>
              <w:widowControl/>
              <w:shd w:val="clear" w:color="auto" w:fill="auto"/>
              <w:adjustRightInd w:val="0"/>
              <w:snapToGrid w:val="0"/>
              <w:spacing w:line="360" w:lineRule="auto"/>
              <w:ind w:firstLine="420" w:firstLineChars="200"/>
              <w:jc w:val="left"/>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生活垃圾主要包括厂区职工办公生活产生的垃圾，根据《第一次全国污染源普查城镇生活源产排污系数手册》第一分册城镇居民生活源污染物产生排放系数手册可知，宝鸡市属于五区三类城市，项目生活垃圾产生量按0.44kg/人·d计，本项目劳动定员30人，年工作日为300天，则生活垃圾产生量为3.96t/a。生活垃圾分类收集，由环卫部门定期清运。</w:t>
            </w:r>
          </w:p>
          <w:p w14:paraId="00205250">
            <w:pPr>
              <w:widowControl/>
              <w:shd w:val="clear" w:color="auto" w:fill="auto"/>
              <w:adjustRightInd w:val="0"/>
              <w:snapToGrid w:val="0"/>
              <w:spacing w:line="360" w:lineRule="auto"/>
              <w:ind w:firstLine="420" w:firstLineChars="200"/>
              <w:rPr>
                <w:rFonts w:hint="default"/>
                <w:color w:val="000000"/>
                <w:highlight w:val="none"/>
                <w:lang w:val="en-US" w:eastAsia="zh-CN"/>
              </w:rPr>
            </w:pPr>
            <w:r>
              <w:rPr>
                <w:rFonts w:hint="eastAsia" w:ascii="Times New Roman" w:hAnsi="Times New Roman" w:cs="Times New Roman"/>
                <w:b w:val="0"/>
                <w:bCs w:val="0"/>
                <w:color w:val="000000"/>
                <w:sz w:val="21"/>
                <w:szCs w:val="21"/>
                <w:highlight w:val="none"/>
                <w:lang w:val="en-US" w:eastAsia="zh-CN"/>
              </w:rPr>
              <w:t>项目设置食堂，食堂运营过程中会产生废油脂，查阅相关资料，废油脂的产生量为食用油用量的1%</w:t>
            </w:r>
            <w:r>
              <w:rPr>
                <w:rFonts w:hint="eastAsia" w:cs="Times New Roman"/>
                <w:b w:val="0"/>
                <w:bCs w:val="0"/>
                <w:color w:val="000000"/>
                <w:sz w:val="21"/>
                <w:szCs w:val="21"/>
                <w:highlight w:val="none"/>
                <w:lang w:val="en-US" w:eastAsia="zh-CN"/>
              </w:rPr>
              <w:t>～</w:t>
            </w:r>
            <w:r>
              <w:rPr>
                <w:rFonts w:hint="eastAsia" w:ascii="Times New Roman" w:hAnsi="Times New Roman" w:cs="Times New Roman"/>
                <w:b w:val="0"/>
                <w:bCs w:val="0"/>
                <w:color w:val="000000"/>
                <w:sz w:val="21"/>
                <w:szCs w:val="21"/>
                <w:highlight w:val="none"/>
                <w:lang w:val="en-US" w:eastAsia="zh-CN"/>
              </w:rPr>
              <w:t>5%，本次取5%</w:t>
            </w:r>
            <w:r>
              <w:rPr>
                <w:rFonts w:hint="eastAsia" w:cs="Times New Roman"/>
                <w:b w:val="0"/>
                <w:bCs w:val="0"/>
                <w:color w:val="000000"/>
                <w:sz w:val="21"/>
                <w:szCs w:val="21"/>
                <w:highlight w:val="none"/>
                <w:lang w:val="en-US" w:eastAsia="zh-CN"/>
              </w:rPr>
              <w:t>。</w:t>
            </w:r>
            <w:r>
              <w:rPr>
                <w:rFonts w:hint="eastAsia" w:ascii="Times New Roman" w:hAnsi="Times New Roman" w:cs="Times New Roman"/>
                <w:b w:val="0"/>
                <w:bCs w:val="0"/>
                <w:color w:val="000000"/>
                <w:sz w:val="21"/>
                <w:szCs w:val="21"/>
                <w:highlight w:val="none"/>
                <w:lang w:val="en-US" w:eastAsia="zh-CN"/>
              </w:rPr>
              <w:t>项目使用用量为0.45t/a，则废油脂产生量为0.0225t/a。专用容器收集</w:t>
            </w:r>
            <w:r>
              <w:rPr>
                <w:rFonts w:hint="eastAsia" w:cs="Times New Roman"/>
                <w:b w:val="0"/>
                <w:bCs w:val="0"/>
                <w:color w:val="000000"/>
                <w:sz w:val="21"/>
                <w:szCs w:val="21"/>
                <w:highlight w:val="none"/>
                <w:lang w:val="en-US" w:eastAsia="zh-CN"/>
              </w:rPr>
              <w:t>后</w:t>
            </w:r>
            <w:r>
              <w:rPr>
                <w:rFonts w:hint="eastAsia" w:ascii="Times New Roman" w:hAnsi="Times New Roman" w:cs="Times New Roman"/>
                <w:b w:val="0"/>
                <w:bCs w:val="0"/>
                <w:color w:val="000000"/>
                <w:sz w:val="21"/>
                <w:szCs w:val="21"/>
                <w:highlight w:val="none"/>
                <w:lang w:val="en-US" w:eastAsia="zh-CN"/>
              </w:rPr>
              <w:t>，交有资质的回收部门回收处置。</w:t>
            </w:r>
          </w:p>
          <w:p w14:paraId="531FB24E">
            <w:pPr>
              <w:widowControl/>
              <w:numPr>
                <w:ilvl w:val="0"/>
                <w:numId w:val="0"/>
              </w:numPr>
              <w:shd w:val="clear" w:color="auto" w:fill="auto"/>
              <w:adjustRightInd w:val="0"/>
              <w:snapToGrid w:val="0"/>
              <w:spacing w:line="360" w:lineRule="auto"/>
              <w:ind w:leftChars="200"/>
              <w:rPr>
                <w:rFonts w:hint="eastAsia"/>
                <w:color w:val="000000"/>
                <w:sz w:val="21"/>
                <w:szCs w:val="21"/>
                <w:highlight w:val="none"/>
                <w:lang w:val="en-US" w:eastAsia="zh-CN"/>
              </w:rPr>
            </w:pPr>
            <w:r>
              <w:rPr>
                <w:rFonts w:hint="eastAsia"/>
                <w:color w:val="000000"/>
                <w:sz w:val="21"/>
                <w:szCs w:val="21"/>
                <w:highlight w:val="none"/>
                <w:lang w:val="en-US" w:eastAsia="zh-CN"/>
              </w:rPr>
              <w:t>（2）一般工业固废</w:t>
            </w:r>
          </w:p>
          <w:p w14:paraId="31A13CBC">
            <w:pPr>
              <w:widowControl/>
              <w:shd w:val="clear" w:color="auto" w:fill="auto"/>
              <w:adjustRightInd w:val="0"/>
              <w:snapToGrid w:val="0"/>
              <w:spacing w:line="360" w:lineRule="auto"/>
              <w:ind w:firstLine="420" w:firstLineChars="200"/>
              <w:rPr>
                <w:rFonts w:hint="eastAsia"/>
                <w:color w:val="000000"/>
                <w:sz w:val="21"/>
                <w:szCs w:val="21"/>
                <w:highlight w:val="none"/>
                <w:lang w:val="en-US" w:eastAsia="zh-CN"/>
              </w:rPr>
            </w:pPr>
            <w:r>
              <w:rPr>
                <w:rFonts w:hint="eastAsia" w:ascii="Times New Roman" w:hAnsi="Times New Roman" w:cs="Times New Roman"/>
                <w:b w:val="0"/>
                <w:bCs w:val="0"/>
                <w:color w:val="000000"/>
                <w:sz w:val="21"/>
                <w:szCs w:val="21"/>
                <w:highlight w:val="none"/>
                <w:lang w:val="en-US" w:eastAsia="zh-CN"/>
              </w:rPr>
              <w:t>①</w:t>
            </w:r>
            <w:r>
              <w:rPr>
                <w:rFonts w:hint="eastAsia"/>
                <w:color w:val="000000"/>
                <w:sz w:val="21"/>
                <w:szCs w:val="21"/>
                <w:highlight w:val="none"/>
                <w:lang w:val="en-US" w:eastAsia="zh-CN"/>
              </w:rPr>
              <w:t>酒糟</w:t>
            </w:r>
          </w:p>
          <w:p w14:paraId="1F720F4D">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line="360" w:lineRule="auto"/>
              <w:ind w:firstLine="420" w:firstLineChars="200"/>
              <w:textAlignment w:val="auto"/>
              <w:rPr>
                <w:rFonts w:hint="default" w:eastAsia="宋体"/>
                <w:color w:val="000000"/>
                <w:sz w:val="21"/>
                <w:szCs w:val="21"/>
                <w:highlight w:val="none"/>
                <w:lang w:val="en-US" w:eastAsia="zh-CN"/>
              </w:rPr>
            </w:pPr>
            <w:r>
              <w:rPr>
                <w:rFonts w:hint="eastAsia"/>
                <w:color w:val="000000"/>
                <w:highlight w:val="none"/>
              </w:rPr>
              <w:t>酒糟</w:t>
            </w:r>
            <w:r>
              <w:rPr>
                <w:rFonts w:hint="eastAsia"/>
                <w:color w:val="000000"/>
                <w:highlight w:val="none"/>
                <w:lang w:eastAsia="zh-CN"/>
              </w:rPr>
              <w:t>（</w:t>
            </w:r>
            <w:r>
              <w:rPr>
                <w:rFonts w:hint="default" w:ascii="Times New Roman" w:hAnsi="Times New Roman" w:cs="Times New Roman"/>
                <w:b w:val="0"/>
                <w:bCs w:val="0"/>
                <w:color w:val="000000"/>
                <w:sz w:val="21"/>
                <w:szCs w:val="21"/>
                <w:highlight w:val="none"/>
                <w:lang w:val="en-US" w:eastAsia="zh-CN"/>
              </w:rPr>
              <w:t>一般固体废物代码：</w:t>
            </w:r>
            <w:r>
              <w:rPr>
                <w:rFonts w:hint="eastAsia"/>
                <w:color w:val="000000"/>
                <w:highlight w:val="none"/>
              </w:rPr>
              <w:t>151-002-13</w:t>
            </w:r>
            <w:r>
              <w:rPr>
                <w:rFonts w:hint="eastAsia"/>
                <w:color w:val="000000"/>
                <w:highlight w:val="none"/>
                <w:lang w:eastAsia="zh-CN"/>
              </w:rPr>
              <w:t>）</w:t>
            </w:r>
            <w:r>
              <w:rPr>
                <w:rFonts w:hint="eastAsia"/>
                <w:color w:val="000000"/>
                <w:highlight w:val="none"/>
              </w:rPr>
              <w:t>来源于制酒车间，白酒原料经多次蒸酒后不再回用即产生酒糟，其主要成分包括稻壳、粮食纤维、少量淀粉、糖、蛋白质及发酵微生物细胞等，约含3</w:t>
            </w:r>
            <w:r>
              <w:rPr>
                <w:rFonts w:hint="eastAsia"/>
                <w:color w:val="000000"/>
                <w:highlight w:val="none"/>
                <w:lang w:val="en-US" w:eastAsia="zh-CN"/>
              </w:rPr>
              <w:t>%</w:t>
            </w:r>
            <w:r>
              <w:rPr>
                <w:rFonts w:hint="eastAsia"/>
                <w:color w:val="000000"/>
                <w:highlight w:val="none"/>
              </w:rPr>
              <w:t>~7%的固形物和丰富的营养成分</w:t>
            </w:r>
            <w:r>
              <w:rPr>
                <w:rFonts w:hint="eastAsia"/>
                <w:color w:val="000000"/>
                <w:highlight w:val="none"/>
                <w:lang w:eastAsia="zh-CN"/>
              </w:rPr>
              <w:t>。</w:t>
            </w:r>
            <w:r>
              <w:rPr>
                <w:rFonts w:hint="eastAsia"/>
                <w:color w:val="000000"/>
                <w:highlight w:val="none"/>
                <w:lang w:val="en-US" w:eastAsia="zh-CN"/>
              </w:rPr>
              <w:t>类比已批复《陕西原池凤香酒业有限公司凤香型白酒建设项目环境影响报告表》中的数据，本项目酒糟产生量为</w:t>
            </w:r>
            <w:r>
              <w:rPr>
                <w:rFonts w:hint="eastAsia" w:ascii="Times New Roman" w:hAnsi="Times New Roman" w:eastAsia="宋体" w:cs="Times New Roman"/>
                <w:color w:val="000000"/>
                <w:szCs w:val="21"/>
                <w:highlight w:val="none"/>
                <w:lang w:val="en-US" w:eastAsia="zh-CN"/>
              </w:rPr>
              <w:t>4571.437</w:t>
            </w:r>
            <w:r>
              <w:rPr>
                <w:rFonts w:hint="eastAsia"/>
                <w:color w:val="000000"/>
                <w:highlight w:val="none"/>
                <w:lang w:val="en-US" w:eastAsia="zh-CN"/>
              </w:rPr>
              <w:t>t/a，酒糟暂存于制酒车间，定期外售给饲料厂综合利用。</w:t>
            </w:r>
          </w:p>
          <w:p w14:paraId="103BCB0A">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line="360" w:lineRule="auto"/>
              <w:ind w:firstLine="420" w:firstLineChars="200"/>
              <w:textAlignment w:val="auto"/>
              <w:rPr>
                <w:rFonts w:hint="default"/>
                <w:color w:val="000000"/>
                <w:sz w:val="21"/>
                <w:szCs w:val="21"/>
                <w:highlight w:val="none"/>
                <w:lang w:val="en-US" w:eastAsia="zh-CN"/>
              </w:rPr>
            </w:pPr>
            <w:r>
              <w:rPr>
                <w:rFonts w:hint="eastAsia"/>
                <w:color w:val="000000"/>
                <w:sz w:val="21"/>
                <w:szCs w:val="21"/>
                <w:highlight w:val="none"/>
                <w:lang w:val="en-US" w:eastAsia="zh-CN"/>
              </w:rPr>
              <w:t>②布袋除尘器收集粉尘</w:t>
            </w:r>
          </w:p>
          <w:p w14:paraId="3D40993D">
            <w:pPr>
              <w:keepNext w:val="0"/>
              <w:keepLines w:val="0"/>
              <w:widowControl/>
              <w:suppressLineNumbers w:val="0"/>
              <w:shd w:val="clear" w:color="auto" w:fill="auto"/>
              <w:spacing w:line="360" w:lineRule="auto"/>
              <w:ind w:firstLine="420" w:firstLineChars="200"/>
              <w:jc w:val="left"/>
              <w:rPr>
                <w:rFonts w:hint="default"/>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粮食、大曲粉碎粉尘处理的过程中会产生布袋除尘器收集粉尘（一般固体废物代码：</w:t>
            </w:r>
            <w:r>
              <w:rPr>
                <w:rFonts w:hint="default" w:ascii="Times New Roman" w:hAnsi="Times New Roman" w:eastAsia="宋体" w:cs="Times New Roman"/>
                <w:b w:val="0"/>
                <w:bCs w:val="0"/>
                <w:color w:val="000000"/>
                <w:sz w:val="21"/>
                <w:szCs w:val="21"/>
                <w:highlight w:val="none"/>
                <w:lang w:val="en-US" w:eastAsia="zh-CN"/>
              </w:rPr>
              <w:t>900-999-66</w:t>
            </w:r>
            <w:r>
              <w:rPr>
                <w:rFonts w:hint="eastAsia" w:ascii="Times New Roman" w:hAnsi="Times New Roman" w:eastAsia="宋体" w:cs="Times New Roman"/>
                <w:b w:val="0"/>
                <w:bCs w:val="0"/>
                <w:color w:val="000000"/>
                <w:sz w:val="21"/>
                <w:szCs w:val="21"/>
                <w:highlight w:val="none"/>
                <w:lang w:val="en-US" w:eastAsia="zh-CN"/>
              </w:rPr>
              <w:t>），根据废气源强核算，布袋除尘器收集粉尘产生量为4.872</w:t>
            </w:r>
            <w:r>
              <w:rPr>
                <w:rFonts w:hint="default" w:ascii="Times New Roman" w:hAnsi="Times New Roman" w:eastAsia="宋体" w:cs="Times New Roman"/>
                <w:b w:val="0"/>
                <w:bCs w:val="0"/>
                <w:color w:val="000000"/>
                <w:sz w:val="21"/>
                <w:szCs w:val="21"/>
                <w:highlight w:val="none"/>
                <w:lang w:val="en-US" w:eastAsia="zh-CN"/>
              </w:rPr>
              <w:t>t/a，</w:t>
            </w:r>
            <w:r>
              <w:rPr>
                <w:rFonts w:hint="eastAsia" w:ascii="Times New Roman" w:hAnsi="Times New Roman" w:eastAsia="宋体" w:cs="Times New Roman"/>
                <w:b w:val="0"/>
                <w:bCs w:val="0"/>
                <w:color w:val="000000"/>
                <w:sz w:val="21"/>
                <w:szCs w:val="21"/>
                <w:highlight w:val="none"/>
                <w:lang w:val="en-US" w:eastAsia="zh-CN"/>
              </w:rPr>
              <w:t>与酒糟一同外售饲料厂综合利用。</w:t>
            </w:r>
          </w:p>
          <w:p w14:paraId="3048FFA8">
            <w:pPr>
              <w:keepNext w:val="0"/>
              <w:keepLines w:val="0"/>
              <w:pageBreakBefore w:val="0"/>
              <w:widowControl/>
              <w:numPr>
                <w:ilvl w:val="0"/>
                <w:numId w:val="0"/>
              </w:numPr>
              <w:shd w:val="clear" w:color="auto" w:fill="auto"/>
              <w:kinsoku/>
              <w:wordWrap/>
              <w:overflowPunct/>
              <w:topLinePunct w:val="0"/>
              <w:autoSpaceDE/>
              <w:autoSpaceDN/>
              <w:bidi w:val="0"/>
              <w:adjustRightInd w:val="0"/>
              <w:snapToGrid w:val="0"/>
              <w:spacing w:line="360" w:lineRule="auto"/>
              <w:ind w:firstLine="420" w:firstLineChars="200"/>
              <w:textAlignment w:val="auto"/>
              <w:rPr>
                <w:rFonts w:hint="default"/>
                <w:color w:val="000000"/>
                <w:sz w:val="21"/>
                <w:szCs w:val="21"/>
                <w:highlight w:val="none"/>
                <w:lang w:val="en-US" w:eastAsia="zh-CN"/>
              </w:rPr>
            </w:pPr>
            <w:r>
              <w:rPr>
                <w:rFonts w:hint="eastAsia"/>
                <w:color w:val="000000"/>
                <w:sz w:val="21"/>
                <w:szCs w:val="21"/>
                <w:highlight w:val="none"/>
                <w:lang w:val="en-US" w:eastAsia="zh-CN"/>
              </w:rPr>
              <w:t>③废包装材料</w:t>
            </w:r>
          </w:p>
          <w:p w14:paraId="1C9631B7">
            <w:pPr>
              <w:keepNext w:val="0"/>
              <w:keepLines w:val="0"/>
              <w:pageBreakBefore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000000"/>
                <w:sz w:val="21"/>
                <w:szCs w:val="21"/>
                <w:highlight w:val="none"/>
                <w:lang w:val="en-US" w:eastAsia="zh-CN"/>
              </w:rPr>
            </w:pPr>
            <w:r>
              <w:rPr>
                <w:rFonts w:hint="eastAsia" w:ascii="Times New Roman" w:hAnsi="Times New Roman" w:cs="Times New Roman"/>
                <w:b w:val="0"/>
                <w:bCs w:val="0"/>
                <w:color w:val="000000"/>
                <w:sz w:val="21"/>
                <w:szCs w:val="21"/>
                <w:highlight w:val="none"/>
                <w:lang w:val="en-US" w:eastAsia="zh-CN"/>
              </w:rPr>
              <w:t>废包装材料</w:t>
            </w:r>
            <w:r>
              <w:rPr>
                <w:rFonts w:hint="default" w:ascii="Times New Roman" w:hAnsi="Times New Roman" w:cs="Times New Roman"/>
                <w:b w:val="0"/>
                <w:bCs w:val="0"/>
                <w:color w:val="000000"/>
                <w:sz w:val="21"/>
                <w:szCs w:val="21"/>
                <w:highlight w:val="none"/>
                <w:lang w:val="en-US" w:eastAsia="zh-CN"/>
              </w:rPr>
              <w:t>（一般固体废物代码：151-002-04）</w:t>
            </w:r>
            <w:r>
              <w:rPr>
                <w:rFonts w:hint="eastAsia" w:ascii="Times New Roman" w:hAnsi="Times New Roman" w:cs="Times New Roman"/>
                <w:b w:val="0"/>
                <w:bCs w:val="0"/>
                <w:color w:val="000000"/>
                <w:sz w:val="21"/>
                <w:szCs w:val="21"/>
                <w:highlight w:val="none"/>
                <w:lang w:val="en-US" w:eastAsia="zh-CN"/>
              </w:rPr>
              <w:t>，</w:t>
            </w:r>
            <w:r>
              <w:rPr>
                <w:rFonts w:hint="default" w:ascii="Times New Roman" w:hAnsi="Times New Roman" w:cs="Times New Roman"/>
                <w:b w:val="0"/>
                <w:bCs w:val="0"/>
                <w:color w:val="000000"/>
                <w:sz w:val="21"/>
                <w:szCs w:val="21"/>
                <w:highlight w:val="none"/>
                <w:lang w:val="en-US" w:eastAsia="zh-CN"/>
              </w:rPr>
              <w:t>项目会产生部分包装废料，主要为原料包装袋、包装废纸盒、破碎酒瓶酒盖、标贴废料，总产生量约为2.25t/a，外售于废品回收单位。</w:t>
            </w:r>
          </w:p>
          <w:p w14:paraId="77169AEC">
            <w:pPr>
              <w:widowControl/>
              <w:shd w:val="clear" w:color="auto" w:fill="auto"/>
              <w:adjustRightInd w:val="0"/>
              <w:snapToGrid w:val="0"/>
              <w:spacing w:line="360" w:lineRule="auto"/>
              <w:ind w:firstLine="420" w:firstLineChars="200"/>
              <w:rPr>
                <w:rFonts w:hint="eastAsia"/>
                <w:color w:val="000000"/>
                <w:sz w:val="21"/>
                <w:szCs w:val="21"/>
                <w:highlight w:val="none"/>
                <w:lang w:eastAsia="zh-CN"/>
              </w:rPr>
            </w:pPr>
            <w:r>
              <w:rPr>
                <w:rFonts w:hint="eastAsia"/>
                <w:color w:val="000000"/>
                <w:sz w:val="21"/>
                <w:szCs w:val="21"/>
                <w:highlight w:val="none"/>
                <w:lang w:eastAsia="zh-CN"/>
              </w:rPr>
              <w:t>④</w:t>
            </w:r>
            <w:r>
              <w:rPr>
                <w:rFonts w:hint="eastAsia"/>
                <w:color w:val="000000"/>
                <w:sz w:val="21"/>
                <w:szCs w:val="21"/>
                <w:highlight w:val="none"/>
                <w:lang w:val="en-US" w:eastAsia="zh-CN"/>
              </w:rPr>
              <w:t>废滤芯</w:t>
            </w:r>
          </w:p>
          <w:p w14:paraId="092A703F">
            <w:pPr>
              <w:widowControl/>
              <w:shd w:val="clear" w:color="auto" w:fill="auto"/>
              <w:adjustRightInd w:val="0"/>
              <w:snapToGrid w:val="0"/>
              <w:spacing w:line="360" w:lineRule="auto"/>
              <w:ind w:firstLine="420" w:firstLineChars="200"/>
              <w:rPr>
                <w:rFonts w:hint="eastAsia" w:ascii="Times New Roman" w:hAnsi="Times New Roman" w:eastAsia="宋体" w:cs="Times New Roman"/>
                <w:color w:val="000000"/>
                <w:sz w:val="21"/>
                <w:szCs w:val="21"/>
                <w:highlight w:val="none"/>
                <w:lang w:eastAsia="zh-CN"/>
              </w:rPr>
            </w:pPr>
            <w:r>
              <w:rPr>
                <w:rFonts w:hint="eastAsia"/>
                <w:color w:val="000000"/>
                <w:sz w:val="21"/>
                <w:szCs w:val="21"/>
                <w:highlight w:val="none"/>
                <w:lang w:val="en-US" w:eastAsia="zh-CN"/>
              </w:rPr>
              <w:t>废滤芯（一般固体废物代码：900-999-99），纯水制备过程中会产生废滤芯，滤芯一般每隔三年更换一次，产生的废滤芯量约为0.03t/a，由</w:t>
            </w:r>
            <w:r>
              <w:rPr>
                <w:rFonts w:hint="eastAsia" w:ascii="Times New Roman" w:hAnsi="Times New Roman" w:eastAsia="宋体" w:cs="Times New Roman"/>
                <w:color w:val="000000"/>
                <w:sz w:val="21"/>
                <w:szCs w:val="21"/>
                <w:highlight w:val="none"/>
                <w:lang w:val="en-US" w:eastAsia="zh-CN"/>
              </w:rPr>
              <w:t>厂家回收。</w:t>
            </w:r>
          </w:p>
          <w:p w14:paraId="25F7BB1F">
            <w:pPr>
              <w:widowControl/>
              <w:shd w:val="clear" w:color="auto" w:fill="auto"/>
              <w:adjustRightInd w:val="0"/>
              <w:snapToGrid w:val="0"/>
              <w:spacing w:line="360" w:lineRule="auto"/>
              <w:ind w:firstLine="420" w:firstLineChars="200"/>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⑤废离子交换树脂</w:t>
            </w:r>
          </w:p>
          <w:p w14:paraId="3FE565E5">
            <w:pPr>
              <w:widowControl/>
              <w:shd w:val="clear" w:color="auto" w:fill="auto"/>
              <w:adjustRightInd w:val="0"/>
              <w:snapToGrid w:val="0"/>
              <w:spacing w:line="360" w:lineRule="auto"/>
              <w:ind w:firstLine="420" w:firstLineChars="200"/>
              <w:rPr>
                <w:rFonts w:hint="eastAsia" w:ascii="Times New Roman" w:hAnsi="Times New Roman" w:eastAsia="宋体" w:cs="Times New Roman"/>
                <w:color w:val="000000"/>
                <w:sz w:val="21"/>
                <w:szCs w:val="21"/>
                <w:highlight w:val="none"/>
                <w:lang w:eastAsia="zh-CN"/>
              </w:rPr>
            </w:pPr>
            <w:r>
              <w:rPr>
                <w:rFonts w:hint="eastAsia" w:ascii="Times New Roman" w:hAnsi="Times New Roman" w:eastAsia="宋体" w:cs="Times New Roman"/>
                <w:color w:val="000000"/>
                <w:sz w:val="21"/>
                <w:szCs w:val="21"/>
                <w:highlight w:val="none"/>
                <w:lang w:val="en-US" w:eastAsia="zh-CN"/>
              </w:rPr>
              <w:t>软水制备使用离子交换树脂（一般固体废物代码：</w:t>
            </w:r>
            <w:r>
              <w:rPr>
                <w:rFonts w:hint="default" w:ascii="Times New Roman" w:hAnsi="Times New Roman" w:eastAsia="宋体" w:cs="Times New Roman"/>
                <w:color w:val="000000"/>
                <w:sz w:val="21"/>
                <w:szCs w:val="21"/>
                <w:highlight w:val="none"/>
                <w:lang w:val="en-US" w:eastAsia="zh-CN"/>
              </w:rPr>
              <w:t>900-999-99</w:t>
            </w:r>
            <w:r>
              <w:rPr>
                <w:rFonts w:hint="eastAsia" w:ascii="Times New Roman" w:hAnsi="Times New Roman" w:eastAsia="宋体" w:cs="Times New Roman"/>
                <w:color w:val="000000"/>
                <w:sz w:val="21"/>
                <w:szCs w:val="21"/>
                <w:highlight w:val="none"/>
                <w:lang w:val="en-US" w:eastAsia="zh-CN"/>
              </w:rPr>
              <w:t>），三年更换一次，产生量废离子交换树脂为</w:t>
            </w:r>
            <w:r>
              <w:rPr>
                <w:rFonts w:hint="default" w:ascii="Times New Roman" w:hAnsi="Times New Roman" w:eastAsia="宋体" w:cs="Times New Roman"/>
                <w:color w:val="000000"/>
                <w:sz w:val="21"/>
                <w:szCs w:val="21"/>
                <w:highlight w:val="none"/>
                <w:lang w:val="en-US" w:eastAsia="zh-CN"/>
              </w:rPr>
              <w:t>0.3t</w:t>
            </w:r>
            <w:r>
              <w:rPr>
                <w:rFonts w:hint="eastAsia" w:ascii="Times New Roman" w:hAnsi="Times New Roman" w:eastAsia="宋体" w:cs="Times New Roman"/>
                <w:color w:val="000000"/>
                <w:sz w:val="21"/>
                <w:szCs w:val="21"/>
                <w:highlight w:val="none"/>
                <w:lang w:val="en-US" w:eastAsia="zh-CN"/>
              </w:rPr>
              <w:t>，由厂家更换回收。</w:t>
            </w:r>
          </w:p>
          <w:p w14:paraId="385E9B66">
            <w:pPr>
              <w:widowControl/>
              <w:shd w:val="clear" w:color="auto" w:fill="auto"/>
              <w:adjustRightInd w:val="0"/>
              <w:snapToGrid w:val="0"/>
              <w:spacing w:line="360" w:lineRule="auto"/>
              <w:ind w:firstLine="420" w:firstLineChars="200"/>
              <w:rPr>
                <w:rFonts w:hint="default"/>
                <w:color w:val="000000"/>
                <w:sz w:val="21"/>
                <w:szCs w:val="21"/>
                <w:highlight w:val="none"/>
                <w:lang w:val="en-US" w:eastAsia="zh-CN"/>
              </w:rPr>
            </w:pPr>
            <w:r>
              <w:rPr>
                <w:rFonts w:hint="eastAsia"/>
                <w:color w:val="000000"/>
                <w:sz w:val="21"/>
                <w:szCs w:val="21"/>
                <w:highlight w:val="none"/>
                <w:lang w:val="en-US" w:eastAsia="zh-CN"/>
              </w:rPr>
              <w:t>⑥污泥</w:t>
            </w:r>
          </w:p>
          <w:p w14:paraId="23CABA7A">
            <w:pPr>
              <w:widowControl/>
              <w:shd w:val="clear" w:color="auto" w:fill="auto"/>
              <w:adjustRightInd w:val="0"/>
              <w:snapToGrid w:val="0"/>
              <w:spacing w:line="360" w:lineRule="auto"/>
              <w:ind w:firstLine="420" w:firstLineChars="200"/>
              <w:rPr>
                <w:rFonts w:hint="default" w:eastAsia="宋体"/>
                <w:color w:val="000000"/>
                <w:sz w:val="21"/>
                <w:szCs w:val="21"/>
                <w:highlight w:val="none"/>
                <w:lang w:val="en-US" w:eastAsia="zh-CN"/>
              </w:rPr>
            </w:pPr>
            <w:r>
              <w:rPr>
                <w:rFonts w:hint="eastAsia"/>
                <w:color w:val="000000"/>
                <w:sz w:val="21"/>
                <w:szCs w:val="21"/>
                <w:highlight w:val="none"/>
                <w:lang w:val="en-US" w:eastAsia="zh-CN"/>
              </w:rPr>
              <w:t>污水处理站废水处理过程中会产生污泥，类比同类项目，污泥产生量为14.86</w:t>
            </w:r>
            <w:r>
              <w:rPr>
                <w:rFonts w:hint="eastAsia"/>
                <w:color w:val="000000"/>
                <w:highlight w:val="none"/>
              </w:rPr>
              <w:t>t</w:t>
            </w:r>
            <w:r>
              <w:rPr>
                <w:color w:val="000000"/>
                <w:highlight w:val="none"/>
              </w:rPr>
              <w:t>/a</w:t>
            </w:r>
            <w:r>
              <w:rPr>
                <w:rFonts w:hint="eastAsia"/>
                <w:color w:val="000000"/>
                <w:highlight w:val="none"/>
              </w:rPr>
              <w:t>，</w:t>
            </w:r>
            <w:r>
              <w:rPr>
                <w:rFonts w:hint="eastAsia"/>
                <w:color w:val="000000"/>
                <w:highlight w:val="none"/>
                <w:lang w:val="en-US" w:eastAsia="zh-CN"/>
              </w:rPr>
              <w:t>污水处理站污泥由附近村民拉运肥田。</w:t>
            </w:r>
          </w:p>
          <w:p w14:paraId="6AEF8B01">
            <w:pPr>
              <w:widowControl/>
              <w:shd w:val="clear" w:color="auto" w:fill="auto"/>
              <w:adjustRightInd w:val="0"/>
              <w:snapToGrid w:val="0"/>
              <w:spacing w:line="360" w:lineRule="auto"/>
              <w:ind w:firstLine="420" w:firstLineChars="200"/>
              <w:rPr>
                <w:rFonts w:hint="default"/>
                <w:color w:val="000000"/>
                <w:sz w:val="21"/>
                <w:szCs w:val="21"/>
                <w:highlight w:val="none"/>
                <w:lang w:val="en-US" w:eastAsia="zh-CN"/>
              </w:rPr>
            </w:pPr>
            <w:r>
              <w:rPr>
                <w:rFonts w:hint="eastAsia"/>
                <w:color w:val="000000"/>
                <w:sz w:val="21"/>
                <w:szCs w:val="21"/>
                <w:highlight w:val="none"/>
                <w:lang w:val="en-US" w:eastAsia="zh-CN"/>
              </w:rPr>
              <w:t>⑦废封窖泥</w:t>
            </w:r>
          </w:p>
          <w:p w14:paraId="06D01652">
            <w:pPr>
              <w:widowControl/>
              <w:shd w:val="clear" w:color="auto" w:fill="auto"/>
              <w:adjustRightInd w:val="0"/>
              <w:snapToGrid w:val="0"/>
              <w:spacing w:line="360" w:lineRule="auto"/>
              <w:ind w:firstLine="420" w:firstLineChars="200"/>
              <w:rPr>
                <w:rFonts w:hint="default" w:eastAsia="宋体"/>
                <w:color w:val="000000"/>
                <w:sz w:val="21"/>
                <w:szCs w:val="21"/>
                <w:highlight w:val="none"/>
                <w:lang w:val="en-US" w:eastAsia="zh-CN"/>
              </w:rPr>
            </w:pPr>
            <w:r>
              <w:rPr>
                <w:rFonts w:hint="eastAsia"/>
                <w:color w:val="000000"/>
                <w:highlight w:val="none"/>
                <w:lang w:eastAsia="zh-CN"/>
              </w:rPr>
              <w:t>废封窖泥</w:t>
            </w:r>
            <w:r>
              <w:rPr>
                <w:rFonts w:hint="eastAsia"/>
                <w:color w:val="000000"/>
                <w:highlight w:val="none"/>
              </w:rPr>
              <w:t>（</w:t>
            </w:r>
            <w:r>
              <w:rPr>
                <w:rFonts w:hint="eastAsia" w:ascii="Times New Roman" w:hAnsi="Times New Roman" w:eastAsia="宋体" w:cs="Times New Roman"/>
                <w:color w:val="000000"/>
                <w:sz w:val="21"/>
                <w:szCs w:val="21"/>
                <w:highlight w:val="none"/>
                <w:lang w:val="en-US" w:eastAsia="zh-CN"/>
              </w:rPr>
              <w:t>一般固体废物代码：</w:t>
            </w:r>
            <w:r>
              <w:rPr>
                <w:rFonts w:hint="eastAsia"/>
                <w:color w:val="000000"/>
                <w:highlight w:val="none"/>
              </w:rPr>
              <w:t>900-099-59）</w:t>
            </w:r>
            <w:r>
              <w:rPr>
                <w:rFonts w:hint="eastAsia"/>
                <w:color w:val="000000"/>
                <w:highlight w:val="none"/>
                <w:lang w:eastAsia="zh-CN"/>
              </w:rPr>
              <w:t>，</w:t>
            </w:r>
            <w:r>
              <w:rPr>
                <w:rFonts w:hint="eastAsia"/>
                <w:color w:val="000000"/>
                <w:highlight w:val="none"/>
              </w:rPr>
              <w:t>窖泥用于封窖，仅产生少量</w:t>
            </w:r>
            <w:r>
              <w:rPr>
                <w:rFonts w:hint="eastAsia"/>
                <w:color w:val="000000"/>
                <w:highlight w:val="none"/>
                <w:lang w:eastAsia="zh-CN"/>
              </w:rPr>
              <w:t>废封窖泥</w:t>
            </w:r>
            <w:r>
              <w:rPr>
                <w:rFonts w:hint="eastAsia"/>
                <w:color w:val="000000"/>
                <w:highlight w:val="none"/>
              </w:rPr>
              <w:t>，约</w:t>
            </w:r>
            <w:r>
              <w:rPr>
                <w:rFonts w:hint="eastAsia"/>
                <w:color w:val="000000"/>
                <w:highlight w:val="none"/>
                <w:lang w:val="en-US" w:eastAsia="zh-CN"/>
              </w:rPr>
              <w:t>48.65</w:t>
            </w:r>
            <w:r>
              <w:rPr>
                <w:rFonts w:hint="eastAsia"/>
                <w:color w:val="000000"/>
                <w:highlight w:val="none"/>
              </w:rPr>
              <w:t>t</w:t>
            </w:r>
            <w:r>
              <w:rPr>
                <w:color w:val="000000"/>
                <w:highlight w:val="none"/>
              </w:rPr>
              <w:t>/</w:t>
            </w:r>
            <w:r>
              <w:rPr>
                <w:rFonts w:hint="eastAsia"/>
                <w:color w:val="000000"/>
                <w:highlight w:val="none"/>
              </w:rPr>
              <w:t>a，可循环利用作为窖泥，多次利用后剩余不能利用部分约</w:t>
            </w:r>
            <w:r>
              <w:rPr>
                <w:rFonts w:hint="eastAsia"/>
                <w:color w:val="000000"/>
                <w:highlight w:val="none"/>
                <w:lang w:val="en-US" w:eastAsia="zh-CN"/>
              </w:rPr>
              <w:t>1.62</w:t>
            </w:r>
            <w:r>
              <w:rPr>
                <w:rFonts w:hint="eastAsia"/>
                <w:color w:val="000000"/>
                <w:highlight w:val="none"/>
              </w:rPr>
              <w:t>t</w:t>
            </w:r>
            <w:r>
              <w:rPr>
                <w:color w:val="000000"/>
                <w:highlight w:val="none"/>
              </w:rPr>
              <w:t>/a</w:t>
            </w:r>
            <w:r>
              <w:rPr>
                <w:rFonts w:hint="eastAsia"/>
                <w:color w:val="000000"/>
                <w:highlight w:val="none"/>
              </w:rPr>
              <w:t>，</w:t>
            </w:r>
            <w:r>
              <w:rPr>
                <w:rFonts w:hint="eastAsia"/>
                <w:color w:val="000000"/>
                <w:highlight w:val="none"/>
                <w:lang w:val="en-US" w:eastAsia="zh-CN"/>
              </w:rPr>
              <w:t>由附近村民拉运肥田。</w:t>
            </w:r>
          </w:p>
          <w:p w14:paraId="1907F3F6">
            <w:pPr>
              <w:widowControl/>
              <w:shd w:val="clear" w:color="auto" w:fill="auto"/>
              <w:adjustRightInd w:val="0"/>
              <w:snapToGrid w:val="0"/>
              <w:spacing w:line="360" w:lineRule="auto"/>
              <w:ind w:firstLine="420" w:firstLineChars="200"/>
              <w:rPr>
                <w:color w:val="000000"/>
                <w:sz w:val="21"/>
                <w:szCs w:val="21"/>
                <w:highlight w:val="none"/>
              </w:rPr>
            </w:pPr>
            <w:r>
              <w:rPr>
                <w:rFonts w:hint="eastAsia"/>
                <w:color w:val="000000"/>
                <w:sz w:val="21"/>
                <w:szCs w:val="21"/>
                <w:highlight w:val="none"/>
                <w:lang w:eastAsia="zh-CN"/>
              </w:rPr>
              <w:t>（3）</w:t>
            </w:r>
            <w:r>
              <w:rPr>
                <w:rFonts w:hint="eastAsia"/>
                <w:color w:val="000000"/>
                <w:sz w:val="21"/>
                <w:szCs w:val="21"/>
                <w:highlight w:val="none"/>
              </w:rPr>
              <w:t>危险废物</w:t>
            </w:r>
          </w:p>
          <w:p w14:paraId="743E751C">
            <w:pPr>
              <w:keepNext w:val="0"/>
              <w:keepLines w:val="0"/>
              <w:pageBreakBefore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000000"/>
                <w:sz w:val="21"/>
                <w:szCs w:val="21"/>
                <w:highlight w:val="none"/>
                <w:lang w:val="en-US" w:eastAsia="zh-CN"/>
              </w:rPr>
            </w:pPr>
            <w:r>
              <w:rPr>
                <w:rFonts w:hint="eastAsia" w:ascii="Times New Roman" w:hAnsi="Times New Roman" w:cs="Times New Roman"/>
                <w:b w:val="0"/>
                <w:bCs w:val="0"/>
                <w:color w:val="000000"/>
                <w:sz w:val="21"/>
                <w:szCs w:val="21"/>
                <w:highlight w:val="none"/>
                <w:lang w:val="en-US" w:eastAsia="zh-CN"/>
              </w:rPr>
              <w:t>本项目危险废物为废润滑油、废含油抹布手套、废油桶、实验室废液及废活性炭</w:t>
            </w:r>
            <w:r>
              <w:rPr>
                <w:rFonts w:hint="eastAsia"/>
                <w:lang w:val="en-US" w:eastAsia="zh-CN"/>
              </w:rPr>
              <w:t>等</w:t>
            </w:r>
            <w:r>
              <w:rPr>
                <w:rFonts w:hint="eastAsia" w:ascii="Times New Roman" w:hAnsi="Times New Roman" w:cs="Times New Roman"/>
                <w:b w:val="0"/>
                <w:bCs w:val="0"/>
                <w:color w:val="000000"/>
                <w:sz w:val="21"/>
                <w:szCs w:val="21"/>
                <w:highlight w:val="none"/>
                <w:lang w:val="en-US" w:eastAsia="zh-CN"/>
              </w:rPr>
              <w:t>。</w:t>
            </w:r>
          </w:p>
          <w:p w14:paraId="18DD413E">
            <w:pPr>
              <w:keepNext w:val="0"/>
              <w:keepLines w:val="0"/>
              <w:pageBreakBefore w:val="0"/>
              <w:numPr>
                <w:ilvl w:val="0"/>
                <w:numId w:val="0"/>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Chars="0" w:right="0" w:rightChars="0" w:firstLine="420" w:firstLineChars="200"/>
              <w:textAlignment w:val="auto"/>
              <w:rPr>
                <w:rFonts w:hint="eastAsia" w:ascii="Times New Roman" w:hAnsi="Times New Roman" w:cs="Times New Roman"/>
                <w:b w:val="0"/>
                <w:bCs w:val="0"/>
                <w:color w:val="000000"/>
                <w:sz w:val="21"/>
                <w:szCs w:val="21"/>
                <w:highlight w:val="none"/>
                <w:lang w:val="en-US" w:eastAsia="zh-CN"/>
              </w:rPr>
            </w:pPr>
            <w:r>
              <w:rPr>
                <w:rFonts w:hint="eastAsia" w:ascii="Times New Roman" w:hAnsi="Times New Roman" w:cs="Times New Roman"/>
                <w:b w:val="0"/>
                <w:bCs w:val="0"/>
                <w:color w:val="000000"/>
                <w:sz w:val="21"/>
                <w:szCs w:val="21"/>
                <w:highlight w:val="none"/>
                <w:lang w:val="en-US" w:eastAsia="zh-CN"/>
              </w:rPr>
              <w:t>①废润滑油：设备维护的过程中会产生废润滑油，</w:t>
            </w:r>
            <w:r>
              <w:rPr>
                <w:rFonts w:hint="eastAsia" w:cs="Times New Roman"/>
                <w:color w:val="000000"/>
                <w:highlight w:val="none"/>
                <w:lang w:eastAsia="zh-CN"/>
              </w:rPr>
              <w:t>根据《国家危险废物名录（2025年版）》，</w:t>
            </w:r>
            <w:r>
              <w:rPr>
                <w:rFonts w:hint="default" w:ascii="Times New Roman" w:hAnsi="Times New Roman" w:cs="Times New Roman"/>
                <w:color w:val="000000"/>
                <w:highlight w:val="none"/>
              </w:rPr>
              <w:t>属HW08危险废物，</w:t>
            </w:r>
            <w:r>
              <w:rPr>
                <w:rFonts w:hint="eastAsia" w:ascii="Times New Roman" w:hAnsi="Times New Roman" w:cs="Times New Roman"/>
                <w:color w:val="000000"/>
                <w:highlight w:val="none"/>
                <w:lang w:eastAsia="zh-CN"/>
              </w:rPr>
              <w:t>危废代</w:t>
            </w:r>
            <w:r>
              <w:rPr>
                <w:rFonts w:hint="eastAsia" w:ascii="Times New Roman" w:hAnsi="Times New Roman" w:cs="Times New Roman"/>
                <w:color w:val="000000"/>
                <w:highlight w:val="none"/>
                <w:lang w:val="en-US" w:eastAsia="zh-CN"/>
              </w:rPr>
              <w:t>码：</w:t>
            </w:r>
            <w:r>
              <w:rPr>
                <w:rFonts w:hint="default" w:ascii="Times New Roman" w:hAnsi="Times New Roman" w:cs="Times New Roman"/>
                <w:color w:val="000000"/>
                <w:highlight w:val="none"/>
                <w:lang w:val="en-US" w:eastAsia="zh-CN"/>
              </w:rPr>
              <w:t>900-2</w:t>
            </w:r>
            <w:r>
              <w:rPr>
                <w:rFonts w:hint="eastAsia" w:ascii="Times New Roman" w:hAnsi="Times New Roman" w:cs="Times New Roman"/>
                <w:color w:val="000000"/>
                <w:highlight w:val="none"/>
                <w:lang w:val="en-US" w:eastAsia="zh-CN"/>
              </w:rPr>
              <w:t>1</w:t>
            </w:r>
            <w:r>
              <w:rPr>
                <w:rFonts w:hint="default" w:ascii="Times New Roman" w:hAnsi="Times New Roman" w:cs="Times New Roman"/>
                <w:color w:val="000000"/>
                <w:highlight w:val="none"/>
                <w:lang w:val="en-US" w:eastAsia="zh-CN"/>
              </w:rPr>
              <w:t>4-08</w:t>
            </w:r>
            <w:r>
              <w:rPr>
                <w:rFonts w:hint="eastAsia" w:ascii="Times New Roman" w:hAnsi="Times New Roman" w:cs="Times New Roman"/>
                <w:color w:val="000000"/>
                <w:highlight w:val="none"/>
                <w:lang w:val="en-US" w:eastAsia="zh-CN"/>
              </w:rPr>
              <w:t>，</w:t>
            </w:r>
            <w:r>
              <w:rPr>
                <w:rFonts w:hint="eastAsia" w:ascii="Times New Roman" w:hAnsi="Times New Roman" w:cs="Times New Roman"/>
                <w:b w:val="0"/>
                <w:bCs w:val="0"/>
                <w:color w:val="000000"/>
                <w:sz w:val="21"/>
                <w:szCs w:val="21"/>
                <w:highlight w:val="none"/>
                <w:lang w:val="en-US" w:eastAsia="zh-CN"/>
              </w:rPr>
              <w:t>根据企业提供资料，废润滑油的产生量为0.02t/a，暂存于</w:t>
            </w:r>
            <w:r>
              <w:rPr>
                <w:rFonts w:hint="eastAsia" w:cs="Times New Roman"/>
                <w:b w:val="0"/>
                <w:bCs w:val="0"/>
                <w:color w:val="000000"/>
                <w:sz w:val="21"/>
                <w:szCs w:val="21"/>
                <w:highlight w:val="none"/>
                <w:lang w:val="en-US" w:eastAsia="zh-CN"/>
              </w:rPr>
              <w:t>危险废物贮存间</w:t>
            </w:r>
            <w:r>
              <w:rPr>
                <w:rFonts w:hint="eastAsia" w:ascii="Times New Roman" w:hAnsi="Times New Roman" w:cs="Times New Roman"/>
                <w:b w:val="0"/>
                <w:bCs w:val="0"/>
                <w:color w:val="000000"/>
                <w:sz w:val="21"/>
                <w:szCs w:val="21"/>
                <w:highlight w:val="none"/>
                <w:lang w:val="en-US" w:eastAsia="zh-CN"/>
              </w:rPr>
              <w:t>，定期交有资质单位处置。</w:t>
            </w:r>
          </w:p>
          <w:p w14:paraId="4CE2A46D">
            <w:pPr>
              <w:keepNext w:val="0"/>
              <w:keepLines w:val="0"/>
              <w:pageBreakBefore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eastAsia"/>
                <w:color w:val="000000"/>
                <w:highlight w:val="none"/>
                <w:lang w:val="en-US" w:eastAsia="zh-CN"/>
              </w:rPr>
            </w:pPr>
            <w:r>
              <w:rPr>
                <w:rFonts w:hint="eastAsia" w:ascii="Times New Roman" w:hAnsi="Times New Roman" w:cs="Times New Roman"/>
                <w:b w:val="0"/>
                <w:bCs w:val="0"/>
                <w:color w:val="000000"/>
                <w:sz w:val="21"/>
                <w:szCs w:val="21"/>
                <w:highlight w:val="none"/>
                <w:lang w:val="en-US" w:eastAsia="zh-CN"/>
              </w:rPr>
              <w:t>②废含油抹布手套：设备维护过程中会产生废含油抹布手套，</w:t>
            </w:r>
            <w:r>
              <w:rPr>
                <w:rFonts w:hint="eastAsia" w:cs="Times New Roman"/>
                <w:b w:val="0"/>
                <w:bCs w:val="0"/>
                <w:color w:val="000000"/>
                <w:sz w:val="21"/>
                <w:szCs w:val="21"/>
                <w:highlight w:val="none"/>
                <w:lang w:val="en-US" w:eastAsia="zh-CN"/>
              </w:rPr>
              <w:t>根据《国家危险废物名录（2025年版）》，</w:t>
            </w:r>
            <w:r>
              <w:rPr>
                <w:rFonts w:hint="default" w:ascii="Times New Roman" w:hAnsi="Times New Roman" w:eastAsia="宋体" w:cs="Times New Roman"/>
                <w:b w:val="0"/>
                <w:bCs w:val="0"/>
                <w:color w:val="000000"/>
                <w:sz w:val="21"/>
                <w:szCs w:val="21"/>
                <w:highlight w:val="none"/>
                <w:lang w:val="en-US" w:eastAsia="zh-CN"/>
              </w:rPr>
              <w:t>属HW</w:t>
            </w:r>
            <w:r>
              <w:rPr>
                <w:rFonts w:hint="eastAsia" w:ascii="Times New Roman" w:hAnsi="Times New Roman" w:eastAsia="宋体" w:cs="Times New Roman"/>
                <w:b w:val="0"/>
                <w:bCs w:val="0"/>
                <w:color w:val="000000"/>
                <w:sz w:val="21"/>
                <w:szCs w:val="21"/>
                <w:highlight w:val="none"/>
                <w:lang w:val="en-US" w:eastAsia="zh-CN"/>
              </w:rPr>
              <w:t>4</w:t>
            </w:r>
            <w:r>
              <w:rPr>
                <w:rFonts w:hint="default" w:ascii="Times New Roman" w:hAnsi="Times New Roman" w:eastAsia="宋体" w:cs="Times New Roman"/>
                <w:b w:val="0"/>
                <w:bCs w:val="0"/>
                <w:color w:val="000000"/>
                <w:sz w:val="21"/>
                <w:szCs w:val="21"/>
                <w:highlight w:val="none"/>
                <w:lang w:val="en-US" w:eastAsia="zh-CN"/>
              </w:rPr>
              <w:t>9危险废物，</w:t>
            </w:r>
            <w:r>
              <w:rPr>
                <w:rFonts w:hint="eastAsia" w:ascii="Times New Roman" w:hAnsi="Times New Roman" w:eastAsia="宋体" w:cs="Times New Roman"/>
                <w:b w:val="0"/>
                <w:bCs w:val="0"/>
                <w:color w:val="000000"/>
                <w:sz w:val="21"/>
                <w:szCs w:val="21"/>
                <w:highlight w:val="none"/>
                <w:lang w:val="en-US" w:eastAsia="zh-CN"/>
              </w:rPr>
              <w:t>危废代码：</w:t>
            </w:r>
            <w:r>
              <w:rPr>
                <w:rFonts w:hint="default" w:ascii="Times New Roman" w:hAnsi="Times New Roman" w:eastAsia="宋体" w:cs="Times New Roman"/>
                <w:b w:val="0"/>
                <w:bCs w:val="0"/>
                <w:color w:val="000000"/>
                <w:sz w:val="21"/>
                <w:szCs w:val="21"/>
                <w:highlight w:val="none"/>
                <w:lang w:val="en-US" w:eastAsia="zh-CN"/>
              </w:rPr>
              <w:t>900-0</w:t>
            </w:r>
            <w:r>
              <w:rPr>
                <w:rFonts w:hint="eastAsia" w:ascii="Times New Roman" w:hAnsi="Times New Roman" w:eastAsia="宋体" w:cs="Times New Roman"/>
                <w:b w:val="0"/>
                <w:bCs w:val="0"/>
                <w:color w:val="000000"/>
                <w:sz w:val="21"/>
                <w:szCs w:val="21"/>
                <w:highlight w:val="none"/>
                <w:lang w:val="en-US" w:eastAsia="zh-CN"/>
              </w:rPr>
              <w:t>41</w:t>
            </w:r>
            <w:r>
              <w:rPr>
                <w:rFonts w:hint="default" w:ascii="Times New Roman" w:hAnsi="Times New Roman" w:eastAsia="宋体" w:cs="Times New Roman"/>
                <w:b w:val="0"/>
                <w:bCs w:val="0"/>
                <w:color w:val="000000"/>
                <w:sz w:val="21"/>
                <w:szCs w:val="21"/>
                <w:highlight w:val="none"/>
                <w:lang w:val="en-US" w:eastAsia="zh-CN"/>
              </w:rPr>
              <w:t>-</w:t>
            </w:r>
            <w:r>
              <w:rPr>
                <w:rFonts w:hint="eastAsia" w:ascii="Times New Roman" w:hAnsi="Times New Roman" w:eastAsia="宋体" w:cs="Times New Roman"/>
                <w:b w:val="0"/>
                <w:bCs w:val="0"/>
                <w:color w:val="000000"/>
                <w:sz w:val="21"/>
                <w:szCs w:val="21"/>
                <w:highlight w:val="none"/>
                <w:lang w:val="en-US" w:eastAsia="zh-CN"/>
              </w:rPr>
              <w:t>49，</w:t>
            </w:r>
            <w:r>
              <w:rPr>
                <w:rFonts w:hint="eastAsia" w:ascii="Times New Roman" w:hAnsi="Times New Roman" w:cs="Times New Roman"/>
                <w:b w:val="0"/>
                <w:bCs w:val="0"/>
                <w:color w:val="000000"/>
                <w:sz w:val="21"/>
                <w:szCs w:val="21"/>
                <w:highlight w:val="none"/>
                <w:lang w:val="en-US" w:eastAsia="zh-CN"/>
              </w:rPr>
              <w:t>根据建设单位提供资料，废</w:t>
            </w:r>
            <w:r>
              <w:rPr>
                <w:rFonts w:hint="default" w:ascii="Times New Roman" w:hAnsi="Times New Roman" w:cs="Times New Roman"/>
                <w:color w:val="000000"/>
                <w:highlight w:val="none"/>
                <w:lang w:val="en-US" w:eastAsia="zh-CN"/>
              </w:rPr>
              <w:t>含油抹布手套的产生量为0.02t/a</w:t>
            </w:r>
            <w:r>
              <w:rPr>
                <w:rFonts w:hint="eastAsia" w:ascii="Times New Roman" w:hAnsi="Times New Roman" w:cs="Times New Roman"/>
                <w:color w:val="000000"/>
                <w:highlight w:val="none"/>
                <w:lang w:val="en-US" w:eastAsia="zh-CN"/>
              </w:rPr>
              <w:t>，</w:t>
            </w:r>
            <w:r>
              <w:rPr>
                <w:rFonts w:hint="eastAsia" w:ascii="Times New Roman" w:hAnsi="Times New Roman" w:cs="Times New Roman"/>
                <w:b w:val="0"/>
                <w:bCs w:val="0"/>
                <w:color w:val="000000"/>
                <w:sz w:val="21"/>
                <w:szCs w:val="21"/>
                <w:highlight w:val="none"/>
                <w:lang w:val="en-US" w:eastAsia="zh-CN"/>
              </w:rPr>
              <w:t>暂存于</w:t>
            </w:r>
            <w:r>
              <w:rPr>
                <w:rFonts w:hint="eastAsia" w:cs="Times New Roman"/>
                <w:b w:val="0"/>
                <w:bCs w:val="0"/>
                <w:color w:val="000000"/>
                <w:sz w:val="21"/>
                <w:szCs w:val="21"/>
                <w:highlight w:val="none"/>
                <w:lang w:val="en-US" w:eastAsia="zh-CN"/>
              </w:rPr>
              <w:t>危险废物贮存间</w:t>
            </w:r>
            <w:r>
              <w:rPr>
                <w:rFonts w:hint="eastAsia" w:ascii="Times New Roman" w:hAnsi="Times New Roman" w:cs="Times New Roman"/>
                <w:b w:val="0"/>
                <w:bCs w:val="0"/>
                <w:color w:val="000000"/>
                <w:sz w:val="21"/>
                <w:szCs w:val="21"/>
                <w:highlight w:val="none"/>
                <w:lang w:val="en-US" w:eastAsia="zh-CN"/>
              </w:rPr>
              <w:t>，定期交有资质单位处置。</w:t>
            </w:r>
          </w:p>
          <w:p w14:paraId="3DA2656A">
            <w:pPr>
              <w:widowControl/>
              <w:shd w:val="clear" w:color="auto" w:fill="auto"/>
              <w:adjustRightInd w:val="0"/>
              <w:snapToGrid w:val="0"/>
              <w:spacing w:line="360" w:lineRule="auto"/>
              <w:ind w:firstLine="420" w:firstLineChars="200"/>
              <w:rPr>
                <w:color w:val="000000"/>
                <w:kern w:val="0"/>
                <w:sz w:val="21"/>
                <w:szCs w:val="21"/>
                <w:highlight w:val="none"/>
              </w:rPr>
            </w:pPr>
            <w:r>
              <w:rPr>
                <w:rFonts w:hint="eastAsia" w:ascii="Times New Roman" w:hAnsi="Times New Roman" w:cs="Times New Roman"/>
                <w:b w:val="0"/>
                <w:bCs w:val="0"/>
                <w:color w:val="000000"/>
                <w:sz w:val="21"/>
                <w:szCs w:val="21"/>
                <w:highlight w:val="none"/>
                <w:lang w:val="en-US" w:eastAsia="zh-CN"/>
              </w:rPr>
              <w:t>③废油桶：润滑油使用过程中会产生废油桶，</w:t>
            </w:r>
            <w:r>
              <w:rPr>
                <w:rFonts w:hint="eastAsia" w:cs="Times New Roman"/>
                <w:b w:val="0"/>
                <w:bCs w:val="0"/>
                <w:color w:val="000000"/>
                <w:sz w:val="21"/>
                <w:szCs w:val="21"/>
                <w:highlight w:val="none"/>
                <w:lang w:val="en-US" w:eastAsia="zh-CN"/>
              </w:rPr>
              <w:t>根据《国家危险废物名录（2025年版）》，</w:t>
            </w:r>
            <w:r>
              <w:rPr>
                <w:rFonts w:hint="default" w:ascii="Times New Roman" w:hAnsi="Times New Roman" w:eastAsia="宋体" w:cs="Times New Roman"/>
                <w:b w:val="0"/>
                <w:bCs w:val="0"/>
                <w:color w:val="000000"/>
                <w:sz w:val="21"/>
                <w:szCs w:val="21"/>
                <w:highlight w:val="none"/>
                <w:lang w:val="en-US" w:eastAsia="zh-CN"/>
              </w:rPr>
              <w:t>属HW</w:t>
            </w:r>
            <w:r>
              <w:rPr>
                <w:rFonts w:hint="eastAsia" w:ascii="Times New Roman" w:hAnsi="Times New Roman" w:eastAsia="宋体" w:cs="Times New Roman"/>
                <w:b w:val="0"/>
                <w:bCs w:val="0"/>
                <w:color w:val="000000"/>
                <w:sz w:val="21"/>
                <w:szCs w:val="21"/>
                <w:highlight w:val="none"/>
                <w:lang w:val="en-US" w:eastAsia="zh-CN"/>
              </w:rPr>
              <w:t>4</w:t>
            </w:r>
            <w:r>
              <w:rPr>
                <w:rFonts w:hint="default" w:ascii="Times New Roman" w:hAnsi="Times New Roman" w:eastAsia="宋体" w:cs="Times New Roman"/>
                <w:b w:val="0"/>
                <w:bCs w:val="0"/>
                <w:color w:val="000000"/>
                <w:sz w:val="21"/>
                <w:szCs w:val="21"/>
                <w:highlight w:val="none"/>
                <w:lang w:val="en-US" w:eastAsia="zh-CN"/>
              </w:rPr>
              <w:t>9危险废物，</w:t>
            </w:r>
            <w:r>
              <w:rPr>
                <w:rFonts w:hint="eastAsia" w:ascii="Times New Roman" w:hAnsi="Times New Roman" w:eastAsia="宋体" w:cs="Times New Roman"/>
                <w:b w:val="0"/>
                <w:bCs w:val="0"/>
                <w:color w:val="000000"/>
                <w:sz w:val="21"/>
                <w:szCs w:val="21"/>
                <w:highlight w:val="none"/>
                <w:lang w:val="en-US" w:eastAsia="zh-CN"/>
              </w:rPr>
              <w:t>危废代码：</w:t>
            </w:r>
            <w:r>
              <w:rPr>
                <w:rFonts w:hint="default" w:ascii="Times New Roman" w:hAnsi="Times New Roman" w:eastAsia="宋体" w:cs="Times New Roman"/>
                <w:b w:val="0"/>
                <w:bCs w:val="0"/>
                <w:color w:val="000000"/>
                <w:sz w:val="21"/>
                <w:szCs w:val="21"/>
                <w:highlight w:val="none"/>
                <w:lang w:val="en-US" w:eastAsia="zh-CN"/>
              </w:rPr>
              <w:t>900-0</w:t>
            </w:r>
            <w:r>
              <w:rPr>
                <w:rFonts w:hint="eastAsia" w:ascii="Times New Roman" w:hAnsi="Times New Roman" w:eastAsia="宋体" w:cs="Times New Roman"/>
                <w:b w:val="0"/>
                <w:bCs w:val="0"/>
                <w:color w:val="000000"/>
                <w:sz w:val="21"/>
                <w:szCs w:val="21"/>
                <w:highlight w:val="none"/>
                <w:lang w:val="en-US" w:eastAsia="zh-CN"/>
              </w:rPr>
              <w:t>41</w:t>
            </w:r>
            <w:r>
              <w:rPr>
                <w:rFonts w:hint="default" w:ascii="Times New Roman" w:hAnsi="Times New Roman" w:eastAsia="宋体" w:cs="Times New Roman"/>
                <w:b w:val="0"/>
                <w:bCs w:val="0"/>
                <w:color w:val="000000"/>
                <w:sz w:val="21"/>
                <w:szCs w:val="21"/>
                <w:highlight w:val="none"/>
                <w:lang w:val="en-US" w:eastAsia="zh-CN"/>
              </w:rPr>
              <w:t>-</w:t>
            </w:r>
            <w:r>
              <w:rPr>
                <w:rFonts w:hint="eastAsia" w:ascii="Times New Roman" w:hAnsi="Times New Roman" w:eastAsia="宋体" w:cs="Times New Roman"/>
                <w:b w:val="0"/>
                <w:bCs w:val="0"/>
                <w:color w:val="000000"/>
                <w:sz w:val="21"/>
                <w:szCs w:val="21"/>
                <w:highlight w:val="none"/>
                <w:lang w:val="en-US" w:eastAsia="zh-CN"/>
              </w:rPr>
              <w:t>49，</w:t>
            </w:r>
            <w:r>
              <w:rPr>
                <w:rFonts w:hint="eastAsia" w:ascii="Times New Roman" w:hAnsi="Times New Roman" w:cs="Times New Roman"/>
                <w:b w:val="0"/>
                <w:bCs w:val="0"/>
                <w:color w:val="000000"/>
                <w:sz w:val="21"/>
                <w:szCs w:val="21"/>
                <w:highlight w:val="none"/>
                <w:lang w:val="en-US" w:eastAsia="zh-CN"/>
              </w:rPr>
              <w:t>根据企业提供资料，废油桶的产生量为0.05t/a，暂存于</w:t>
            </w:r>
            <w:r>
              <w:rPr>
                <w:rFonts w:hint="eastAsia" w:cs="Times New Roman"/>
                <w:b w:val="0"/>
                <w:bCs w:val="0"/>
                <w:color w:val="000000"/>
                <w:sz w:val="21"/>
                <w:szCs w:val="21"/>
                <w:highlight w:val="none"/>
                <w:lang w:val="en-US" w:eastAsia="zh-CN"/>
              </w:rPr>
              <w:t>危险废物贮存间</w:t>
            </w:r>
            <w:r>
              <w:rPr>
                <w:rFonts w:hint="eastAsia" w:ascii="Times New Roman" w:hAnsi="Times New Roman" w:cs="Times New Roman"/>
                <w:b w:val="0"/>
                <w:bCs w:val="0"/>
                <w:color w:val="000000"/>
                <w:sz w:val="21"/>
                <w:szCs w:val="21"/>
                <w:highlight w:val="none"/>
                <w:lang w:val="en-US" w:eastAsia="zh-CN"/>
              </w:rPr>
              <w:t>，定期交有资质单位处置。</w:t>
            </w:r>
          </w:p>
          <w:p w14:paraId="7AB298A2">
            <w:pPr>
              <w:widowControl/>
              <w:shd w:val="clear" w:color="auto" w:fill="auto"/>
              <w:adjustRightInd w:val="0"/>
              <w:snapToGrid w:val="0"/>
              <w:spacing w:line="360" w:lineRule="auto"/>
              <w:ind w:firstLine="420" w:firstLineChars="200"/>
              <w:rPr>
                <w:rFonts w:hint="default" w:eastAsia="宋体"/>
                <w:color w:val="000000"/>
                <w:highlight w:val="none"/>
                <w:lang w:val="en-US" w:eastAsia="zh-CN"/>
              </w:rPr>
            </w:pPr>
            <w:r>
              <w:rPr>
                <w:rFonts w:hint="eastAsia"/>
                <w:color w:val="000000"/>
                <w:highlight w:val="none"/>
                <w:lang w:val="en-US" w:eastAsia="zh-CN"/>
              </w:rPr>
              <w:t>④</w:t>
            </w:r>
            <w:r>
              <w:t>废弃</w:t>
            </w:r>
            <w:r>
              <w:rPr>
                <w:rFonts w:hint="eastAsia"/>
                <w:color w:val="000000"/>
                <w:highlight w:val="none"/>
                <w:lang w:val="en-US" w:eastAsia="zh-CN"/>
              </w:rPr>
              <w:t>实验试剂</w:t>
            </w:r>
          </w:p>
          <w:p w14:paraId="59B654B4">
            <w:pPr>
              <w:widowControl/>
              <w:shd w:val="clear" w:color="auto" w:fill="auto"/>
              <w:adjustRightInd w:val="0"/>
              <w:snapToGrid w:val="0"/>
              <w:spacing w:line="360" w:lineRule="auto"/>
              <w:ind w:firstLine="420" w:firstLineChars="200"/>
              <w:rPr>
                <w:rFonts w:hint="eastAsia"/>
                <w:color w:val="000000"/>
                <w:highlight w:val="none"/>
                <w:lang w:val="en-US" w:eastAsia="zh-CN"/>
              </w:rPr>
            </w:pPr>
            <w:r>
              <w:rPr>
                <w:rFonts w:hint="eastAsia"/>
                <w:color w:val="000000"/>
                <w:highlight w:val="none"/>
              </w:rPr>
              <w:t>项目白酒产品化验过程中使用到酸碱等化学试剂，化验后会产生部分</w:t>
            </w:r>
            <w:r>
              <w:rPr>
                <w:rFonts w:hint="eastAsia"/>
                <w:color w:val="000000"/>
                <w:highlight w:val="none"/>
                <w:lang w:val="en-US" w:eastAsia="zh-CN"/>
              </w:rPr>
              <w:t>废试剂</w:t>
            </w:r>
            <w:r>
              <w:rPr>
                <w:rFonts w:hint="eastAsia"/>
                <w:color w:val="000000"/>
                <w:highlight w:val="none"/>
                <w:lang w:eastAsia="zh-CN"/>
              </w:rPr>
              <w:t>。</w:t>
            </w:r>
            <w:r>
              <w:rPr>
                <w:rFonts w:hint="eastAsia"/>
                <w:color w:val="000000"/>
                <w:highlight w:val="none"/>
              </w:rPr>
              <w:t>根据《国家危险废物名录》</w:t>
            </w:r>
            <w:r>
              <w:rPr>
                <w:rFonts w:hint="eastAsia"/>
                <w:color w:val="000000"/>
                <w:highlight w:val="none"/>
                <w:lang w:eastAsia="zh-CN"/>
              </w:rPr>
              <w:t>（</w:t>
            </w:r>
            <w:r>
              <w:rPr>
                <w:color w:val="000000"/>
                <w:highlight w:val="none"/>
              </w:rPr>
              <w:t>2021</w:t>
            </w:r>
            <w:r>
              <w:rPr>
                <w:rFonts w:hint="eastAsia"/>
                <w:color w:val="000000"/>
                <w:highlight w:val="none"/>
              </w:rPr>
              <w:t>版</w:t>
            </w:r>
            <w:r>
              <w:rPr>
                <w:rFonts w:hint="eastAsia"/>
                <w:color w:val="000000"/>
                <w:highlight w:val="none"/>
                <w:lang w:eastAsia="zh-CN"/>
              </w:rPr>
              <w:t>）</w:t>
            </w:r>
            <w:r>
              <w:rPr>
                <w:rFonts w:hint="eastAsia"/>
                <w:color w:val="000000"/>
                <w:highlight w:val="none"/>
              </w:rPr>
              <w:t>，</w:t>
            </w:r>
            <w:r>
              <w:rPr>
                <w:rFonts w:hint="eastAsia"/>
                <w:color w:val="000000"/>
                <w:highlight w:val="none"/>
                <w:lang w:val="en-US" w:eastAsia="zh-CN"/>
              </w:rPr>
              <w:t>实验室废液</w:t>
            </w:r>
            <w:r>
              <w:rPr>
                <w:rFonts w:hint="eastAsia"/>
                <w:color w:val="000000"/>
                <w:highlight w:val="none"/>
              </w:rPr>
              <w:t>为危险废物</w:t>
            </w:r>
            <w:r>
              <w:rPr>
                <w:rFonts w:hint="eastAsia"/>
                <w:color w:val="000000"/>
                <w:highlight w:val="none"/>
                <w:lang w:eastAsia="zh-CN"/>
              </w:rPr>
              <w:t>（</w:t>
            </w:r>
            <w:r>
              <w:rPr>
                <w:rFonts w:hint="eastAsia"/>
                <w:color w:val="000000"/>
                <w:highlight w:val="none"/>
              </w:rPr>
              <w:t>废物类别：HW34废酸，废物代码：900-300-34</w:t>
            </w:r>
            <w:r>
              <w:rPr>
                <w:rFonts w:hint="eastAsia"/>
                <w:color w:val="000000"/>
                <w:highlight w:val="none"/>
                <w:lang w:eastAsia="zh-CN"/>
              </w:rPr>
              <w:t>）。</w:t>
            </w:r>
            <w:r>
              <w:rPr>
                <w:rFonts w:hint="eastAsia"/>
                <w:color w:val="000000"/>
                <w:highlight w:val="none"/>
              </w:rPr>
              <w:t>本项目实施后企业会产生实验室废物约</w:t>
            </w:r>
            <w:r>
              <w:rPr>
                <w:rFonts w:hint="eastAsia"/>
                <w:color w:val="000000"/>
                <w:highlight w:val="none"/>
                <w:lang w:val="en-US" w:eastAsia="zh-CN"/>
              </w:rPr>
              <w:t>0.002</w:t>
            </w:r>
            <w:r>
              <w:rPr>
                <w:rFonts w:hint="eastAsia"/>
                <w:color w:val="000000"/>
                <w:highlight w:val="none"/>
              </w:rPr>
              <w:t>t/a。</w:t>
            </w:r>
            <w:r>
              <w:rPr>
                <w:rFonts w:hint="eastAsia"/>
                <w:color w:val="000000"/>
                <w:highlight w:val="none"/>
                <w:lang w:val="en-US" w:eastAsia="zh-CN"/>
              </w:rPr>
              <w:t>密闭容器收集</w:t>
            </w:r>
            <w:r>
              <w:rPr>
                <w:rFonts w:hint="eastAsia"/>
                <w:color w:val="000000"/>
                <w:highlight w:val="none"/>
              </w:rPr>
              <w:t>，</w:t>
            </w:r>
            <w:r>
              <w:rPr>
                <w:rFonts w:hint="eastAsia"/>
                <w:color w:val="000000"/>
                <w:highlight w:val="none"/>
                <w:lang w:val="en-US" w:eastAsia="zh-CN"/>
              </w:rPr>
              <w:t>暂存于危废贮存间，定期交有资质单位处置。</w:t>
            </w:r>
          </w:p>
          <w:p w14:paraId="65B56210">
            <w:pPr>
              <w:widowControl/>
              <w:shd w:val="clear" w:color="auto" w:fill="auto"/>
              <w:adjustRightInd w:val="0"/>
              <w:snapToGrid w:val="0"/>
              <w:spacing w:line="360" w:lineRule="auto"/>
              <w:ind w:firstLine="420" w:firstLineChars="200"/>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⑤废活性炭</w:t>
            </w:r>
          </w:p>
          <w:p w14:paraId="7BC42F05">
            <w:pPr>
              <w:widowControl/>
              <w:shd w:val="clear" w:color="auto" w:fill="auto"/>
              <w:adjustRightInd w:val="0"/>
              <w:snapToGrid w:val="0"/>
              <w:spacing w:line="360" w:lineRule="auto"/>
              <w:ind w:firstLine="420" w:firstLineChars="200"/>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本项目污水处理站废气处理过程中会产生废活性炭，</w:t>
            </w:r>
            <w:r>
              <w:rPr>
                <w:rFonts w:hint="eastAsia"/>
                <w:color w:val="000000"/>
                <w:highlight w:val="none"/>
              </w:rPr>
              <w:t>根据《国家危险废物名录》</w:t>
            </w:r>
            <w:r>
              <w:rPr>
                <w:rFonts w:hint="eastAsia"/>
                <w:color w:val="000000"/>
                <w:highlight w:val="none"/>
                <w:lang w:eastAsia="zh-CN"/>
              </w:rPr>
              <w:t>（</w:t>
            </w:r>
            <w:r>
              <w:rPr>
                <w:color w:val="000000"/>
                <w:highlight w:val="none"/>
              </w:rPr>
              <w:t>202</w:t>
            </w:r>
            <w:r>
              <w:rPr>
                <w:rFonts w:hint="eastAsia"/>
                <w:color w:val="000000"/>
                <w:highlight w:val="none"/>
                <w:lang w:val="en-US" w:eastAsia="zh-CN"/>
              </w:rPr>
              <w:t>5</w:t>
            </w:r>
            <w:r>
              <w:rPr>
                <w:rFonts w:hint="eastAsia"/>
                <w:color w:val="000000"/>
                <w:highlight w:val="none"/>
              </w:rPr>
              <w:t>版</w:t>
            </w:r>
            <w:r>
              <w:rPr>
                <w:rFonts w:hint="eastAsia"/>
                <w:color w:val="000000"/>
                <w:highlight w:val="none"/>
                <w:lang w:eastAsia="zh-CN"/>
              </w:rPr>
              <w:t>）</w:t>
            </w:r>
            <w:r>
              <w:rPr>
                <w:rFonts w:hint="eastAsia"/>
                <w:color w:val="000000"/>
                <w:highlight w:val="none"/>
              </w:rPr>
              <w:t>，</w:t>
            </w:r>
            <w:r>
              <w:rPr>
                <w:rFonts w:hint="eastAsia"/>
                <w:color w:val="000000"/>
                <w:highlight w:val="none"/>
                <w:lang w:val="en-US" w:eastAsia="zh-CN"/>
              </w:rPr>
              <w:t>实验室废液</w:t>
            </w:r>
            <w:r>
              <w:rPr>
                <w:rFonts w:hint="eastAsia"/>
                <w:color w:val="000000"/>
                <w:highlight w:val="none"/>
              </w:rPr>
              <w:t>为危险废物</w:t>
            </w:r>
            <w:r>
              <w:rPr>
                <w:rFonts w:hint="eastAsia"/>
                <w:color w:val="000000"/>
                <w:highlight w:val="none"/>
                <w:lang w:eastAsia="zh-CN"/>
              </w:rPr>
              <w:t>（</w:t>
            </w:r>
            <w:r>
              <w:rPr>
                <w:rFonts w:hint="eastAsia"/>
                <w:color w:val="000000"/>
                <w:highlight w:val="none"/>
              </w:rPr>
              <w:t>废物类别：HW</w:t>
            </w:r>
            <w:r>
              <w:rPr>
                <w:rFonts w:hint="eastAsia"/>
                <w:color w:val="000000"/>
                <w:highlight w:val="none"/>
                <w:lang w:val="en-US" w:eastAsia="zh-CN"/>
              </w:rPr>
              <w:t>39</w:t>
            </w:r>
            <w:r>
              <w:rPr>
                <w:rFonts w:hint="eastAsia"/>
                <w:color w:val="000000"/>
                <w:highlight w:val="none"/>
              </w:rPr>
              <w:t>废酸，废物代码：900-</w:t>
            </w:r>
            <w:r>
              <w:rPr>
                <w:rFonts w:hint="eastAsia"/>
                <w:color w:val="000000"/>
                <w:highlight w:val="none"/>
                <w:lang w:val="en-US" w:eastAsia="zh-CN"/>
              </w:rPr>
              <w:t>039</w:t>
            </w:r>
            <w:r>
              <w:rPr>
                <w:rFonts w:hint="eastAsia"/>
                <w:color w:val="000000"/>
                <w:highlight w:val="none"/>
              </w:rPr>
              <w:t>-</w:t>
            </w:r>
            <w:r>
              <w:rPr>
                <w:rFonts w:hint="eastAsia"/>
                <w:color w:val="000000"/>
                <w:highlight w:val="none"/>
                <w:lang w:val="en-US" w:eastAsia="zh-CN"/>
              </w:rPr>
              <w:t>49）</w:t>
            </w:r>
            <w:r>
              <w:rPr>
                <w:rFonts w:hint="eastAsia"/>
                <w:color w:val="000000"/>
                <w:highlight w:val="none"/>
              </w:rPr>
              <w:t>，</w:t>
            </w:r>
            <w:r>
              <w:rPr>
                <w:rFonts w:hint="eastAsia" w:ascii="Times New Roman" w:hAnsi="Times New Roman" w:eastAsia="宋体" w:cs="Times New Roman"/>
                <w:color w:val="000000"/>
                <w:highlight w:val="none"/>
                <w:lang w:val="en-US" w:eastAsia="zh-CN"/>
              </w:rPr>
              <w:t>类比同类项目，废活性炭产生量为0.5</w:t>
            </w:r>
            <w:r>
              <w:rPr>
                <w:rFonts w:hint="eastAsia"/>
                <w:color w:val="000000"/>
                <w:highlight w:val="none"/>
              </w:rPr>
              <w:t>t/a</w:t>
            </w:r>
            <w:r>
              <w:rPr>
                <w:rFonts w:hint="eastAsia"/>
                <w:color w:val="000000"/>
                <w:highlight w:val="none"/>
                <w:lang w:eastAsia="zh-CN"/>
              </w:rPr>
              <w:t>，</w:t>
            </w:r>
            <w:r>
              <w:rPr>
                <w:rFonts w:hint="eastAsia"/>
                <w:color w:val="000000"/>
                <w:highlight w:val="none"/>
                <w:lang w:val="en-US" w:eastAsia="zh-CN"/>
              </w:rPr>
              <w:t>暂存于危废贮存间，定期交有资质单位处置。</w:t>
            </w:r>
          </w:p>
          <w:p w14:paraId="20FE7C80">
            <w:pPr>
              <w:widowControl/>
              <w:shd w:val="clear" w:color="auto" w:fill="auto"/>
              <w:adjustRightInd w:val="0"/>
              <w:snapToGrid w:val="0"/>
              <w:spacing w:line="360" w:lineRule="auto"/>
              <w:ind w:firstLine="420" w:firstLineChars="200"/>
              <w:rPr>
                <w:b/>
                <w:color w:val="000000"/>
                <w:sz w:val="21"/>
                <w:szCs w:val="21"/>
                <w:highlight w:val="none"/>
              </w:rPr>
            </w:pPr>
            <w:r>
              <w:rPr>
                <w:rFonts w:hint="eastAsia" w:ascii="Times New Roman" w:hAnsi="Times New Roman" w:eastAsia="宋体" w:cs="Times New Roman"/>
                <w:color w:val="000000"/>
                <w:highlight w:val="none"/>
              </w:rPr>
              <w:t>本项目固体废物</w:t>
            </w:r>
            <w:r>
              <w:rPr>
                <w:color w:val="000000"/>
                <w:sz w:val="21"/>
                <w:szCs w:val="21"/>
                <w:highlight w:val="none"/>
              </w:rPr>
              <w:t>产生量与处理措施</w:t>
            </w:r>
            <w:r>
              <w:rPr>
                <w:rFonts w:hint="eastAsia"/>
                <w:color w:val="000000"/>
                <w:sz w:val="21"/>
                <w:szCs w:val="21"/>
                <w:highlight w:val="none"/>
                <w:lang w:val="en-US" w:eastAsia="zh-CN"/>
              </w:rPr>
              <w:t>详</w:t>
            </w:r>
            <w:r>
              <w:rPr>
                <w:color w:val="000000"/>
                <w:sz w:val="21"/>
                <w:szCs w:val="21"/>
                <w:highlight w:val="none"/>
              </w:rPr>
              <w:t>见</w:t>
            </w:r>
            <w:r>
              <w:rPr>
                <w:rFonts w:hint="eastAsia"/>
                <w:color w:val="000000"/>
                <w:sz w:val="21"/>
                <w:szCs w:val="21"/>
                <w:highlight w:val="none"/>
                <w:lang w:val="en-US" w:eastAsia="zh-CN"/>
              </w:rPr>
              <w:t>下</w:t>
            </w:r>
            <w:r>
              <w:rPr>
                <w:color w:val="000000"/>
                <w:sz w:val="21"/>
                <w:szCs w:val="21"/>
                <w:highlight w:val="none"/>
              </w:rPr>
              <w:t>表。</w:t>
            </w:r>
          </w:p>
          <w:p w14:paraId="34F820FB">
            <w:pPr>
              <w:widowControl/>
              <w:shd w:val="clear" w:color="auto" w:fill="auto"/>
              <w:spacing w:line="240" w:lineRule="auto"/>
              <w:jc w:val="center"/>
              <w:rPr>
                <w:b/>
                <w:color w:val="000000"/>
                <w:sz w:val="21"/>
                <w:szCs w:val="21"/>
                <w:highlight w:val="none"/>
              </w:rPr>
            </w:pPr>
            <w:r>
              <w:rPr>
                <w:b/>
                <w:color w:val="000000"/>
                <w:sz w:val="21"/>
                <w:szCs w:val="21"/>
                <w:highlight w:val="none"/>
              </w:rPr>
              <w:t>表4</w:t>
            </w:r>
            <w:r>
              <w:rPr>
                <w:rFonts w:hint="eastAsia"/>
                <w:b/>
                <w:color w:val="000000"/>
                <w:sz w:val="21"/>
                <w:szCs w:val="21"/>
                <w:highlight w:val="none"/>
              </w:rPr>
              <w:t>-</w:t>
            </w:r>
            <w:r>
              <w:rPr>
                <w:rFonts w:hint="eastAsia"/>
                <w:b/>
                <w:color w:val="000000"/>
                <w:sz w:val="21"/>
                <w:szCs w:val="21"/>
                <w:highlight w:val="none"/>
                <w:lang w:val="en-US" w:eastAsia="zh-CN"/>
              </w:rPr>
              <w:t>18</w:t>
            </w:r>
            <w:r>
              <w:rPr>
                <w:b/>
                <w:color w:val="000000"/>
                <w:sz w:val="21"/>
                <w:szCs w:val="21"/>
                <w:highlight w:val="none"/>
              </w:rPr>
              <w:t xml:space="preserve"> </w:t>
            </w:r>
            <w:r>
              <w:rPr>
                <w:rFonts w:hint="eastAsia"/>
                <w:b/>
                <w:color w:val="000000"/>
                <w:sz w:val="21"/>
                <w:szCs w:val="21"/>
                <w:highlight w:val="none"/>
              </w:rPr>
              <w:t xml:space="preserve"> </w:t>
            </w:r>
            <w:r>
              <w:rPr>
                <w:b/>
                <w:color w:val="000000"/>
                <w:sz w:val="21"/>
                <w:szCs w:val="21"/>
                <w:highlight w:val="none"/>
              </w:rPr>
              <w:t>固体废物产生情况及处理措施一览表</w:t>
            </w:r>
          </w:p>
          <w:tbl>
            <w:tblPr>
              <w:tblStyle w:val="2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88"/>
              <w:gridCol w:w="758"/>
              <w:gridCol w:w="1422"/>
              <w:gridCol w:w="874"/>
              <w:gridCol w:w="895"/>
              <w:gridCol w:w="1798"/>
              <w:gridCol w:w="1095"/>
            </w:tblGrid>
            <w:tr w14:paraId="5070E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2" w:hRule="atLeast"/>
              </w:trPr>
              <w:tc>
                <w:tcPr>
                  <w:tcW w:w="792" w:type="pct"/>
                  <w:tcBorders>
                    <w:tl2br w:val="nil"/>
                    <w:tr2bl w:val="nil"/>
                  </w:tcBorders>
                  <w:shd w:val="clear" w:color="auto" w:fill="auto"/>
                  <w:noWrap w:val="0"/>
                  <w:vAlign w:val="center"/>
                </w:tcPr>
                <w:p w14:paraId="4672F510">
                  <w:pPr>
                    <w:shd w:val="clear" w:color="auto" w:fill="auto"/>
                    <w:bidi w:val="0"/>
                    <w:jc w:val="center"/>
                    <w:rPr>
                      <w:rFonts w:hint="eastAsia"/>
                      <w:b/>
                      <w:bCs/>
                      <w:color w:val="000000"/>
                      <w:highlight w:val="none"/>
                      <w:lang w:val="en-US" w:eastAsia="zh-CN"/>
                    </w:rPr>
                  </w:pPr>
                  <w:r>
                    <w:rPr>
                      <w:rFonts w:hint="eastAsia"/>
                      <w:b/>
                      <w:bCs/>
                      <w:color w:val="000000"/>
                      <w:highlight w:val="none"/>
                      <w:lang w:val="en-US" w:eastAsia="zh-CN"/>
                    </w:rPr>
                    <w:t>名称</w:t>
                  </w:r>
                </w:p>
              </w:tc>
              <w:tc>
                <w:tcPr>
                  <w:tcW w:w="466" w:type="pct"/>
                  <w:tcBorders>
                    <w:tl2br w:val="nil"/>
                    <w:tr2bl w:val="nil"/>
                  </w:tcBorders>
                  <w:shd w:val="clear" w:color="auto" w:fill="auto"/>
                  <w:noWrap w:val="0"/>
                  <w:vAlign w:val="center"/>
                </w:tcPr>
                <w:p w14:paraId="27655A7F">
                  <w:pPr>
                    <w:shd w:val="clear" w:color="auto" w:fill="auto"/>
                    <w:bidi w:val="0"/>
                    <w:jc w:val="center"/>
                    <w:rPr>
                      <w:b/>
                      <w:bCs/>
                      <w:color w:val="000000"/>
                      <w:highlight w:val="none"/>
                    </w:rPr>
                  </w:pPr>
                  <w:r>
                    <w:rPr>
                      <w:b/>
                      <w:bCs/>
                      <w:color w:val="000000"/>
                      <w:highlight w:val="none"/>
                    </w:rPr>
                    <w:t>属性</w:t>
                  </w:r>
                </w:p>
              </w:tc>
              <w:tc>
                <w:tcPr>
                  <w:tcW w:w="874" w:type="pct"/>
                  <w:tcBorders>
                    <w:tl2br w:val="nil"/>
                    <w:tr2bl w:val="nil"/>
                  </w:tcBorders>
                  <w:shd w:val="clear" w:color="auto" w:fill="auto"/>
                  <w:noWrap w:val="0"/>
                  <w:vAlign w:val="center"/>
                </w:tcPr>
                <w:p w14:paraId="135EA3F6">
                  <w:pPr>
                    <w:shd w:val="clear" w:color="auto" w:fill="auto"/>
                    <w:bidi w:val="0"/>
                    <w:jc w:val="center"/>
                    <w:rPr>
                      <w:b/>
                      <w:bCs/>
                      <w:color w:val="000000"/>
                      <w:highlight w:val="none"/>
                    </w:rPr>
                  </w:pPr>
                  <w:r>
                    <w:rPr>
                      <w:b/>
                      <w:bCs/>
                      <w:color w:val="000000"/>
                      <w:highlight w:val="none"/>
                    </w:rPr>
                    <w:t>代码</w:t>
                  </w:r>
                </w:p>
              </w:tc>
              <w:tc>
                <w:tcPr>
                  <w:tcW w:w="537" w:type="pct"/>
                  <w:tcBorders>
                    <w:tl2br w:val="nil"/>
                    <w:tr2bl w:val="nil"/>
                  </w:tcBorders>
                  <w:shd w:val="clear" w:color="auto" w:fill="auto"/>
                  <w:noWrap w:val="0"/>
                  <w:vAlign w:val="center"/>
                </w:tcPr>
                <w:p w14:paraId="00FD76FD">
                  <w:pPr>
                    <w:shd w:val="clear" w:color="auto" w:fill="auto"/>
                    <w:bidi w:val="0"/>
                    <w:jc w:val="center"/>
                    <w:rPr>
                      <w:rFonts w:hint="eastAsia"/>
                      <w:b/>
                      <w:bCs/>
                      <w:color w:val="000000"/>
                      <w:highlight w:val="none"/>
                      <w:lang w:eastAsia="zh-CN"/>
                    </w:rPr>
                  </w:pPr>
                  <w:r>
                    <w:rPr>
                      <w:b/>
                      <w:bCs/>
                      <w:color w:val="000000"/>
                      <w:highlight w:val="none"/>
                    </w:rPr>
                    <w:t>产生量</w:t>
                  </w:r>
                  <w:r>
                    <w:rPr>
                      <w:rFonts w:hint="eastAsia"/>
                      <w:b/>
                      <w:bCs/>
                      <w:color w:val="000000"/>
                      <w:highlight w:val="none"/>
                      <w:lang w:eastAsia="zh-CN"/>
                    </w:rPr>
                    <w:t>（</w:t>
                  </w:r>
                  <w:r>
                    <w:rPr>
                      <w:b/>
                      <w:bCs/>
                      <w:color w:val="000000"/>
                      <w:highlight w:val="none"/>
                    </w:rPr>
                    <w:t>t/a</w:t>
                  </w:r>
                  <w:r>
                    <w:rPr>
                      <w:rFonts w:hint="eastAsia"/>
                      <w:b/>
                      <w:bCs/>
                      <w:color w:val="000000"/>
                      <w:highlight w:val="none"/>
                      <w:lang w:eastAsia="zh-CN"/>
                    </w:rPr>
                    <w:t>）</w:t>
                  </w:r>
                </w:p>
              </w:tc>
              <w:tc>
                <w:tcPr>
                  <w:tcW w:w="550" w:type="pct"/>
                  <w:tcBorders>
                    <w:tl2br w:val="nil"/>
                    <w:tr2bl w:val="nil"/>
                  </w:tcBorders>
                  <w:shd w:val="clear" w:color="auto" w:fill="auto"/>
                  <w:noWrap w:val="0"/>
                  <w:vAlign w:val="center"/>
                </w:tcPr>
                <w:p w14:paraId="17261014">
                  <w:pPr>
                    <w:shd w:val="clear" w:color="auto" w:fill="auto"/>
                    <w:bidi w:val="0"/>
                    <w:jc w:val="center"/>
                    <w:rPr>
                      <w:rFonts w:hint="eastAsia"/>
                      <w:b/>
                      <w:bCs/>
                      <w:color w:val="000000"/>
                      <w:highlight w:val="none"/>
                      <w:lang w:eastAsia="zh-CN"/>
                    </w:rPr>
                  </w:pPr>
                  <w:r>
                    <w:rPr>
                      <w:rFonts w:hint="eastAsia"/>
                      <w:b/>
                      <w:bCs/>
                      <w:color w:val="000000"/>
                      <w:highlight w:val="none"/>
                    </w:rPr>
                    <w:t>处置量</w:t>
                  </w:r>
                  <w:r>
                    <w:rPr>
                      <w:rFonts w:hint="eastAsia"/>
                      <w:b/>
                      <w:bCs/>
                      <w:color w:val="000000"/>
                      <w:highlight w:val="none"/>
                      <w:lang w:eastAsia="zh-CN"/>
                    </w:rPr>
                    <w:t>（</w:t>
                  </w:r>
                  <w:r>
                    <w:rPr>
                      <w:b/>
                      <w:bCs/>
                      <w:color w:val="000000"/>
                      <w:highlight w:val="none"/>
                    </w:rPr>
                    <w:t>t/a</w:t>
                  </w:r>
                  <w:r>
                    <w:rPr>
                      <w:rFonts w:hint="eastAsia"/>
                      <w:b/>
                      <w:bCs/>
                      <w:color w:val="000000"/>
                      <w:highlight w:val="none"/>
                      <w:lang w:eastAsia="zh-CN"/>
                    </w:rPr>
                    <w:t>）</w:t>
                  </w:r>
                </w:p>
              </w:tc>
              <w:tc>
                <w:tcPr>
                  <w:tcW w:w="1105" w:type="pct"/>
                  <w:tcBorders>
                    <w:tl2br w:val="nil"/>
                    <w:tr2bl w:val="nil"/>
                  </w:tcBorders>
                  <w:shd w:val="clear" w:color="auto" w:fill="auto"/>
                  <w:noWrap w:val="0"/>
                  <w:vAlign w:val="center"/>
                </w:tcPr>
                <w:p w14:paraId="45F77614">
                  <w:pPr>
                    <w:shd w:val="clear" w:color="auto" w:fill="auto"/>
                    <w:bidi w:val="0"/>
                    <w:jc w:val="center"/>
                    <w:rPr>
                      <w:b/>
                      <w:bCs/>
                      <w:color w:val="000000"/>
                      <w:highlight w:val="none"/>
                    </w:rPr>
                  </w:pPr>
                  <w:r>
                    <w:rPr>
                      <w:b/>
                      <w:bCs/>
                      <w:color w:val="000000"/>
                      <w:highlight w:val="none"/>
                    </w:rPr>
                    <w:t>排放/处理</w:t>
                  </w:r>
                </w:p>
                <w:p w14:paraId="06C0B403">
                  <w:pPr>
                    <w:shd w:val="clear" w:color="auto" w:fill="auto"/>
                    <w:bidi w:val="0"/>
                    <w:jc w:val="center"/>
                    <w:rPr>
                      <w:b/>
                      <w:bCs/>
                      <w:color w:val="000000"/>
                      <w:highlight w:val="none"/>
                    </w:rPr>
                  </w:pPr>
                  <w:r>
                    <w:rPr>
                      <w:b/>
                      <w:bCs/>
                      <w:color w:val="000000"/>
                      <w:highlight w:val="none"/>
                    </w:rPr>
                    <w:t>方式</w:t>
                  </w:r>
                </w:p>
              </w:tc>
              <w:tc>
                <w:tcPr>
                  <w:tcW w:w="673" w:type="pct"/>
                  <w:tcBorders>
                    <w:tl2br w:val="nil"/>
                    <w:tr2bl w:val="nil"/>
                  </w:tcBorders>
                  <w:shd w:val="clear" w:color="auto" w:fill="auto"/>
                  <w:noWrap w:val="0"/>
                  <w:vAlign w:val="center"/>
                </w:tcPr>
                <w:p w14:paraId="51446EDD">
                  <w:pPr>
                    <w:shd w:val="clear" w:color="auto" w:fill="auto"/>
                    <w:bidi w:val="0"/>
                    <w:jc w:val="center"/>
                    <w:rPr>
                      <w:rFonts w:hint="default"/>
                      <w:b/>
                      <w:bCs/>
                      <w:color w:val="000000"/>
                      <w:highlight w:val="none"/>
                      <w:lang w:val="en-US" w:eastAsia="zh-CN"/>
                    </w:rPr>
                  </w:pPr>
                  <w:r>
                    <w:rPr>
                      <w:rFonts w:hint="eastAsia"/>
                      <w:b/>
                      <w:bCs/>
                      <w:color w:val="000000"/>
                      <w:highlight w:val="none"/>
                      <w:lang w:val="en-US" w:eastAsia="zh-CN"/>
                    </w:rPr>
                    <w:t>处置率</w:t>
                  </w:r>
                </w:p>
              </w:tc>
            </w:tr>
            <w:tr w14:paraId="65DB4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2" w:hRule="atLeast"/>
              </w:trPr>
              <w:tc>
                <w:tcPr>
                  <w:tcW w:w="792" w:type="pct"/>
                  <w:tcBorders>
                    <w:tl2br w:val="nil"/>
                    <w:tr2bl w:val="nil"/>
                  </w:tcBorders>
                  <w:shd w:val="clear" w:color="auto" w:fill="auto"/>
                  <w:noWrap w:val="0"/>
                  <w:vAlign w:val="center"/>
                </w:tcPr>
                <w:p w14:paraId="6B433815">
                  <w:pPr>
                    <w:shd w:val="clear" w:color="auto" w:fill="auto"/>
                    <w:bidi w:val="0"/>
                    <w:jc w:val="center"/>
                    <w:rPr>
                      <w:rFonts w:hint="eastAsia"/>
                      <w:color w:val="000000"/>
                      <w:highlight w:val="none"/>
                      <w:lang w:val="en-US" w:eastAsia="zh-CN"/>
                    </w:rPr>
                  </w:pPr>
                  <w:r>
                    <w:rPr>
                      <w:rFonts w:hint="eastAsia"/>
                      <w:color w:val="000000"/>
                      <w:highlight w:val="none"/>
                      <w:lang w:val="en-US" w:eastAsia="zh-CN"/>
                    </w:rPr>
                    <w:t>生活</w:t>
                  </w:r>
                </w:p>
                <w:p w14:paraId="05EF3702">
                  <w:pPr>
                    <w:shd w:val="clear" w:color="auto" w:fill="auto"/>
                    <w:bidi w:val="0"/>
                    <w:jc w:val="center"/>
                    <w:rPr>
                      <w:color w:val="000000"/>
                      <w:highlight w:val="none"/>
                    </w:rPr>
                  </w:pPr>
                  <w:r>
                    <w:rPr>
                      <w:rFonts w:hint="eastAsia"/>
                      <w:color w:val="000000"/>
                      <w:highlight w:val="none"/>
                      <w:lang w:val="en-US" w:eastAsia="zh-CN"/>
                    </w:rPr>
                    <w:t>垃圾</w:t>
                  </w:r>
                </w:p>
              </w:tc>
              <w:tc>
                <w:tcPr>
                  <w:tcW w:w="466" w:type="pct"/>
                  <w:vMerge w:val="restart"/>
                  <w:tcBorders>
                    <w:tl2br w:val="nil"/>
                    <w:tr2bl w:val="nil"/>
                  </w:tcBorders>
                  <w:shd w:val="clear" w:color="auto" w:fill="auto"/>
                  <w:noWrap w:val="0"/>
                  <w:vAlign w:val="center"/>
                </w:tcPr>
                <w:p w14:paraId="799F7D34">
                  <w:pPr>
                    <w:shd w:val="clear" w:color="auto" w:fill="auto"/>
                    <w:bidi w:val="0"/>
                    <w:jc w:val="center"/>
                    <w:rPr>
                      <w:rFonts w:hint="eastAsia"/>
                      <w:color w:val="000000"/>
                      <w:highlight w:val="none"/>
                      <w:lang w:val="en-US" w:eastAsia="zh-CN"/>
                    </w:rPr>
                  </w:pPr>
                  <w:r>
                    <w:t>一般固体废物</w:t>
                  </w:r>
                </w:p>
              </w:tc>
              <w:tc>
                <w:tcPr>
                  <w:tcW w:w="874" w:type="pct"/>
                  <w:tcBorders>
                    <w:tl2br w:val="nil"/>
                    <w:tr2bl w:val="nil"/>
                  </w:tcBorders>
                  <w:shd w:val="clear" w:color="auto" w:fill="auto"/>
                  <w:noWrap w:val="0"/>
                  <w:vAlign w:val="center"/>
                </w:tcPr>
                <w:p w14:paraId="2A44C5DD">
                  <w:pPr>
                    <w:shd w:val="clear" w:color="auto" w:fill="auto"/>
                    <w:bidi w:val="0"/>
                    <w:jc w:val="center"/>
                    <w:rPr>
                      <w:rFonts w:hint="eastAsia"/>
                      <w:color w:val="000000"/>
                      <w:highlight w:val="none"/>
                      <w:lang w:val="en-US" w:eastAsia="zh-CN"/>
                    </w:rPr>
                  </w:pPr>
                  <w:r>
                    <w:rPr>
                      <w:rFonts w:hint="eastAsia"/>
                      <w:color w:val="000000"/>
                      <w:highlight w:val="none"/>
                      <w:lang w:val="en-US" w:eastAsia="zh-CN"/>
                    </w:rPr>
                    <w:t>/</w:t>
                  </w:r>
                </w:p>
              </w:tc>
              <w:tc>
                <w:tcPr>
                  <w:tcW w:w="537" w:type="pct"/>
                  <w:tcBorders>
                    <w:tl2br w:val="nil"/>
                    <w:tr2bl w:val="nil"/>
                  </w:tcBorders>
                  <w:shd w:val="clear" w:color="auto" w:fill="auto"/>
                  <w:noWrap w:val="0"/>
                  <w:vAlign w:val="center"/>
                </w:tcPr>
                <w:p w14:paraId="689A801A">
                  <w:pPr>
                    <w:shd w:val="clear" w:color="auto" w:fill="auto"/>
                    <w:bidi w:val="0"/>
                    <w:jc w:val="center"/>
                    <w:rPr>
                      <w:rFonts w:hint="default"/>
                      <w:color w:val="000000"/>
                      <w:highlight w:val="none"/>
                      <w:lang w:val="en-US" w:eastAsia="zh-CN"/>
                    </w:rPr>
                  </w:pPr>
                  <w:r>
                    <w:rPr>
                      <w:rFonts w:hint="eastAsia"/>
                      <w:color w:val="000000"/>
                      <w:highlight w:val="none"/>
                      <w:lang w:val="en-US" w:eastAsia="zh-CN"/>
                    </w:rPr>
                    <w:t>3.96</w:t>
                  </w:r>
                </w:p>
              </w:tc>
              <w:tc>
                <w:tcPr>
                  <w:tcW w:w="550" w:type="pct"/>
                  <w:tcBorders>
                    <w:tl2br w:val="nil"/>
                    <w:tr2bl w:val="nil"/>
                  </w:tcBorders>
                  <w:shd w:val="clear" w:color="auto" w:fill="auto"/>
                  <w:noWrap w:val="0"/>
                  <w:vAlign w:val="center"/>
                </w:tcPr>
                <w:p w14:paraId="469CD88B">
                  <w:pPr>
                    <w:shd w:val="clear" w:color="auto" w:fill="auto"/>
                    <w:bidi w:val="0"/>
                    <w:jc w:val="center"/>
                    <w:rPr>
                      <w:rFonts w:hint="default"/>
                      <w:color w:val="000000"/>
                      <w:highlight w:val="none"/>
                      <w:lang w:val="en-US" w:eastAsia="zh-CN"/>
                    </w:rPr>
                  </w:pPr>
                  <w:r>
                    <w:rPr>
                      <w:rFonts w:hint="eastAsia"/>
                      <w:color w:val="000000"/>
                      <w:highlight w:val="none"/>
                      <w:lang w:val="en-US" w:eastAsia="zh-CN"/>
                    </w:rPr>
                    <w:t>3.96</w:t>
                  </w:r>
                </w:p>
              </w:tc>
              <w:tc>
                <w:tcPr>
                  <w:tcW w:w="1105" w:type="pct"/>
                  <w:tcBorders>
                    <w:tl2br w:val="nil"/>
                    <w:tr2bl w:val="nil"/>
                  </w:tcBorders>
                  <w:shd w:val="clear" w:color="auto" w:fill="auto"/>
                  <w:noWrap w:val="0"/>
                  <w:vAlign w:val="center"/>
                </w:tcPr>
                <w:p w14:paraId="48808DFC">
                  <w:pPr>
                    <w:shd w:val="clear" w:color="auto" w:fill="auto"/>
                    <w:bidi w:val="0"/>
                    <w:jc w:val="center"/>
                    <w:rPr>
                      <w:rFonts w:hint="eastAsia" w:eastAsia="宋体"/>
                      <w:color w:val="000000"/>
                      <w:highlight w:val="none"/>
                      <w:lang w:eastAsia="zh-CN"/>
                    </w:rPr>
                  </w:pPr>
                  <w:r>
                    <w:rPr>
                      <w:color w:val="000000"/>
                      <w:highlight w:val="none"/>
                    </w:rPr>
                    <w:t>由环卫部门定期清运</w:t>
                  </w:r>
                  <w:r>
                    <w:rPr>
                      <w:rFonts w:hint="eastAsia"/>
                      <w:lang w:eastAsia="zh-CN"/>
                    </w:rPr>
                    <w:t>。</w:t>
                  </w:r>
                </w:p>
              </w:tc>
              <w:tc>
                <w:tcPr>
                  <w:tcW w:w="673" w:type="pct"/>
                  <w:tcBorders>
                    <w:tl2br w:val="nil"/>
                    <w:tr2bl w:val="nil"/>
                  </w:tcBorders>
                  <w:shd w:val="clear" w:color="auto" w:fill="auto"/>
                  <w:noWrap w:val="0"/>
                  <w:vAlign w:val="center"/>
                </w:tcPr>
                <w:p w14:paraId="4A3CC1BD">
                  <w:pPr>
                    <w:shd w:val="clear" w:color="auto" w:fill="auto"/>
                    <w:bidi w:val="0"/>
                    <w:jc w:val="center"/>
                    <w:rPr>
                      <w:rFonts w:hint="default"/>
                      <w:color w:val="000000"/>
                      <w:highlight w:val="none"/>
                      <w:lang w:val="en-US" w:eastAsia="zh-CN"/>
                    </w:rPr>
                  </w:pPr>
                  <w:r>
                    <w:rPr>
                      <w:rFonts w:hint="eastAsia"/>
                      <w:color w:val="000000"/>
                      <w:highlight w:val="none"/>
                      <w:lang w:val="en-US" w:eastAsia="zh-CN"/>
                    </w:rPr>
                    <w:t>100%</w:t>
                  </w:r>
                </w:p>
              </w:tc>
            </w:tr>
            <w:tr w14:paraId="66F21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2" w:hRule="atLeast"/>
              </w:trPr>
              <w:tc>
                <w:tcPr>
                  <w:tcW w:w="792" w:type="pct"/>
                  <w:tcBorders>
                    <w:tl2br w:val="nil"/>
                    <w:tr2bl w:val="nil"/>
                  </w:tcBorders>
                  <w:shd w:val="clear" w:color="auto" w:fill="auto"/>
                  <w:noWrap w:val="0"/>
                  <w:vAlign w:val="center"/>
                </w:tcPr>
                <w:p w14:paraId="425BB238">
                  <w:pPr>
                    <w:shd w:val="clear" w:color="auto" w:fill="auto"/>
                    <w:bidi w:val="0"/>
                    <w:jc w:val="center"/>
                    <w:rPr>
                      <w:rFonts w:hint="default"/>
                      <w:color w:val="auto"/>
                      <w:highlight w:val="none"/>
                      <w:lang w:val="en-US" w:eastAsia="zh-CN"/>
                    </w:rPr>
                  </w:pPr>
                  <w:r>
                    <w:rPr>
                      <w:rFonts w:hint="eastAsia"/>
                      <w:color w:val="auto"/>
                      <w:highlight w:val="none"/>
                      <w:lang w:val="en-US" w:eastAsia="zh-CN"/>
                    </w:rPr>
                    <w:t>食堂废油脂</w:t>
                  </w:r>
                </w:p>
              </w:tc>
              <w:tc>
                <w:tcPr>
                  <w:tcW w:w="466" w:type="pct"/>
                  <w:vMerge w:val="continue"/>
                  <w:tcBorders>
                    <w:tl2br w:val="nil"/>
                    <w:tr2bl w:val="nil"/>
                  </w:tcBorders>
                  <w:shd w:val="clear" w:color="auto" w:fill="auto"/>
                  <w:noWrap w:val="0"/>
                  <w:vAlign w:val="center"/>
                </w:tcPr>
                <w:p w14:paraId="3CFC3CF8">
                  <w:pPr>
                    <w:shd w:val="clear" w:color="auto" w:fill="auto"/>
                    <w:bidi w:val="0"/>
                    <w:jc w:val="center"/>
                    <w:rPr>
                      <w:rFonts w:hint="eastAsia"/>
                      <w:color w:val="auto"/>
                      <w:highlight w:val="none"/>
                      <w:lang w:val="en-US" w:eastAsia="zh-CN"/>
                    </w:rPr>
                  </w:pPr>
                </w:p>
              </w:tc>
              <w:tc>
                <w:tcPr>
                  <w:tcW w:w="874" w:type="pct"/>
                  <w:tcBorders>
                    <w:tl2br w:val="nil"/>
                    <w:tr2bl w:val="nil"/>
                  </w:tcBorders>
                  <w:shd w:val="clear" w:color="auto" w:fill="auto"/>
                  <w:noWrap w:val="0"/>
                  <w:vAlign w:val="center"/>
                </w:tcPr>
                <w:p w14:paraId="6048AD01">
                  <w:pPr>
                    <w:shd w:val="clear" w:color="auto" w:fill="auto"/>
                    <w:bidi w:val="0"/>
                    <w:jc w:val="center"/>
                    <w:rPr>
                      <w:rFonts w:hint="eastAsia"/>
                      <w:color w:val="auto"/>
                      <w:highlight w:val="none"/>
                      <w:lang w:val="en-US" w:eastAsia="zh-CN"/>
                    </w:rPr>
                  </w:pPr>
                  <w:r>
                    <w:rPr>
                      <w:rFonts w:hint="eastAsia"/>
                      <w:color w:val="auto"/>
                      <w:highlight w:val="none"/>
                      <w:lang w:val="en-US" w:eastAsia="zh-CN"/>
                    </w:rPr>
                    <w:t>/</w:t>
                  </w:r>
                </w:p>
              </w:tc>
              <w:tc>
                <w:tcPr>
                  <w:tcW w:w="537" w:type="pct"/>
                  <w:tcBorders>
                    <w:tl2br w:val="nil"/>
                    <w:tr2bl w:val="nil"/>
                  </w:tcBorders>
                  <w:shd w:val="clear" w:color="auto" w:fill="auto"/>
                  <w:noWrap w:val="0"/>
                  <w:vAlign w:val="center"/>
                </w:tcPr>
                <w:p w14:paraId="37544F59">
                  <w:pPr>
                    <w:shd w:val="clear" w:color="auto" w:fill="auto"/>
                    <w:bidi w:val="0"/>
                    <w:jc w:val="center"/>
                    <w:rPr>
                      <w:rFonts w:hint="default"/>
                      <w:color w:val="auto"/>
                      <w:highlight w:val="none"/>
                      <w:lang w:val="en-US" w:eastAsia="zh-CN"/>
                    </w:rPr>
                  </w:pPr>
                  <w:r>
                    <w:rPr>
                      <w:rFonts w:hint="eastAsia"/>
                      <w:color w:val="auto"/>
                      <w:highlight w:val="none"/>
                      <w:lang w:val="en-US" w:eastAsia="zh-CN"/>
                    </w:rPr>
                    <w:t>0.0225</w:t>
                  </w:r>
                </w:p>
              </w:tc>
              <w:tc>
                <w:tcPr>
                  <w:tcW w:w="550" w:type="pct"/>
                  <w:tcBorders>
                    <w:tl2br w:val="nil"/>
                    <w:tr2bl w:val="nil"/>
                  </w:tcBorders>
                  <w:shd w:val="clear" w:color="auto" w:fill="auto"/>
                  <w:noWrap w:val="0"/>
                  <w:vAlign w:val="center"/>
                </w:tcPr>
                <w:p w14:paraId="4486C54C">
                  <w:pPr>
                    <w:shd w:val="clear" w:color="auto" w:fill="auto"/>
                    <w:bidi w:val="0"/>
                    <w:jc w:val="center"/>
                    <w:rPr>
                      <w:rFonts w:hint="default"/>
                      <w:color w:val="auto"/>
                      <w:highlight w:val="none"/>
                      <w:lang w:val="en-US" w:eastAsia="zh-CN"/>
                    </w:rPr>
                  </w:pPr>
                  <w:r>
                    <w:rPr>
                      <w:rFonts w:hint="eastAsia"/>
                      <w:color w:val="auto"/>
                      <w:highlight w:val="none"/>
                      <w:lang w:val="en-US" w:eastAsia="zh-CN"/>
                    </w:rPr>
                    <w:t>0.0225</w:t>
                  </w:r>
                </w:p>
              </w:tc>
              <w:tc>
                <w:tcPr>
                  <w:tcW w:w="1105" w:type="pct"/>
                  <w:tcBorders>
                    <w:tl2br w:val="nil"/>
                    <w:tr2bl w:val="nil"/>
                  </w:tcBorders>
                  <w:shd w:val="clear" w:color="auto" w:fill="auto"/>
                  <w:noWrap w:val="0"/>
                  <w:vAlign w:val="center"/>
                </w:tcPr>
                <w:p w14:paraId="422B0ABE">
                  <w:pPr>
                    <w:shd w:val="clear" w:color="auto" w:fill="auto"/>
                    <w:bidi w:val="0"/>
                    <w:jc w:val="center"/>
                    <w:rPr>
                      <w:rFonts w:hint="eastAsia" w:eastAsia="宋体"/>
                      <w:color w:val="auto"/>
                      <w:highlight w:val="none"/>
                      <w:lang w:eastAsia="zh-CN"/>
                    </w:rPr>
                  </w:pPr>
                  <w:r>
                    <w:rPr>
                      <w:rFonts w:hint="eastAsia" w:ascii="Times New Roman" w:hAnsi="Times New Roman" w:cs="Times New Roman"/>
                      <w:b w:val="0"/>
                      <w:bCs w:val="0"/>
                      <w:color w:val="auto"/>
                      <w:sz w:val="21"/>
                      <w:szCs w:val="21"/>
                      <w:highlight w:val="none"/>
                      <w:lang w:val="en-US" w:eastAsia="zh-CN"/>
                    </w:rPr>
                    <w:t>专用容器收集</w:t>
                  </w:r>
                  <w:r>
                    <w:rPr>
                      <w:rFonts w:hint="eastAsia" w:cs="Times New Roman"/>
                      <w:b w:val="0"/>
                      <w:bCs w:val="0"/>
                      <w:color w:val="auto"/>
                      <w:sz w:val="21"/>
                      <w:szCs w:val="21"/>
                      <w:highlight w:val="none"/>
                      <w:lang w:val="en-US" w:eastAsia="zh-CN"/>
                    </w:rPr>
                    <w:t>后</w:t>
                  </w:r>
                  <w:r>
                    <w:rPr>
                      <w:rFonts w:hint="eastAsia" w:ascii="Times New Roman" w:hAnsi="Times New Roman" w:cs="Times New Roman"/>
                      <w:b w:val="0"/>
                      <w:bCs w:val="0"/>
                      <w:color w:val="auto"/>
                      <w:sz w:val="21"/>
                      <w:szCs w:val="21"/>
                      <w:highlight w:val="none"/>
                      <w:lang w:val="en-US" w:eastAsia="zh-CN"/>
                    </w:rPr>
                    <w:t>交有资质的回收部门回收处置</w:t>
                  </w:r>
                  <w:r>
                    <w:rPr>
                      <w:rFonts w:hint="eastAsia"/>
                      <w:lang w:eastAsia="zh-CN"/>
                    </w:rPr>
                    <w:t>。</w:t>
                  </w:r>
                </w:p>
              </w:tc>
              <w:tc>
                <w:tcPr>
                  <w:tcW w:w="673" w:type="pct"/>
                  <w:tcBorders>
                    <w:tl2br w:val="nil"/>
                    <w:tr2bl w:val="nil"/>
                  </w:tcBorders>
                  <w:shd w:val="clear" w:color="auto" w:fill="auto"/>
                  <w:noWrap w:val="0"/>
                  <w:vAlign w:val="center"/>
                </w:tcPr>
                <w:p w14:paraId="3A4FD5B2">
                  <w:pPr>
                    <w:shd w:val="clear" w:color="auto" w:fill="auto"/>
                    <w:bidi w:val="0"/>
                    <w:jc w:val="center"/>
                    <w:rPr>
                      <w:rFonts w:hint="eastAsia"/>
                      <w:color w:val="auto"/>
                      <w:highlight w:val="none"/>
                      <w:lang w:val="en-US" w:eastAsia="zh-CN"/>
                    </w:rPr>
                  </w:pPr>
                  <w:r>
                    <w:rPr>
                      <w:rFonts w:hint="eastAsia"/>
                      <w:color w:val="auto"/>
                      <w:highlight w:val="none"/>
                      <w:lang w:val="en-US" w:eastAsia="zh-CN"/>
                    </w:rPr>
                    <w:t>100%</w:t>
                  </w:r>
                </w:p>
              </w:tc>
            </w:tr>
            <w:tr w14:paraId="645C1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1" w:hRule="atLeast"/>
              </w:trPr>
              <w:tc>
                <w:tcPr>
                  <w:tcW w:w="792" w:type="pct"/>
                  <w:tcBorders>
                    <w:tl2br w:val="nil"/>
                    <w:tr2bl w:val="nil"/>
                  </w:tcBorders>
                  <w:shd w:val="clear" w:color="auto" w:fill="auto"/>
                  <w:noWrap w:val="0"/>
                  <w:vAlign w:val="center"/>
                </w:tcPr>
                <w:p w14:paraId="5BFF354D">
                  <w:pPr>
                    <w:shd w:val="clear" w:color="auto" w:fill="auto"/>
                    <w:bidi w:val="0"/>
                    <w:jc w:val="center"/>
                    <w:rPr>
                      <w:rFonts w:hint="eastAsia"/>
                      <w:color w:val="auto"/>
                      <w:highlight w:val="none"/>
                      <w:lang w:val="en-US" w:eastAsia="zh-CN"/>
                    </w:rPr>
                  </w:pPr>
                  <w:r>
                    <w:rPr>
                      <w:rFonts w:hint="eastAsia"/>
                      <w:color w:val="auto"/>
                      <w:highlight w:val="none"/>
                      <w:lang w:val="en-US" w:eastAsia="zh-CN"/>
                    </w:rPr>
                    <w:t>酒糟</w:t>
                  </w:r>
                </w:p>
              </w:tc>
              <w:tc>
                <w:tcPr>
                  <w:tcW w:w="466" w:type="pct"/>
                  <w:vMerge w:val="continue"/>
                  <w:tcBorders>
                    <w:tl2br w:val="nil"/>
                    <w:tr2bl w:val="nil"/>
                  </w:tcBorders>
                  <w:shd w:val="clear" w:color="auto" w:fill="auto"/>
                  <w:noWrap w:val="0"/>
                  <w:vAlign w:val="center"/>
                </w:tcPr>
                <w:p w14:paraId="5FFDAF48">
                  <w:pPr>
                    <w:shd w:val="clear" w:color="auto" w:fill="auto"/>
                    <w:bidi w:val="0"/>
                    <w:jc w:val="center"/>
                    <w:rPr>
                      <w:rFonts w:hint="eastAsia"/>
                      <w:color w:val="000000"/>
                      <w:highlight w:val="none"/>
                      <w:lang w:val="en-US" w:eastAsia="zh-CN"/>
                    </w:rPr>
                  </w:pPr>
                </w:p>
              </w:tc>
              <w:tc>
                <w:tcPr>
                  <w:tcW w:w="874" w:type="pct"/>
                  <w:tcBorders>
                    <w:tl2br w:val="nil"/>
                    <w:tr2bl w:val="nil"/>
                  </w:tcBorders>
                  <w:shd w:val="clear" w:color="auto" w:fill="auto"/>
                  <w:noWrap w:val="0"/>
                  <w:vAlign w:val="center"/>
                </w:tcPr>
                <w:p w14:paraId="7EFD88CF">
                  <w:pPr>
                    <w:shd w:val="clear" w:color="auto" w:fill="auto"/>
                    <w:bidi w:val="0"/>
                    <w:jc w:val="center"/>
                    <w:rPr>
                      <w:color w:val="auto"/>
                      <w:highlight w:val="none"/>
                    </w:rPr>
                  </w:pPr>
                  <w:r>
                    <w:rPr>
                      <w:rFonts w:hint="eastAsia"/>
                      <w:color w:val="auto"/>
                      <w:highlight w:val="none"/>
                    </w:rPr>
                    <w:t>151-002-13</w:t>
                  </w:r>
                </w:p>
              </w:tc>
              <w:tc>
                <w:tcPr>
                  <w:tcW w:w="537" w:type="pct"/>
                  <w:tcBorders>
                    <w:tl2br w:val="nil"/>
                    <w:tr2bl w:val="nil"/>
                  </w:tcBorders>
                  <w:shd w:val="clear" w:color="auto" w:fill="auto"/>
                  <w:noWrap w:val="0"/>
                  <w:vAlign w:val="center"/>
                </w:tcPr>
                <w:p w14:paraId="0DE1DB7E">
                  <w:pPr>
                    <w:shd w:val="clear" w:color="auto" w:fill="auto"/>
                    <w:bidi w:val="0"/>
                    <w:jc w:val="center"/>
                    <w:rPr>
                      <w:rFonts w:hint="default"/>
                      <w:color w:val="auto"/>
                      <w:highlight w:val="none"/>
                      <w:lang w:val="en-US" w:eastAsia="zh-CN"/>
                    </w:rPr>
                  </w:pPr>
                  <w:r>
                    <w:rPr>
                      <w:rFonts w:hint="eastAsia" w:ascii="Times New Roman" w:hAnsi="Times New Roman" w:eastAsia="宋体" w:cs="Times New Roman"/>
                      <w:color w:val="auto"/>
                      <w:szCs w:val="21"/>
                      <w:highlight w:val="none"/>
                      <w:lang w:val="en-US" w:eastAsia="zh-CN"/>
                    </w:rPr>
                    <w:t>4571.437</w:t>
                  </w:r>
                </w:p>
              </w:tc>
              <w:tc>
                <w:tcPr>
                  <w:tcW w:w="550" w:type="pct"/>
                  <w:tcBorders>
                    <w:tl2br w:val="nil"/>
                    <w:tr2bl w:val="nil"/>
                  </w:tcBorders>
                  <w:shd w:val="clear" w:color="auto" w:fill="auto"/>
                  <w:noWrap w:val="0"/>
                  <w:vAlign w:val="center"/>
                </w:tcPr>
                <w:p w14:paraId="6442256F">
                  <w:pPr>
                    <w:shd w:val="clear" w:color="auto" w:fill="auto"/>
                    <w:bidi w:val="0"/>
                    <w:jc w:val="center"/>
                    <w:rPr>
                      <w:rFonts w:hint="default"/>
                      <w:color w:val="auto"/>
                      <w:highlight w:val="none"/>
                      <w:lang w:val="en-US" w:eastAsia="zh-CN"/>
                    </w:rPr>
                  </w:pPr>
                  <w:r>
                    <w:rPr>
                      <w:rFonts w:hint="eastAsia" w:ascii="Times New Roman" w:hAnsi="Times New Roman" w:eastAsia="宋体" w:cs="Times New Roman"/>
                      <w:color w:val="auto"/>
                      <w:szCs w:val="21"/>
                      <w:highlight w:val="none"/>
                      <w:lang w:val="en-US" w:eastAsia="zh-CN"/>
                    </w:rPr>
                    <w:t>4571.437</w:t>
                  </w:r>
                </w:p>
              </w:tc>
              <w:tc>
                <w:tcPr>
                  <w:tcW w:w="1105" w:type="pct"/>
                  <w:vMerge w:val="restart"/>
                  <w:tcBorders>
                    <w:tl2br w:val="nil"/>
                    <w:tr2bl w:val="nil"/>
                  </w:tcBorders>
                  <w:shd w:val="clear" w:color="auto" w:fill="auto"/>
                  <w:noWrap w:val="0"/>
                  <w:vAlign w:val="center"/>
                </w:tcPr>
                <w:p w14:paraId="3F57D883">
                  <w:pPr>
                    <w:shd w:val="clear" w:color="auto" w:fill="auto"/>
                    <w:bidi w:val="0"/>
                    <w:jc w:val="center"/>
                    <w:rPr>
                      <w:rFonts w:hint="default"/>
                      <w:color w:val="auto"/>
                      <w:highlight w:val="none"/>
                      <w:lang w:val="en-US" w:eastAsia="zh-CN"/>
                    </w:rPr>
                  </w:pPr>
                  <w:r>
                    <w:rPr>
                      <w:rFonts w:hint="eastAsia"/>
                      <w:color w:val="auto"/>
                      <w:highlight w:val="none"/>
                      <w:lang w:val="en-US" w:eastAsia="zh-CN"/>
                    </w:rPr>
                    <w:t>外售饲料厂综合利用</w:t>
                  </w:r>
                </w:p>
              </w:tc>
              <w:tc>
                <w:tcPr>
                  <w:tcW w:w="673" w:type="pct"/>
                  <w:vMerge w:val="restart"/>
                  <w:tcBorders>
                    <w:tl2br w:val="nil"/>
                    <w:tr2bl w:val="nil"/>
                  </w:tcBorders>
                  <w:shd w:val="clear" w:color="auto" w:fill="auto"/>
                  <w:noWrap w:val="0"/>
                  <w:vAlign w:val="center"/>
                </w:tcPr>
                <w:p w14:paraId="69777432">
                  <w:pPr>
                    <w:shd w:val="clear" w:color="auto" w:fill="auto"/>
                    <w:bidi w:val="0"/>
                    <w:jc w:val="center"/>
                    <w:rPr>
                      <w:rFonts w:hint="eastAsia"/>
                      <w:color w:val="000000"/>
                      <w:highlight w:val="none"/>
                    </w:rPr>
                  </w:pPr>
                  <w:r>
                    <w:rPr>
                      <w:rFonts w:hint="eastAsia"/>
                      <w:color w:val="000000"/>
                      <w:highlight w:val="none"/>
                      <w:lang w:val="en-US" w:eastAsia="zh-CN"/>
                    </w:rPr>
                    <w:t>100%</w:t>
                  </w:r>
                </w:p>
              </w:tc>
            </w:tr>
            <w:tr w14:paraId="31EA0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792" w:type="pct"/>
                  <w:tcBorders>
                    <w:tl2br w:val="nil"/>
                    <w:tr2bl w:val="nil"/>
                  </w:tcBorders>
                  <w:shd w:val="clear" w:color="auto" w:fill="auto"/>
                  <w:noWrap w:val="0"/>
                  <w:vAlign w:val="center"/>
                </w:tcPr>
                <w:p w14:paraId="5FCA2DE4">
                  <w:pPr>
                    <w:shd w:val="clear" w:color="auto" w:fill="auto"/>
                    <w:bidi w:val="0"/>
                    <w:jc w:val="center"/>
                    <w:rPr>
                      <w:rFonts w:hint="eastAsia"/>
                      <w:color w:val="auto"/>
                      <w:highlight w:val="none"/>
                      <w:lang w:val="en-US" w:eastAsia="zh-CN"/>
                    </w:rPr>
                  </w:pPr>
                  <w:r>
                    <w:rPr>
                      <w:rFonts w:hint="eastAsia"/>
                      <w:color w:val="auto"/>
                      <w:highlight w:val="none"/>
                      <w:lang w:val="en-US" w:eastAsia="zh-CN"/>
                    </w:rPr>
                    <w:t>布袋除尘器收集粉尘</w:t>
                  </w:r>
                </w:p>
              </w:tc>
              <w:tc>
                <w:tcPr>
                  <w:tcW w:w="466" w:type="pct"/>
                  <w:vMerge w:val="continue"/>
                  <w:tcBorders>
                    <w:tl2br w:val="nil"/>
                    <w:tr2bl w:val="nil"/>
                  </w:tcBorders>
                  <w:shd w:val="clear" w:color="auto" w:fill="auto"/>
                  <w:noWrap w:val="0"/>
                  <w:vAlign w:val="center"/>
                </w:tcPr>
                <w:p w14:paraId="192C6A02">
                  <w:pPr>
                    <w:shd w:val="clear" w:color="auto" w:fill="auto"/>
                    <w:bidi w:val="0"/>
                    <w:jc w:val="center"/>
                    <w:rPr>
                      <w:rFonts w:hint="eastAsia"/>
                      <w:color w:val="000000"/>
                      <w:highlight w:val="none"/>
                      <w:lang w:val="en-US" w:eastAsia="zh-CN"/>
                    </w:rPr>
                  </w:pPr>
                </w:p>
              </w:tc>
              <w:tc>
                <w:tcPr>
                  <w:tcW w:w="874" w:type="pct"/>
                  <w:tcBorders>
                    <w:tl2br w:val="nil"/>
                    <w:tr2bl w:val="nil"/>
                  </w:tcBorders>
                  <w:shd w:val="clear" w:color="auto" w:fill="auto"/>
                  <w:noWrap w:val="0"/>
                  <w:vAlign w:val="center"/>
                </w:tcPr>
                <w:p w14:paraId="1BA9A42B">
                  <w:pPr>
                    <w:shd w:val="clear" w:color="auto" w:fill="auto"/>
                    <w:bidi w:val="0"/>
                    <w:jc w:val="center"/>
                    <w:rPr>
                      <w:rFonts w:hint="eastAsia"/>
                      <w:color w:val="000000"/>
                      <w:highlight w:val="none"/>
                      <w:lang w:val="en-US" w:eastAsia="zh-CN"/>
                    </w:rPr>
                  </w:pPr>
                  <w:r>
                    <w:rPr>
                      <w:rFonts w:hint="default"/>
                      <w:color w:val="000000"/>
                      <w:highlight w:val="none"/>
                      <w:lang w:val="en-US" w:eastAsia="zh-CN"/>
                    </w:rPr>
                    <w:t>900-999-66</w:t>
                  </w:r>
                </w:p>
              </w:tc>
              <w:tc>
                <w:tcPr>
                  <w:tcW w:w="537" w:type="pct"/>
                  <w:tcBorders>
                    <w:tl2br w:val="nil"/>
                    <w:tr2bl w:val="nil"/>
                  </w:tcBorders>
                  <w:shd w:val="clear" w:color="auto" w:fill="auto"/>
                  <w:noWrap w:val="0"/>
                  <w:vAlign w:val="center"/>
                </w:tcPr>
                <w:p w14:paraId="0A810F5E">
                  <w:pPr>
                    <w:shd w:val="clear" w:color="auto" w:fill="auto"/>
                    <w:bidi w:val="0"/>
                    <w:jc w:val="center"/>
                    <w:rPr>
                      <w:rFonts w:hint="default"/>
                      <w:color w:val="000000"/>
                      <w:highlight w:val="none"/>
                      <w:lang w:val="en-US" w:eastAsia="zh-CN"/>
                    </w:rPr>
                  </w:pPr>
                  <w:r>
                    <w:rPr>
                      <w:rFonts w:hint="eastAsia" w:ascii="Times New Roman" w:hAnsi="Times New Roman" w:eastAsia="宋体" w:cs="Times New Roman"/>
                      <w:color w:val="000000"/>
                      <w:szCs w:val="21"/>
                      <w:highlight w:val="none"/>
                      <w:lang w:val="en-US" w:eastAsia="zh-CN"/>
                    </w:rPr>
                    <w:t>3.0495</w:t>
                  </w:r>
                </w:p>
              </w:tc>
              <w:tc>
                <w:tcPr>
                  <w:tcW w:w="550" w:type="pct"/>
                  <w:tcBorders>
                    <w:tl2br w:val="nil"/>
                    <w:tr2bl w:val="nil"/>
                  </w:tcBorders>
                  <w:shd w:val="clear" w:color="auto" w:fill="auto"/>
                  <w:noWrap w:val="0"/>
                  <w:vAlign w:val="center"/>
                </w:tcPr>
                <w:p w14:paraId="55965525">
                  <w:pPr>
                    <w:shd w:val="clear" w:color="auto" w:fill="auto"/>
                    <w:bidi w:val="0"/>
                    <w:jc w:val="center"/>
                    <w:rPr>
                      <w:rFonts w:hint="default"/>
                      <w:color w:val="000000"/>
                      <w:highlight w:val="none"/>
                      <w:lang w:val="en-US" w:eastAsia="zh-CN"/>
                    </w:rPr>
                  </w:pPr>
                  <w:r>
                    <w:rPr>
                      <w:rFonts w:hint="eastAsia" w:ascii="Times New Roman" w:hAnsi="Times New Roman" w:eastAsia="宋体" w:cs="Times New Roman"/>
                      <w:color w:val="000000"/>
                      <w:szCs w:val="21"/>
                      <w:highlight w:val="none"/>
                      <w:lang w:val="en-US" w:eastAsia="zh-CN"/>
                    </w:rPr>
                    <w:t>3.0495</w:t>
                  </w:r>
                </w:p>
              </w:tc>
              <w:tc>
                <w:tcPr>
                  <w:tcW w:w="1105" w:type="pct"/>
                  <w:vMerge w:val="continue"/>
                  <w:tcBorders>
                    <w:tl2br w:val="nil"/>
                    <w:tr2bl w:val="nil"/>
                  </w:tcBorders>
                  <w:shd w:val="clear" w:color="auto" w:fill="auto"/>
                  <w:noWrap w:val="0"/>
                  <w:vAlign w:val="center"/>
                </w:tcPr>
                <w:p w14:paraId="6890E05C">
                  <w:pPr>
                    <w:shd w:val="clear" w:color="auto" w:fill="auto"/>
                    <w:bidi w:val="0"/>
                    <w:jc w:val="center"/>
                    <w:rPr>
                      <w:rFonts w:hint="default"/>
                      <w:color w:val="000000"/>
                      <w:highlight w:val="none"/>
                      <w:lang w:val="en-US" w:eastAsia="zh-CN"/>
                    </w:rPr>
                  </w:pPr>
                </w:p>
              </w:tc>
              <w:tc>
                <w:tcPr>
                  <w:tcW w:w="673" w:type="pct"/>
                  <w:vMerge w:val="continue"/>
                  <w:tcBorders>
                    <w:tl2br w:val="nil"/>
                    <w:tr2bl w:val="nil"/>
                  </w:tcBorders>
                  <w:shd w:val="clear" w:color="auto" w:fill="auto"/>
                  <w:noWrap w:val="0"/>
                  <w:vAlign w:val="center"/>
                </w:tcPr>
                <w:p w14:paraId="0DE22F14">
                  <w:pPr>
                    <w:shd w:val="clear" w:color="auto" w:fill="auto"/>
                    <w:bidi w:val="0"/>
                    <w:jc w:val="center"/>
                    <w:rPr>
                      <w:rFonts w:hint="default"/>
                      <w:color w:val="000000"/>
                      <w:highlight w:val="none"/>
                      <w:lang w:val="en-US" w:eastAsia="zh-CN"/>
                    </w:rPr>
                  </w:pPr>
                </w:p>
              </w:tc>
            </w:tr>
            <w:tr w14:paraId="7C09D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2" w:hRule="atLeast"/>
              </w:trPr>
              <w:tc>
                <w:tcPr>
                  <w:tcW w:w="792" w:type="pct"/>
                  <w:tcBorders>
                    <w:tl2br w:val="nil"/>
                    <w:tr2bl w:val="nil"/>
                  </w:tcBorders>
                  <w:shd w:val="clear" w:color="auto" w:fill="auto"/>
                  <w:noWrap w:val="0"/>
                  <w:vAlign w:val="center"/>
                </w:tcPr>
                <w:p w14:paraId="3FA252ED">
                  <w:pPr>
                    <w:shd w:val="clear" w:color="auto" w:fill="auto"/>
                    <w:bidi w:val="0"/>
                    <w:jc w:val="center"/>
                    <w:rPr>
                      <w:rFonts w:hint="default"/>
                      <w:color w:val="000000"/>
                      <w:highlight w:val="none"/>
                      <w:lang w:val="en-US" w:eastAsia="zh-CN"/>
                    </w:rPr>
                  </w:pPr>
                  <w:r>
                    <w:rPr>
                      <w:rFonts w:hint="eastAsia"/>
                      <w:color w:val="000000"/>
                      <w:highlight w:val="none"/>
                      <w:lang w:val="en-US" w:eastAsia="zh-CN"/>
                    </w:rPr>
                    <w:t>废包装材料</w:t>
                  </w:r>
                </w:p>
              </w:tc>
              <w:tc>
                <w:tcPr>
                  <w:tcW w:w="466" w:type="pct"/>
                  <w:vMerge w:val="continue"/>
                  <w:tcBorders>
                    <w:tl2br w:val="nil"/>
                    <w:tr2bl w:val="nil"/>
                  </w:tcBorders>
                  <w:shd w:val="clear" w:color="auto" w:fill="auto"/>
                  <w:noWrap w:val="0"/>
                  <w:vAlign w:val="center"/>
                </w:tcPr>
                <w:p w14:paraId="132DA2BA">
                  <w:pPr>
                    <w:shd w:val="clear" w:color="auto" w:fill="auto"/>
                    <w:bidi w:val="0"/>
                    <w:jc w:val="center"/>
                    <w:rPr>
                      <w:rFonts w:hint="eastAsia"/>
                      <w:color w:val="000000"/>
                      <w:highlight w:val="none"/>
                      <w:lang w:val="en-US" w:eastAsia="zh-CN"/>
                    </w:rPr>
                  </w:pPr>
                </w:p>
              </w:tc>
              <w:tc>
                <w:tcPr>
                  <w:tcW w:w="874" w:type="pct"/>
                  <w:tcBorders>
                    <w:tl2br w:val="nil"/>
                    <w:tr2bl w:val="nil"/>
                  </w:tcBorders>
                  <w:shd w:val="clear" w:color="auto" w:fill="auto"/>
                  <w:noWrap w:val="0"/>
                  <w:vAlign w:val="center"/>
                </w:tcPr>
                <w:p w14:paraId="3B8FF8D4">
                  <w:pPr>
                    <w:shd w:val="clear" w:color="auto" w:fill="auto"/>
                    <w:bidi w:val="0"/>
                    <w:jc w:val="center"/>
                    <w:rPr>
                      <w:rFonts w:hint="eastAsia"/>
                      <w:color w:val="000000"/>
                      <w:highlight w:val="none"/>
                      <w:lang w:val="en-US" w:eastAsia="zh-CN"/>
                    </w:rPr>
                  </w:pPr>
                  <w:r>
                    <w:rPr>
                      <w:rFonts w:hint="default"/>
                      <w:color w:val="000000"/>
                      <w:highlight w:val="none"/>
                      <w:lang w:val="en-US" w:eastAsia="zh-CN"/>
                    </w:rPr>
                    <w:t>151-002-04</w:t>
                  </w:r>
                </w:p>
              </w:tc>
              <w:tc>
                <w:tcPr>
                  <w:tcW w:w="537" w:type="pct"/>
                  <w:tcBorders>
                    <w:tl2br w:val="nil"/>
                    <w:tr2bl w:val="nil"/>
                  </w:tcBorders>
                  <w:shd w:val="clear" w:color="auto" w:fill="auto"/>
                  <w:noWrap w:val="0"/>
                  <w:vAlign w:val="center"/>
                </w:tcPr>
                <w:p w14:paraId="154B72AA">
                  <w:pPr>
                    <w:shd w:val="clear" w:color="auto" w:fill="auto"/>
                    <w:bidi w:val="0"/>
                    <w:jc w:val="center"/>
                    <w:rPr>
                      <w:rFonts w:hint="default"/>
                      <w:color w:val="000000"/>
                      <w:highlight w:val="none"/>
                      <w:lang w:val="en-US" w:eastAsia="zh-CN"/>
                    </w:rPr>
                  </w:pPr>
                  <w:r>
                    <w:rPr>
                      <w:rFonts w:hint="default"/>
                      <w:color w:val="000000"/>
                      <w:highlight w:val="none"/>
                      <w:lang w:val="en-US" w:eastAsia="zh-CN"/>
                    </w:rPr>
                    <w:t>2.25</w:t>
                  </w:r>
                </w:p>
              </w:tc>
              <w:tc>
                <w:tcPr>
                  <w:tcW w:w="550" w:type="pct"/>
                  <w:tcBorders>
                    <w:tl2br w:val="nil"/>
                    <w:tr2bl w:val="nil"/>
                  </w:tcBorders>
                  <w:shd w:val="clear" w:color="auto" w:fill="auto"/>
                  <w:noWrap w:val="0"/>
                  <w:vAlign w:val="center"/>
                </w:tcPr>
                <w:p w14:paraId="40863A06">
                  <w:pPr>
                    <w:shd w:val="clear" w:color="auto" w:fill="auto"/>
                    <w:bidi w:val="0"/>
                    <w:jc w:val="center"/>
                    <w:rPr>
                      <w:rFonts w:hint="default"/>
                      <w:color w:val="000000"/>
                      <w:highlight w:val="none"/>
                      <w:lang w:val="en-US" w:eastAsia="zh-CN"/>
                    </w:rPr>
                  </w:pPr>
                  <w:r>
                    <w:rPr>
                      <w:rFonts w:hint="default"/>
                      <w:color w:val="000000"/>
                      <w:highlight w:val="none"/>
                      <w:lang w:val="en-US" w:eastAsia="zh-CN"/>
                    </w:rPr>
                    <w:t>2.25</w:t>
                  </w:r>
                </w:p>
              </w:tc>
              <w:tc>
                <w:tcPr>
                  <w:tcW w:w="1105" w:type="pct"/>
                  <w:tcBorders>
                    <w:tl2br w:val="nil"/>
                    <w:tr2bl w:val="nil"/>
                  </w:tcBorders>
                  <w:shd w:val="clear" w:color="auto" w:fill="auto"/>
                  <w:noWrap w:val="0"/>
                  <w:vAlign w:val="center"/>
                </w:tcPr>
                <w:p w14:paraId="6DE582DA">
                  <w:pPr>
                    <w:shd w:val="clear" w:color="auto" w:fill="auto"/>
                    <w:bidi w:val="0"/>
                    <w:jc w:val="center"/>
                    <w:rPr>
                      <w:rFonts w:hint="default"/>
                      <w:color w:val="000000"/>
                      <w:highlight w:val="none"/>
                      <w:lang w:val="en-US" w:eastAsia="zh-CN"/>
                    </w:rPr>
                  </w:pPr>
                  <w:r>
                    <w:rPr>
                      <w:rFonts w:hint="eastAsia"/>
                      <w:color w:val="000000"/>
                      <w:highlight w:val="none"/>
                      <w:lang w:val="en-US" w:eastAsia="zh-CN"/>
                    </w:rPr>
                    <w:t>外售物资回收部门</w:t>
                  </w:r>
                </w:p>
              </w:tc>
              <w:tc>
                <w:tcPr>
                  <w:tcW w:w="673" w:type="pct"/>
                  <w:vMerge w:val="continue"/>
                  <w:tcBorders>
                    <w:tl2br w:val="nil"/>
                    <w:tr2bl w:val="nil"/>
                  </w:tcBorders>
                  <w:shd w:val="clear" w:color="auto" w:fill="auto"/>
                  <w:noWrap w:val="0"/>
                  <w:vAlign w:val="center"/>
                </w:tcPr>
                <w:p w14:paraId="6D838C17">
                  <w:pPr>
                    <w:shd w:val="clear" w:color="auto" w:fill="auto"/>
                    <w:bidi w:val="0"/>
                    <w:jc w:val="center"/>
                    <w:rPr>
                      <w:rFonts w:hint="default"/>
                      <w:color w:val="000000"/>
                      <w:highlight w:val="none"/>
                      <w:lang w:val="en-US" w:eastAsia="zh-CN"/>
                    </w:rPr>
                  </w:pPr>
                </w:p>
              </w:tc>
            </w:tr>
            <w:tr w14:paraId="0A726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2" w:hRule="atLeast"/>
              </w:trPr>
              <w:tc>
                <w:tcPr>
                  <w:tcW w:w="792" w:type="pct"/>
                  <w:tcBorders>
                    <w:tl2br w:val="nil"/>
                    <w:tr2bl w:val="nil"/>
                  </w:tcBorders>
                  <w:shd w:val="clear" w:color="auto" w:fill="auto"/>
                  <w:noWrap w:val="0"/>
                  <w:vAlign w:val="center"/>
                </w:tcPr>
                <w:p w14:paraId="5E4C1239">
                  <w:pPr>
                    <w:shd w:val="clear" w:color="auto" w:fill="auto"/>
                    <w:bidi w:val="0"/>
                    <w:jc w:val="center"/>
                    <w:rPr>
                      <w:rFonts w:hint="eastAsia"/>
                      <w:color w:val="000000"/>
                      <w:highlight w:val="none"/>
                      <w:lang w:val="en-US" w:eastAsia="zh-CN"/>
                    </w:rPr>
                  </w:pPr>
                  <w:r>
                    <w:rPr>
                      <w:rFonts w:hint="eastAsia"/>
                      <w:color w:val="000000"/>
                      <w:highlight w:val="none"/>
                      <w:lang w:val="en-US" w:eastAsia="zh-CN"/>
                    </w:rPr>
                    <w:t>废滤芯</w:t>
                  </w:r>
                </w:p>
              </w:tc>
              <w:tc>
                <w:tcPr>
                  <w:tcW w:w="466" w:type="pct"/>
                  <w:vMerge w:val="continue"/>
                  <w:tcBorders>
                    <w:tl2br w:val="nil"/>
                    <w:tr2bl w:val="nil"/>
                  </w:tcBorders>
                  <w:shd w:val="clear" w:color="auto" w:fill="auto"/>
                  <w:noWrap w:val="0"/>
                  <w:vAlign w:val="center"/>
                </w:tcPr>
                <w:p w14:paraId="0C035E75">
                  <w:pPr>
                    <w:shd w:val="clear" w:color="auto" w:fill="auto"/>
                    <w:bidi w:val="0"/>
                    <w:jc w:val="center"/>
                    <w:rPr>
                      <w:rFonts w:hint="eastAsia"/>
                      <w:color w:val="000000"/>
                      <w:highlight w:val="none"/>
                      <w:lang w:val="en-US" w:eastAsia="zh-CN"/>
                    </w:rPr>
                  </w:pPr>
                </w:p>
              </w:tc>
              <w:tc>
                <w:tcPr>
                  <w:tcW w:w="874" w:type="pct"/>
                  <w:tcBorders>
                    <w:tl2br w:val="nil"/>
                    <w:tr2bl w:val="nil"/>
                  </w:tcBorders>
                  <w:shd w:val="clear" w:color="auto" w:fill="auto"/>
                  <w:noWrap w:val="0"/>
                  <w:vAlign w:val="center"/>
                </w:tcPr>
                <w:p w14:paraId="0C3183B0">
                  <w:pPr>
                    <w:shd w:val="clear" w:color="auto" w:fill="auto"/>
                    <w:bidi w:val="0"/>
                    <w:jc w:val="center"/>
                    <w:rPr>
                      <w:rFonts w:hint="eastAsia"/>
                      <w:color w:val="000000"/>
                      <w:highlight w:val="none"/>
                    </w:rPr>
                  </w:pPr>
                  <w:r>
                    <w:rPr>
                      <w:rFonts w:hint="default"/>
                      <w:color w:val="000000"/>
                      <w:highlight w:val="none"/>
                      <w:lang w:val="en-US" w:eastAsia="zh-CN"/>
                    </w:rPr>
                    <w:t>900-999-99</w:t>
                  </w:r>
                </w:p>
              </w:tc>
              <w:tc>
                <w:tcPr>
                  <w:tcW w:w="537" w:type="pct"/>
                  <w:tcBorders>
                    <w:tl2br w:val="nil"/>
                    <w:tr2bl w:val="nil"/>
                  </w:tcBorders>
                  <w:shd w:val="clear" w:color="auto" w:fill="auto"/>
                  <w:noWrap w:val="0"/>
                  <w:vAlign w:val="center"/>
                </w:tcPr>
                <w:p w14:paraId="072CCF9E">
                  <w:pPr>
                    <w:shd w:val="clear" w:color="auto" w:fill="auto"/>
                    <w:bidi w:val="0"/>
                    <w:jc w:val="center"/>
                    <w:rPr>
                      <w:rFonts w:hint="default"/>
                      <w:color w:val="000000"/>
                      <w:highlight w:val="none"/>
                      <w:lang w:val="en-US" w:eastAsia="zh-CN"/>
                    </w:rPr>
                  </w:pPr>
                  <w:r>
                    <w:rPr>
                      <w:rFonts w:hint="eastAsia"/>
                      <w:color w:val="000000"/>
                      <w:highlight w:val="none"/>
                      <w:lang w:val="en-US" w:eastAsia="zh-CN"/>
                    </w:rPr>
                    <w:t>0.03</w:t>
                  </w:r>
                </w:p>
              </w:tc>
              <w:tc>
                <w:tcPr>
                  <w:tcW w:w="550" w:type="pct"/>
                  <w:tcBorders>
                    <w:tl2br w:val="nil"/>
                    <w:tr2bl w:val="nil"/>
                  </w:tcBorders>
                  <w:shd w:val="clear" w:color="auto" w:fill="auto"/>
                  <w:noWrap w:val="0"/>
                  <w:vAlign w:val="center"/>
                </w:tcPr>
                <w:p w14:paraId="7C2466C9">
                  <w:pPr>
                    <w:shd w:val="clear" w:color="auto" w:fill="auto"/>
                    <w:bidi w:val="0"/>
                    <w:jc w:val="center"/>
                    <w:rPr>
                      <w:rFonts w:hint="eastAsia"/>
                      <w:color w:val="000000"/>
                      <w:highlight w:val="none"/>
                      <w:lang w:val="en-US" w:eastAsia="zh-CN"/>
                    </w:rPr>
                  </w:pPr>
                  <w:r>
                    <w:rPr>
                      <w:rFonts w:hint="eastAsia"/>
                      <w:color w:val="000000"/>
                      <w:highlight w:val="none"/>
                      <w:lang w:val="en-US" w:eastAsia="zh-CN"/>
                    </w:rPr>
                    <w:t>0.03</w:t>
                  </w:r>
                </w:p>
              </w:tc>
              <w:tc>
                <w:tcPr>
                  <w:tcW w:w="1105" w:type="pct"/>
                  <w:vMerge w:val="restart"/>
                  <w:tcBorders>
                    <w:tl2br w:val="nil"/>
                    <w:tr2bl w:val="nil"/>
                  </w:tcBorders>
                  <w:shd w:val="clear" w:color="auto" w:fill="auto"/>
                  <w:noWrap w:val="0"/>
                  <w:vAlign w:val="center"/>
                </w:tcPr>
                <w:p w14:paraId="4F9F20B1">
                  <w:pPr>
                    <w:shd w:val="clear" w:color="auto" w:fill="auto"/>
                    <w:bidi w:val="0"/>
                    <w:jc w:val="center"/>
                    <w:rPr>
                      <w:rFonts w:hint="default"/>
                      <w:color w:val="000000"/>
                      <w:highlight w:val="none"/>
                      <w:lang w:val="en-US" w:eastAsia="zh-CN"/>
                    </w:rPr>
                  </w:pPr>
                  <w:r>
                    <w:rPr>
                      <w:rFonts w:hint="eastAsia"/>
                      <w:color w:val="000000"/>
                      <w:highlight w:val="none"/>
                      <w:lang w:val="en-US" w:eastAsia="zh-CN"/>
                    </w:rPr>
                    <w:t>厂家更换后回收</w:t>
                  </w:r>
                </w:p>
              </w:tc>
              <w:tc>
                <w:tcPr>
                  <w:tcW w:w="673" w:type="pct"/>
                  <w:vMerge w:val="continue"/>
                  <w:tcBorders>
                    <w:tl2br w:val="nil"/>
                    <w:tr2bl w:val="nil"/>
                  </w:tcBorders>
                  <w:shd w:val="clear" w:color="auto" w:fill="auto"/>
                  <w:noWrap w:val="0"/>
                  <w:vAlign w:val="center"/>
                </w:tcPr>
                <w:p w14:paraId="23B7B407">
                  <w:pPr>
                    <w:shd w:val="clear" w:color="auto" w:fill="auto"/>
                    <w:bidi w:val="0"/>
                    <w:jc w:val="center"/>
                    <w:rPr>
                      <w:rFonts w:hint="default"/>
                      <w:color w:val="000000"/>
                      <w:highlight w:val="none"/>
                      <w:lang w:val="en-US" w:eastAsia="zh-CN"/>
                    </w:rPr>
                  </w:pPr>
                </w:p>
              </w:tc>
            </w:tr>
            <w:tr w14:paraId="6E5D7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2" w:hRule="atLeast"/>
              </w:trPr>
              <w:tc>
                <w:tcPr>
                  <w:tcW w:w="792" w:type="pct"/>
                  <w:tcBorders>
                    <w:tl2br w:val="nil"/>
                    <w:tr2bl w:val="nil"/>
                  </w:tcBorders>
                  <w:shd w:val="clear" w:color="auto" w:fill="auto"/>
                  <w:noWrap w:val="0"/>
                  <w:vAlign w:val="center"/>
                </w:tcPr>
                <w:p w14:paraId="343A4944">
                  <w:pPr>
                    <w:shd w:val="clear" w:color="auto" w:fill="auto"/>
                    <w:bidi w:val="0"/>
                    <w:jc w:val="center"/>
                    <w:rPr>
                      <w:rFonts w:hint="eastAsia"/>
                      <w:color w:val="000000"/>
                      <w:highlight w:val="none"/>
                      <w:lang w:val="en-US" w:eastAsia="zh-CN"/>
                    </w:rPr>
                  </w:pPr>
                  <w:r>
                    <w:rPr>
                      <w:rFonts w:hint="eastAsia"/>
                      <w:color w:val="000000"/>
                      <w:highlight w:val="none"/>
                      <w:lang w:val="en-US" w:eastAsia="zh-CN"/>
                    </w:rPr>
                    <w:t>废离子交换树脂</w:t>
                  </w:r>
                </w:p>
              </w:tc>
              <w:tc>
                <w:tcPr>
                  <w:tcW w:w="466" w:type="pct"/>
                  <w:vMerge w:val="continue"/>
                  <w:tcBorders>
                    <w:tl2br w:val="nil"/>
                    <w:tr2bl w:val="nil"/>
                  </w:tcBorders>
                  <w:shd w:val="clear" w:color="auto" w:fill="auto"/>
                  <w:noWrap w:val="0"/>
                  <w:vAlign w:val="center"/>
                </w:tcPr>
                <w:p w14:paraId="0E54B854">
                  <w:pPr>
                    <w:shd w:val="clear" w:color="auto" w:fill="auto"/>
                    <w:bidi w:val="0"/>
                    <w:jc w:val="center"/>
                    <w:rPr>
                      <w:rFonts w:hint="eastAsia"/>
                      <w:color w:val="000000"/>
                      <w:highlight w:val="none"/>
                      <w:lang w:val="en-US" w:eastAsia="zh-CN"/>
                    </w:rPr>
                  </w:pPr>
                </w:p>
              </w:tc>
              <w:tc>
                <w:tcPr>
                  <w:tcW w:w="874" w:type="pct"/>
                  <w:tcBorders>
                    <w:tl2br w:val="nil"/>
                    <w:tr2bl w:val="nil"/>
                  </w:tcBorders>
                  <w:shd w:val="clear" w:color="auto" w:fill="auto"/>
                  <w:noWrap w:val="0"/>
                  <w:vAlign w:val="center"/>
                </w:tcPr>
                <w:p w14:paraId="7B1129C6">
                  <w:pPr>
                    <w:shd w:val="clear" w:color="auto" w:fill="auto"/>
                    <w:bidi w:val="0"/>
                    <w:jc w:val="center"/>
                    <w:rPr>
                      <w:rFonts w:hint="eastAsia"/>
                      <w:color w:val="000000"/>
                      <w:highlight w:val="none"/>
                    </w:rPr>
                  </w:pPr>
                  <w:r>
                    <w:rPr>
                      <w:rFonts w:hint="default"/>
                      <w:color w:val="000000"/>
                      <w:highlight w:val="none"/>
                      <w:lang w:val="en-US" w:eastAsia="zh-CN"/>
                    </w:rPr>
                    <w:t>900-999-99</w:t>
                  </w:r>
                </w:p>
              </w:tc>
              <w:tc>
                <w:tcPr>
                  <w:tcW w:w="537" w:type="pct"/>
                  <w:tcBorders>
                    <w:tl2br w:val="nil"/>
                    <w:tr2bl w:val="nil"/>
                  </w:tcBorders>
                  <w:shd w:val="clear" w:color="auto" w:fill="auto"/>
                  <w:noWrap w:val="0"/>
                  <w:vAlign w:val="center"/>
                </w:tcPr>
                <w:p w14:paraId="04178F08">
                  <w:pPr>
                    <w:shd w:val="clear" w:color="auto" w:fill="auto"/>
                    <w:bidi w:val="0"/>
                    <w:jc w:val="center"/>
                    <w:rPr>
                      <w:rFonts w:hint="default"/>
                      <w:color w:val="000000"/>
                      <w:highlight w:val="none"/>
                      <w:lang w:val="en-US" w:eastAsia="zh-CN"/>
                    </w:rPr>
                  </w:pPr>
                  <w:r>
                    <w:rPr>
                      <w:rFonts w:hint="default"/>
                      <w:color w:val="000000"/>
                      <w:highlight w:val="none"/>
                      <w:lang w:val="en-US" w:eastAsia="zh-CN"/>
                    </w:rPr>
                    <w:t>0.3</w:t>
                  </w:r>
                </w:p>
              </w:tc>
              <w:tc>
                <w:tcPr>
                  <w:tcW w:w="550" w:type="pct"/>
                  <w:tcBorders>
                    <w:tl2br w:val="nil"/>
                    <w:tr2bl w:val="nil"/>
                  </w:tcBorders>
                  <w:shd w:val="clear" w:color="auto" w:fill="auto"/>
                  <w:noWrap w:val="0"/>
                  <w:vAlign w:val="center"/>
                </w:tcPr>
                <w:p w14:paraId="30CB8931">
                  <w:pPr>
                    <w:shd w:val="clear" w:color="auto" w:fill="auto"/>
                    <w:bidi w:val="0"/>
                    <w:jc w:val="center"/>
                    <w:rPr>
                      <w:rFonts w:hint="eastAsia"/>
                      <w:color w:val="000000"/>
                      <w:highlight w:val="none"/>
                      <w:lang w:val="en-US" w:eastAsia="zh-CN"/>
                    </w:rPr>
                  </w:pPr>
                  <w:r>
                    <w:rPr>
                      <w:rFonts w:hint="default"/>
                      <w:color w:val="000000"/>
                      <w:highlight w:val="none"/>
                      <w:lang w:val="en-US" w:eastAsia="zh-CN"/>
                    </w:rPr>
                    <w:t>0.3</w:t>
                  </w:r>
                </w:p>
              </w:tc>
              <w:tc>
                <w:tcPr>
                  <w:tcW w:w="1105" w:type="pct"/>
                  <w:vMerge w:val="continue"/>
                  <w:tcBorders>
                    <w:tl2br w:val="nil"/>
                    <w:tr2bl w:val="nil"/>
                  </w:tcBorders>
                  <w:shd w:val="clear" w:color="auto" w:fill="auto"/>
                  <w:noWrap w:val="0"/>
                  <w:vAlign w:val="center"/>
                </w:tcPr>
                <w:p w14:paraId="73D275CF">
                  <w:pPr>
                    <w:shd w:val="clear" w:color="auto" w:fill="auto"/>
                    <w:bidi w:val="0"/>
                    <w:jc w:val="center"/>
                    <w:rPr>
                      <w:rFonts w:hint="eastAsia"/>
                      <w:color w:val="000000"/>
                      <w:highlight w:val="none"/>
                      <w:lang w:val="en-US" w:eastAsia="zh-CN"/>
                    </w:rPr>
                  </w:pPr>
                </w:p>
              </w:tc>
              <w:tc>
                <w:tcPr>
                  <w:tcW w:w="673" w:type="pct"/>
                  <w:vMerge w:val="continue"/>
                  <w:tcBorders>
                    <w:tl2br w:val="nil"/>
                    <w:tr2bl w:val="nil"/>
                  </w:tcBorders>
                  <w:shd w:val="clear" w:color="auto" w:fill="auto"/>
                  <w:noWrap w:val="0"/>
                  <w:vAlign w:val="center"/>
                </w:tcPr>
                <w:p w14:paraId="7D1C2E8D">
                  <w:pPr>
                    <w:shd w:val="clear" w:color="auto" w:fill="auto"/>
                    <w:bidi w:val="0"/>
                    <w:jc w:val="center"/>
                    <w:rPr>
                      <w:rFonts w:hint="default"/>
                      <w:color w:val="000000"/>
                      <w:highlight w:val="none"/>
                      <w:lang w:val="en-US" w:eastAsia="zh-CN"/>
                    </w:rPr>
                  </w:pPr>
                </w:p>
              </w:tc>
            </w:tr>
            <w:tr w14:paraId="2EDC0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2" w:hRule="atLeast"/>
              </w:trPr>
              <w:tc>
                <w:tcPr>
                  <w:tcW w:w="792" w:type="pct"/>
                  <w:tcBorders>
                    <w:tl2br w:val="nil"/>
                    <w:tr2bl w:val="nil"/>
                  </w:tcBorders>
                  <w:shd w:val="clear" w:color="auto" w:fill="auto"/>
                  <w:noWrap w:val="0"/>
                  <w:vAlign w:val="center"/>
                </w:tcPr>
                <w:p w14:paraId="7003893D">
                  <w:pPr>
                    <w:shd w:val="clear" w:color="auto" w:fill="auto"/>
                    <w:bidi w:val="0"/>
                    <w:jc w:val="center"/>
                    <w:rPr>
                      <w:rFonts w:hint="eastAsia"/>
                      <w:color w:val="000000"/>
                      <w:highlight w:val="none"/>
                      <w:lang w:val="en-US" w:eastAsia="zh-CN"/>
                    </w:rPr>
                  </w:pPr>
                  <w:r>
                    <w:rPr>
                      <w:rFonts w:hint="eastAsia"/>
                      <w:color w:val="000000"/>
                      <w:highlight w:val="none"/>
                      <w:lang w:val="en-US" w:eastAsia="zh-CN"/>
                    </w:rPr>
                    <w:t>污泥</w:t>
                  </w:r>
                </w:p>
              </w:tc>
              <w:tc>
                <w:tcPr>
                  <w:tcW w:w="466" w:type="pct"/>
                  <w:vMerge w:val="continue"/>
                  <w:tcBorders>
                    <w:tl2br w:val="nil"/>
                    <w:tr2bl w:val="nil"/>
                  </w:tcBorders>
                  <w:shd w:val="clear" w:color="auto" w:fill="auto"/>
                  <w:noWrap w:val="0"/>
                  <w:vAlign w:val="center"/>
                </w:tcPr>
                <w:p w14:paraId="0C976DFC">
                  <w:pPr>
                    <w:shd w:val="clear" w:color="auto" w:fill="auto"/>
                    <w:bidi w:val="0"/>
                    <w:jc w:val="center"/>
                    <w:rPr>
                      <w:rFonts w:hint="eastAsia"/>
                      <w:color w:val="000000"/>
                      <w:highlight w:val="none"/>
                      <w:lang w:val="en-US" w:eastAsia="zh-CN"/>
                    </w:rPr>
                  </w:pPr>
                </w:p>
              </w:tc>
              <w:tc>
                <w:tcPr>
                  <w:tcW w:w="874" w:type="pct"/>
                  <w:tcBorders>
                    <w:tl2br w:val="nil"/>
                    <w:tr2bl w:val="nil"/>
                  </w:tcBorders>
                  <w:shd w:val="clear" w:color="auto" w:fill="auto"/>
                  <w:noWrap w:val="0"/>
                  <w:vAlign w:val="center"/>
                </w:tcPr>
                <w:p w14:paraId="4215B3D4">
                  <w:pPr>
                    <w:shd w:val="clear" w:color="auto" w:fill="auto"/>
                    <w:bidi w:val="0"/>
                    <w:jc w:val="center"/>
                    <w:rPr>
                      <w:rFonts w:hint="eastAsia"/>
                      <w:color w:val="000000"/>
                      <w:highlight w:val="none"/>
                      <w:lang w:val="en-US" w:eastAsia="zh-CN"/>
                    </w:rPr>
                  </w:pPr>
                  <w:r>
                    <w:rPr>
                      <w:rFonts w:hint="eastAsia"/>
                      <w:color w:val="000000"/>
                      <w:highlight w:val="none"/>
                      <w:lang w:val="en-US" w:eastAsia="zh-CN"/>
                    </w:rPr>
                    <w:t>/</w:t>
                  </w:r>
                </w:p>
              </w:tc>
              <w:tc>
                <w:tcPr>
                  <w:tcW w:w="537" w:type="pct"/>
                  <w:tcBorders>
                    <w:tl2br w:val="nil"/>
                    <w:tr2bl w:val="nil"/>
                  </w:tcBorders>
                  <w:shd w:val="clear" w:color="auto" w:fill="auto"/>
                  <w:noWrap w:val="0"/>
                  <w:vAlign w:val="center"/>
                </w:tcPr>
                <w:p w14:paraId="2260C61C">
                  <w:pPr>
                    <w:shd w:val="clear" w:color="auto" w:fill="auto"/>
                    <w:bidi w:val="0"/>
                    <w:jc w:val="center"/>
                    <w:rPr>
                      <w:rFonts w:hint="default"/>
                      <w:color w:val="000000"/>
                      <w:highlight w:val="none"/>
                      <w:lang w:val="en-US" w:eastAsia="zh-CN"/>
                    </w:rPr>
                  </w:pPr>
                  <w:r>
                    <w:rPr>
                      <w:rFonts w:hint="eastAsia"/>
                      <w:color w:val="000000"/>
                      <w:highlight w:val="none"/>
                      <w:lang w:val="en-US" w:eastAsia="zh-CN"/>
                    </w:rPr>
                    <w:t>14.86</w:t>
                  </w:r>
                </w:p>
              </w:tc>
              <w:tc>
                <w:tcPr>
                  <w:tcW w:w="550" w:type="pct"/>
                  <w:tcBorders>
                    <w:tl2br w:val="nil"/>
                    <w:tr2bl w:val="nil"/>
                  </w:tcBorders>
                  <w:shd w:val="clear" w:color="auto" w:fill="auto"/>
                  <w:noWrap w:val="0"/>
                  <w:vAlign w:val="center"/>
                </w:tcPr>
                <w:p w14:paraId="0077F788">
                  <w:pPr>
                    <w:shd w:val="clear" w:color="auto" w:fill="auto"/>
                    <w:bidi w:val="0"/>
                    <w:jc w:val="center"/>
                    <w:rPr>
                      <w:rFonts w:hint="eastAsia"/>
                      <w:color w:val="000000"/>
                      <w:highlight w:val="none"/>
                      <w:lang w:val="en-US" w:eastAsia="zh-CN"/>
                    </w:rPr>
                  </w:pPr>
                  <w:r>
                    <w:rPr>
                      <w:rFonts w:hint="eastAsia"/>
                      <w:color w:val="000000"/>
                      <w:highlight w:val="none"/>
                      <w:lang w:val="en-US" w:eastAsia="zh-CN"/>
                    </w:rPr>
                    <w:t>14.86</w:t>
                  </w:r>
                </w:p>
              </w:tc>
              <w:tc>
                <w:tcPr>
                  <w:tcW w:w="1105" w:type="pct"/>
                  <w:vMerge w:val="restart"/>
                  <w:tcBorders>
                    <w:tl2br w:val="nil"/>
                    <w:tr2bl w:val="nil"/>
                  </w:tcBorders>
                  <w:shd w:val="clear" w:color="auto" w:fill="auto"/>
                  <w:noWrap w:val="0"/>
                  <w:vAlign w:val="center"/>
                </w:tcPr>
                <w:p w14:paraId="78FC4DBA">
                  <w:pPr>
                    <w:shd w:val="clear" w:color="auto" w:fill="auto"/>
                    <w:bidi w:val="0"/>
                    <w:jc w:val="center"/>
                    <w:rPr>
                      <w:rFonts w:hint="default"/>
                      <w:color w:val="000000"/>
                      <w:highlight w:val="none"/>
                      <w:lang w:val="en-US" w:eastAsia="zh-CN"/>
                    </w:rPr>
                  </w:pPr>
                  <w:r>
                    <w:rPr>
                      <w:rFonts w:hint="eastAsia"/>
                      <w:color w:val="000000"/>
                      <w:highlight w:val="none"/>
                      <w:lang w:val="en-US" w:eastAsia="zh-CN"/>
                    </w:rPr>
                    <w:t>附近村民拉运肥田</w:t>
                  </w:r>
                </w:p>
              </w:tc>
              <w:tc>
                <w:tcPr>
                  <w:tcW w:w="673" w:type="pct"/>
                  <w:vMerge w:val="continue"/>
                  <w:tcBorders>
                    <w:tl2br w:val="nil"/>
                    <w:tr2bl w:val="nil"/>
                  </w:tcBorders>
                  <w:shd w:val="clear" w:color="auto" w:fill="auto"/>
                  <w:noWrap w:val="0"/>
                  <w:vAlign w:val="center"/>
                </w:tcPr>
                <w:p w14:paraId="4A7D1AF0">
                  <w:pPr>
                    <w:shd w:val="clear" w:color="auto" w:fill="auto"/>
                    <w:bidi w:val="0"/>
                    <w:jc w:val="center"/>
                    <w:rPr>
                      <w:rFonts w:hint="default"/>
                      <w:color w:val="000000"/>
                      <w:highlight w:val="none"/>
                      <w:lang w:val="en-US" w:eastAsia="zh-CN"/>
                    </w:rPr>
                  </w:pPr>
                </w:p>
              </w:tc>
            </w:tr>
            <w:tr w14:paraId="3059E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2" w:hRule="atLeast"/>
              </w:trPr>
              <w:tc>
                <w:tcPr>
                  <w:tcW w:w="792" w:type="pct"/>
                  <w:tcBorders>
                    <w:tl2br w:val="nil"/>
                    <w:tr2bl w:val="nil"/>
                  </w:tcBorders>
                  <w:shd w:val="clear" w:color="auto" w:fill="auto"/>
                  <w:noWrap w:val="0"/>
                  <w:vAlign w:val="center"/>
                </w:tcPr>
                <w:p w14:paraId="635C9156">
                  <w:pPr>
                    <w:shd w:val="clear" w:color="auto" w:fill="auto"/>
                    <w:bidi w:val="0"/>
                    <w:jc w:val="center"/>
                    <w:rPr>
                      <w:rFonts w:hint="eastAsia"/>
                      <w:color w:val="000000"/>
                      <w:highlight w:val="none"/>
                      <w:lang w:val="en-US" w:eastAsia="zh-CN"/>
                    </w:rPr>
                  </w:pPr>
                  <w:r>
                    <w:rPr>
                      <w:rFonts w:hint="eastAsia"/>
                      <w:color w:val="000000"/>
                      <w:highlight w:val="none"/>
                      <w:lang w:val="en-US" w:eastAsia="zh-CN"/>
                    </w:rPr>
                    <w:t>废窖泥</w:t>
                  </w:r>
                </w:p>
              </w:tc>
              <w:tc>
                <w:tcPr>
                  <w:tcW w:w="466" w:type="pct"/>
                  <w:vMerge w:val="continue"/>
                  <w:tcBorders>
                    <w:tl2br w:val="nil"/>
                    <w:tr2bl w:val="nil"/>
                  </w:tcBorders>
                  <w:shd w:val="clear" w:color="auto" w:fill="auto"/>
                  <w:noWrap w:val="0"/>
                  <w:vAlign w:val="center"/>
                </w:tcPr>
                <w:p w14:paraId="72B452B6">
                  <w:pPr>
                    <w:shd w:val="clear" w:color="auto" w:fill="auto"/>
                    <w:bidi w:val="0"/>
                    <w:jc w:val="center"/>
                    <w:rPr>
                      <w:rFonts w:hint="eastAsia"/>
                      <w:color w:val="000000"/>
                      <w:highlight w:val="none"/>
                      <w:lang w:val="en-US" w:eastAsia="zh-CN"/>
                    </w:rPr>
                  </w:pPr>
                </w:p>
              </w:tc>
              <w:tc>
                <w:tcPr>
                  <w:tcW w:w="874" w:type="pct"/>
                  <w:tcBorders>
                    <w:tl2br w:val="nil"/>
                    <w:tr2bl w:val="nil"/>
                  </w:tcBorders>
                  <w:shd w:val="clear" w:color="auto" w:fill="auto"/>
                  <w:noWrap w:val="0"/>
                  <w:vAlign w:val="center"/>
                </w:tcPr>
                <w:p w14:paraId="6BBFA84E">
                  <w:pPr>
                    <w:shd w:val="clear" w:color="auto" w:fill="auto"/>
                    <w:bidi w:val="0"/>
                    <w:jc w:val="center"/>
                    <w:rPr>
                      <w:rFonts w:hint="eastAsia"/>
                      <w:color w:val="000000"/>
                      <w:highlight w:val="none"/>
                    </w:rPr>
                  </w:pPr>
                  <w:r>
                    <w:rPr>
                      <w:rFonts w:hint="eastAsia"/>
                      <w:color w:val="000000"/>
                      <w:highlight w:val="none"/>
                    </w:rPr>
                    <w:t>900-099-59</w:t>
                  </w:r>
                </w:p>
              </w:tc>
              <w:tc>
                <w:tcPr>
                  <w:tcW w:w="537" w:type="pct"/>
                  <w:tcBorders>
                    <w:tl2br w:val="nil"/>
                    <w:tr2bl w:val="nil"/>
                  </w:tcBorders>
                  <w:shd w:val="clear" w:color="auto" w:fill="auto"/>
                  <w:noWrap w:val="0"/>
                  <w:vAlign w:val="center"/>
                </w:tcPr>
                <w:p w14:paraId="624231DD">
                  <w:pPr>
                    <w:shd w:val="clear" w:color="auto" w:fill="auto"/>
                    <w:bidi w:val="0"/>
                    <w:jc w:val="center"/>
                    <w:rPr>
                      <w:rFonts w:hint="default"/>
                      <w:color w:val="000000"/>
                      <w:highlight w:val="none"/>
                      <w:lang w:val="en-US" w:eastAsia="zh-CN"/>
                    </w:rPr>
                  </w:pPr>
                  <w:r>
                    <w:rPr>
                      <w:rFonts w:hint="eastAsia"/>
                      <w:color w:val="000000"/>
                      <w:highlight w:val="none"/>
                      <w:lang w:val="en-US" w:eastAsia="zh-CN"/>
                    </w:rPr>
                    <w:t>1.62</w:t>
                  </w:r>
                </w:p>
              </w:tc>
              <w:tc>
                <w:tcPr>
                  <w:tcW w:w="550" w:type="pct"/>
                  <w:tcBorders>
                    <w:tl2br w:val="nil"/>
                    <w:tr2bl w:val="nil"/>
                  </w:tcBorders>
                  <w:shd w:val="clear" w:color="auto" w:fill="auto"/>
                  <w:noWrap w:val="0"/>
                  <w:vAlign w:val="center"/>
                </w:tcPr>
                <w:p w14:paraId="31D2C920">
                  <w:pPr>
                    <w:shd w:val="clear" w:color="auto" w:fill="auto"/>
                    <w:bidi w:val="0"/>
                    <w:jc w:val="center"/>
                    <w:rPr>
                      <w:rFonts w:hint="eastAsia"/>
                      <w:color w:val="000000"/>
                      <w:highlight w:val="none"/>
                      <w:lang w:val="en-US" w:eastAsia="zh-CN"/>
                    </w:rPr>
                  </w:pPr>
                  <w:r>
                    <w:rPr>
                      <w:rFonts w:hint="eastAsia"/>
                      <w:color w:val="000000"/>
                      <w:highlight w:val="none"/>
                      <w:lang w:val="en-US" w:eastAsia="zh-CN"/>
                    </w:rPr>
                    <w:t>1.62</w:t>
                  </w:r>
                </w:p>
              </w:tc>
              <w:tc>
                <w:tcPr>
                  <w:tcW w:w="1105" w:type="pct"/>
                  <w:vMerge w:val="continue"/>
                  <w:tcBorders>
                    <w:tl2br w:val="nil"/>
                    <w:tr2bl w:val="nil"/>
                  </w:tcBorders>
                  <w:shd w:val="clear" w:color="auto" w:fill="auto"/>
                  <w:noWrap w:val="0"/>
                  <w:vAlign w:val="center"/>
                </w:tcPr>
                <w:p w14:paraId="0AC61330">
                  <w:pPr>
                    <w:shd w:val="clear" w:color="auto" w:fill="auto"/>
                    <w:bidi w:val="0"/>
                    <w:jc w:val="center"/>
                    <w:rPr>
                      <w:rFonts w:hint="eastAsia"/>
                      <w:color w:val="000000"/>
                      <w:highlight w:val="none"/>
                      <w:lang w:val="en-US" w:eastAsia="zh-CN"/>
                    </w:rPr>
                  </w:pPr>
                </w:p>
              </w:tc>
              <w:tc>
                <w:tcPr>
                  <w:tcW w:w="673" w:type="pct"/>
                  <w:vMerge w:val="continue"/>
                  <w:tcBorders>
                    <w:tl2br w:val="nil"/>
                    <w:tr2bl w:val="nil"/>
                  </w:tcBorders>
                  <w:shd w:val="clear" w:color="auto" w:fill="auto"/>
                  <w:noWrap w:val="0"/>
                  <w:vAlign w:val="center"/>
                </w:tcPr>
                <w:p w14:paraId="72617800">
                  <w:pPr>
                    <w:shd w:val="clear" w:color="auto" w:fill="auto"/>
                    <w:bidi w:val="0"/>
                    <w:jc w:val="center"/>
                    <w:rPr>
                      <w:rFonts w:hint="default"/>
                      <w:color w:val="000000"/>
                      <w:highlight w:val="none"/>
                      <w:lang w:val="en-US" w:eastAsia="zh-CN"/>
                    </w:rPr>
                  </w:pPr>
                </w:p>
              </w:tc>
            </w:tr>
            <w:tr w14:paraId="12E79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2" w:hRule="atLeast"/>
              </w:trPr>
              <w:tc>
                <w:tcPr>
                  <w:tcW w:w="792" w:type="pct"/>
                  <w:tcBorders>
                    <w:tl2br w:val="nil"/>
                    <w:tr2bl w:val="nil"/>
                  </w:tcBorders>
                  <w:shd w:val="clear" w:color="auto" w:fill="auto"/>
                  <w:noWrap w:val="0"/>
                  <w:vAlign w:val="center"/>
                </w:tcPr>
                <w:p w14:paraId="08EE5887">
                  <w:pPr>
                    <w:shd w:val="clear" w:color="auto" w:fill="auto"/>
                    <w:bidi w:val="0"/>
                    <w:jc w:val="center"/>
                    <w:rPr>
                      <w:rFonts w:hint="eastAsia" w:eastAsia="宋体"/>
                      <w:color w:val="000000"/>
                      <w:highlight w:val="none"/>
                      <w:lang w:eastAsia="zh-CN"/>
                    </w:rPr>
                  </w:pPr>
                  <w:r>
                    <w:rPr>
                      <w:rFonts w:hint="eastAsia"/>
                      <w:color w:val="000000"/>
                      <w:highlight w:val="none"/>
                      <w:lang w:val="en-US" w:eastAsia="zh-CN"/>
                    </w:rPr>
                    <w:t>废机油</w:t>
                  </w:r>
                </w:p>
              </w:tc>
              <w:tc>
                <w:tcPr>
                  <w:tcW w:w="466" w:type="pct"/>
                  <w:vMerge w:val="restart"/>
                  <w:tcBorders>
                    <w:tl2br w:val="nil"/>
                    <w:tr2bl w:val="nil"/>
                  </w:tcBorders>
                  <w:shd w:val="clear" w:color="auto" w:fill="auto"/>
                  <w:noWrap w:val="0"/>
                  <w:vAlign w:val="center"/>
                </w:tcPr>
                <w:p w14:paraId="36BB8265">
                  <w:pPr>
                    <w:shd w:val="clear" w:color="auto" w:fill="auto"/>
                    <w:bidi w:val="0"/>
                    <w:jc w:val="center"/>
                    <w:rPr>
                      <w:color w:val="000000"/>
                      <w:highlight w:val="none"/>
                    </w:rPr>
                  </w:pPr>
                  <w:r>
                    <w:rPr>
                      <w:color w:val="000000"/>
                      <w:highlight w:val="none"/>
                    </w:rPr>
                    <w:t>危险废物</w:t>
                  </w:r>
                </w:p>
              </w:tc>
              <w:tc>
                <w:tcPr>
                  <w:tcW w:w="874" w:type="pct"/>
                  <w:tcBorders>
                    <w:tl2br w:val="nil"/>
                    <w:tr2bl w:val="nil"/>
                  </w:tcBorders>
                  <w:shd w:val="clear" w:color="auto" w:fill="auto"/>
                  <w:noWrap w:val="0"/>
                  <w:vAlign w:val="center"/>
                </w:tcPr>
                <w:p w14:paraId="4D2B1E4D">
                  <w:pPr>
                    <w:shd w:val="clear" w:color="auto" w:fill="auto"/>
                    <w:bidi w:val="0"/>
                    <w:jc w:val="center"/>
                    <w:rPr>
                      <w:color w:val="000000"/>
                      <w:highlight w:val="none"/>
                    </w:rPr>
                  </w:pPr>
                  <w:r>
                    <w:rPr>
                      <w:color w:val="000000"/>
                      <w:highlight w:val="none"/>
                    </w:rPr>
                    <w:t>HW0</w:t>
                  </w:r>
                  <w:r>
                    <w:rPr>
                      <w:rFonts w:hint="eastAsia"/>
                      <w:color w:val="000000"/>
                      <w:highlight w:val="none"/>
                      <w:lang w:val="en-US" w:eastAsia="zh-CN"/>
                    </w:rPr>
                    <w:t>9</w:t>
                  </w:r>
                  <w:r>
                    <w:rPr>
                      <w:color w:val="000000"/>
                      <w:highlight w:val="none"/>
                    </w:rPr>
                    <w:t xml:space="preserve"> 900-</w:t>
                  </w:r>
                </w:p>
                <w:p w14:paraId="100B3D91">
                  <w:pPr>
                    <w:shd w:val="clear" w:color="auto" w:fill="auto"/>
                    <w:bidi w:val="0"/>
                    <w:jc w:val="center"/>
                    <w:rPr>
                      <w:rFonts w:hint="eastAsia"/>
                      <w:color w:val="000000"/>
                      <w:highlight w:val="none"/>
                      <w:lang w:val="en-US" w:eastAsia="zh-CN"/>
                    </w:rPr>
                  </w:pPr>
                  <w:r>
                    <w:rPr>
                      <w:rFonts w:hint="eastAsia"/>
                      <w:color w:val="000000"/>
                      <w:highlight w:val="none"/>
                      <w:lang w:val="en-US" w:eastAsia="zh-CN"/>
                    </w:rPr>
                    <w:t>006</w:t>
                  </w:r>
                  <w:r>
                    <w:rPr>
                      <w:color w:val="000000"/>
                      <w:highlight w:val="none"/>
                    </w:rPr>
                    <w:t>-0</w:t>
                  </w:r>
                  <w:r>
                    <w:rPr>
                      <w:rFonts w:hint="eastAsia"/>
                      <w:color w:val="000000"/>
                      <w:highlight w:val="none"/>
                      <w:lang w:val="en-US" w:eastAsia="zh-CN"/>
                    </w:rPr>
                    <w:t>9</w:t>
                  </w:r>
                </w:p>
              </w:tc>
              <w:tc>
                <w:tcPr>
                  <w:tcW w:w="537" w:type="pct"/>
                  <w:tcBorders>
                    <w:tl2br w:val="nil"/>
                    <w:tr2bl w:val="nil"/>
                  </w:tcBorders>
                  <w:shd w:val="clear" w:color="auto" w:fill="auto"/>
                  <w:noWrap w:val="0"/>
                  <w:vAlign w:val="center"/>
                </w:tcPr>
                <w:p w14:paraId="366600A8">
                  <w:pPr>
                    <w:shd w:val="clear" w:color="auto" w:fill="auto"/>
                    <w:bidi w:val="0"/>
                    <w:jc w:val="center"/>
                    <w:rPr>
                      <w:rFonts w:hint="default"/>
                      <w:color w:val="000000"/>
                      <w:highlight w:val="none"/>
                      <w:lang w:val="en-US" w:eastAsia="zh-CN"/>
                    </w:rPr>
                  </w:pPr>
                  <w:r>
                    <w:rPr>
                      <w:rFonts w:hint="eastAsia"/>
                      <w:color w:val="000000"/>
                      <w:highlight w:val="none"/>
                      <w:lang w:val="en-US" w:eastAsia="zh-CN"/>
                    </w:rPr>
                    <w:t>0.02</w:t>
                  </w:r>
                </w:p>
              </w:tc>
              <w:tc>
                <w:tcPr>
                  <w:tcW w:w="550" w:type="pct"/>
                  <w:tcBorders>
                    <w:tl2br w:val="nil"/>
                    <w:tr2bl w:val="nil"/>
                  </w:tcBorders>
                  <w:shd w:val="clear" w:color="auto" w:fill="auto"/>
                  <w:noWrap w:val="0"/>
                  <w:vAlign w:val="center"/>
                </w:tcPr>
                <w:p w14:paraId="4387FB59">
                  <w:pPr>
                    <w:shd w:val="clear" w:color="auto" w:fill="auto"/>
                    <w:bidi w:val="0"/>
                    <w:jc w:val="center"/>
                    <w:rPr>
                      <w:rFonts w:hint="default"/>
                      <w:color w:val="000000"/>
                      <w:highlight w:val="none"/>
                      <w:lang w:val="en-US" w:eastAsia="zh-CN"/>
                    </w:rPr>
                  </w:pPr>
                  <w:r>
                    <w:rPr>
                      <w:rFonts w:hint="eastAsia"/>
                      <w:color w:val="000000"/>
                      <w:highlight w:val="none"/>
                      <w:lang w:val="en-US" w:eastAsia="zh-CN"/>
                    </w:rPr>
                    <w:t>0.02</w:t>
                  </w:r>
                </w:p>
              </w:tc>
              <w:tc>
                <w:tcPr>
                  <w:tcW w:w="1105" w:type="pct"/>
                  <w:vMerge w:val="restart"/>
                  <w:tcBorders>
                    <w:tl2br w:val="nil"/>
                    <w:tr2bl w:val="nil"/>
                  </w:tcBorders>
                  <w:shd w:val="clear" w:color="auto" w:fill="auto"/>
                  <w:noWrap w:val="0"/>
                  <w:vAlign w:val="center"/>
                </w:tcPr>
                <w:p w14:paraId="42E5FE37">
                  <w:pPr>
                    <w:shd w:val="clear" w:color="auto" w:fill="auto"/>
                    <w:bidi w:val="0"/>
                    <w:jc w:val="center"/>
                    <w:rPr>
                      <w:rFonts w:hint="eastAsia" w:eastAsia="宋体"/>
                      <w:color w:val="000000"/>
                      <w:highlight w:val="none"/>
                      <w:lang w:eastAsia="zh-CN"/>
                    </w:rPr>
                  </w:pPr>
                  <w:r>
                    <w:rPr>
                      <w:rFonts w:hint="eastAsia"/>
                      <w:color w:val="000000"/>
                      <w:highlight w:val="none"/>
                      <w:lang w:val="en-US" w:eastAsia="zh-CN"/>
                    </w:rPr>
                    <w:t>暂存于危险废物贮存间</w:t>
                  </w:r>
                  <w:r>
                    <w:rPr>
                      <w:color w:val="000000"/>
                      <w:highlight w:val="none"/>
                    </w:rPr>
                    <w:t>，</w:t>
                  </w:r>
                  <w:r>
                    <w:rPr>
                      <w:rFonts w:hint="eastAsia"/>
                      <w:color w:val="000000"/>
                      <w:highlight w:val="none"/>
                      <w:lang w:val="en-US" w:eastAsia="zh-CN"/>
                    </w:rPr>
                    <w:t>定期</w:t>
                  </w:r>
                  <w:r>
                    <w:rPr>
                      <w:color w:val="000000"/>
                      <w:highlight w:val="none"/>
                    </w:rPr>
                    <w:t>委托有资质单位处置</w:t>
                  </w:r>
                  <w:r>
                    <w:rPr>
                      <w:rFonts w:hint="eastAsia"/>
                      <w:lang w:eastAsia="zh-CN"/>
                    </w:rPr>
                    <w:t>。</w:t>
                  </w:r>
                </w:p>
              </w:tc>
              <w:tc>
                <w:tcPr>
                  <w:tcW w:w="673" w:type="pct"/>
                  <w:vMerge w:val="restart"/>
                  <w:tcBorders>
                    <w:tl2br w:val="nil"/>
                    <w:tr2bl w:val="nil"/>
                  </w:tcBorders>
                  <w:shd w:val="clear" w:color="auto" w:fill="auto"/>
                  <w:noWrap w:val="0"/>
                  <w:vAlign w:val="center"/>
                </w:tcPr>
                <w:p w14:paraId="520E7100">
                  <w:pPr>
                    <w:shd w:val="clear" w:color="auto" w:fill="auto"/>
                    <w:bidi w:val="0"/>
                    <w:jc w:val="center"/>
                    <w:rPr>
                      <w:color w:val="000000"/>
                      <w:highlight w:val="none"/>
                    </w:rPr>
                  </w:pPr>
                  <w:r>
                    <w:rPr>
                      <w:rFonts w:hint="eastAsia"/>
                      <w:color w:val="000000"/>
                      <w:highlight w:val="none"/>
                      <w:lang w:val="en-US" w:eastAsia="zh-CN"/>
                    </w:rPr>
                    <w:t>100%</w:t>
                  </w:r>
                </w:p>
              </w:tc>
            </w:tr>
            <w:tr w14:paraId="3A6A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2" w:hRule="atLeast"/>
              </w:trPr>
              <w:tc>
                <w:tcPr>
                  <w:tcW w:w="792" w:type="pct"/>
                  <w:tcBorders>
                    <w:tl2br w:val="nil"/>
                    <w:tr2bl w:val="nil"/>
                  </w:tcBorders>
                  <w:shd w:val="clear" w:color="auto" w:fill="auto"/>
                  <w:noWrap w:val="0"/>
                  <w:vAlign w:val="center"/>
                </w:tcPr>
                <w:p w14:paraId="39250E3C">
                  <w:pPr>
                    <w:shd w:val="clear" w:color="auto" w:fill="auto"/>
                    <w:bidi w:val="0"/>
                    <w:jc w:val="center"/>
                    <w:rPr>
                      <w:rFonts w:hint="eastAsia"/>
                      <w:color w:val="000000"/>
                      <w:highlight w:val="none"/>
                    </w:rPr>
                  </w:pPr>
                  <w:r>
                    <w:rPr>
                      <w:rFonts w:hint="eastAsia"/>
                      <w:color w:val="000000"/>
                      <w:highlight w:val="none"/>
                    </w:rPr>
                    <w:t>废油桶</w:t>
                  </w:r>
                </w:p>
              </w:tc>
              <w:tc>
                <w:tcPr>
                  <w:tcW w:w="466" w:type="pct"/>
                  <w:vMerge w:val="continue"/>
                  <w:tcBorders>
                    <w:tl2br w:val="nil"/>
                    <w:tr2bl w:val="nil"/>
                  </w:tcBorders>
                  <w:shd w:val="clear" w:color="auto" w:fill="auto"/>
                  <w:noWrap w:val="0"/>
                  <w:vAlign w:val="center"/>
                </w:tcPr>
                <w:p w14:paraId="1E1EFE07">
                  <w:pPr>
                    <w:shd w:val="clear" w:color="auto" w:fill="auto"/>
                    <w:bidi w:val="0"/>
                    <w:jc w:val="center"/>
                    <w:rPr>
                      <w:color w:val="000000"/>
                      <w:highlight w:val="none"/>
                    </w:rPr>
                  </w:pPr>
                </w:p>
              </w:tc>
              <w:tc>
                <w:tcPr>
                  <w:tcW w:w="874" w:type="pct"/>
                  <w:tcBorders>
                    <w:tl2br w:val="nil"/>
                    <w:tr2bl w:val="nil"/>
                  </w:tcBorders>
                  <w:shd w:val="clear" w:color="auto" w:fill="auto"/>
                  <w:noWrap w:val="0"/>
                  <w:vAlign w:val="center"/>
                </w:tcPr>
                <w:p w14:paraId="5BC8D9C8">
                  <w:pPr>
                    <w:shd w:val="clear" w:color="auto" w:fill="auto"/>
                    <w:bidi w:val="0"/>
                    <w:jc w:val="center"/>
                    <w:rPr>
                      <w:color w:val="000000"/>
                      <w:highlight w:val="none"/>
                    </w:rPr>
                  </w:pPr>
                  <w:r>
                    <w:rPr>
                      <w:color w:val="000000"/>
                      <w:highlight w:val="none"/>
                    </w:rPr>
                    <w:t>HW49 900-</w:t>
                  </w:r>
                </w:p>
                <w:p w14:paraId="272D91D4">
                  <w:pPr>
                    <w:shd w:val="clear" w:color="auto" w:fill="auto"/>
                    <w:bidi w:val="0"/>
                    <w:jc w:val="center"/>
                    <w:rPr>
                      <w:color w:val="000000"/>
                      <w:highlight w:val="none"/>
                    </w:rPr>
                  </w:pPr>
                  <w:r>
                    <w:rPr>
                      <w:color w:val="000000"/>
                      <w:highlight w:val="none"/>
                    </w:rPr>
                    <w:t>041-49</w:t>
                  </w:r>
                </w:p>
              </w:tc>
              <w:tc>
                <w:tcPr>
                  <w:tcW w:w="537" w:type="pct"/>
                  <w:tcBorders>
                    <w:tl2br w:val="nil"/>
                    <w:tr2bl w:val="nil"/>
                  </w:tcBorders>
                  <w:shd w:val="clear" w:color="auto" w:fill="auto"/>
                  <w:noWrap w:val="0"/>
                  <w:vAlign w:val="center"/>
                </w:tcPr>
                <w:p w14:paraId="4FAE4F1B">
                  <w:pPr>
                    <w:shd w:val="clear" w:color="auto" w:fill="auto"/>
                    <w:bidi w:val="0"/>
                    <w:jc w:val="center"/>
                    <w:rPr>
                      <w:rFonts w:hint="default"/>
                      <w:color w:val="000000"/>
                      <w:highlight w:val="none"/>
                      <w:lang w:val="en-US" w:eastAsia="zh-CN"/>
                    </w:rPr>
                  </w:pPr>
                  <w:r>
                    <w:rPr>
                      <w:rFonts w:hint="eastAsia"/>
                      <w:color w:val="000000"/>
                      <w:highlight w:val="none"/>
                    </w:rPr>
                    <w:t>0.</w:t>
                  </w:r>
                  <w:r>
                    <w:rPr>
                      <w:rFonts w:hint="eastAsia"/>
                      <w:color w:val="000000"/>
                      <w:highlight w:val="none"/>
                      <w:lang w:val="en-US" w:eastAsia="zh-CN"/>
                    </w:rPr>
                    <w:t>05</w:t>
                  </w:r>
                </w:p>
              </w:tc>
              <w:tc>
                <w:tcPr>
                  <w:tcW w:w="550" w:type="pct"/>
                  <w:tcBorders>
                    <w:tl2br w:val="nil"/>
                    <w:tr2bl w:val="nil"/>
                  </w:tcBorders>
                  <w:shd w:val="clear" w:color="auto" w:fill="auto"/>
                  <w:noWrap w:val="0"/>
                  <w:vAlign w:val="center"/>
                </w:tcPr>
                <w:p w14:paraId="737968A2">
                  <w:pPr>
                    <w:shd w:val="clear" w:color="auto" w:fill="auto"/>
                    <w:bidi w:val="0"/>
                    <w:jc w:val="center"/>
                    <w:rPr>
                      <w:rFonts w:hint="default"/>
                      <w:color w:val="000000"/>
                      <w:highlight w:val="none"/>
                      <w:lang w:val="en-US" w:eastAsia="zh-CN"/>
                    </w:rPr>
                  </w:pPr>
                  <w:r>
                    <w:rPr>
                      <w:rFonts w:hint="eastAsia"/>
                      <w:color w:val="000000"/>
                      <w:highlight w:val="none"/>
                    </w:rPr>
                    <w:t>0.</w:t>
                  </w:r>
                  <w:r>
                    <w:rPr>
                      <w:rFonts w:hint="eastAsia"/>
                      <w:color w:val="000000"/>
                      <w:highlight w:val="none"/>
                      <w:lang w:val="en-US" w:eastAsia="zh-CN"/>
                    </w:rPr>
                    <w:t>05</w:t>
                  </w:r>
                </w:p>
              </w:tc>
              <w:tc>
                <w:tcPr>
                  <w:tcW w:w="1105" w:type="pct"/>
                  <w:vMerge w:val="continue"/>
                  <w:tcBorders>
                    <w:tl2br w:val="nil"/>
                    <w:tr2bl w:val="nil"/>
                  </w:tcBorders>
                  <w:shd w:val="clear" w:color="auto" w:fill="auto"/>
                  <w:noWrap w:val="0"/>
                  <w:vAlign w:val="center"/>
                </w:tcPr>
                <w:p w14:paraId="5E1B20F4">
                  <w:pPr>
                    <w:shd w:val="clear" w:color="auto" w:fill="auto"/>
                    <w:bidi w:val="0"/>
                    <w:rPr>
                      <w:color w:val="000000"/>
                      <w:highlight w:val="none"/>
                    </w:rPr>
                  </w:pPr>
                </w:p>
              </w:tc>
              <w:tc>
                <w:tcPr>
                  <w:tcW w:w="673" w:type="pct"/>
                  <w:vMerge w:val="continue"/>
                  <w:tcBorders>
                    <w:tl2br w:val="nil"/>
                    <w:tr2bl w:val="nil"/>
                  </w:tcBorders>
                  <w:shd w:val="clear" w:color="auto" w:fill="auto"/>
                  <w:noWrap w:val="0"/>
                  <w:vAlign w:val="center"/>
                </w:tcPr>
                <w:p w14:paraId="5D24F70A">
                  <w:pPr>
                    <w:shd w:val="clear" w:color="auto" w:fill="auto"/>
                    <w:bidi w:val="0"/>
                    <w:rPr>
                      <w:color w:val="000000"/>
                      <w:highlight w:val="none"/>
                    </w:rPr>
                  </w:pPr>
                </w:p>
              </w:tc>
            </w:tr>
            <w:tr w14:paraId="1539B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2" w:hRule="atLeast"/>
              </w:trPr>
              <w:tc>
                <w:tcPr>
                  <w:tcW w:w="792" w:type="pct"/>
                  <w:tcBorders>
                    <w:tl2br w:val="nil"/>
                    <w:tr2bl w:val="nil"/>
                  </w:tcBorders>
                  <w:shd w:val="clear" w:color="auto" w:fill="auto"/>
                  <w:noWrap w:val="0"/>
                  <w:vAlign w:val="center"/>
                </w:tcPr>
                <w:p w14:paraId="71AAEFAE">
                  <w:pPr>
                    <w:shd w:val="clear" w:color="auto" w:fill="auto"/>
                    <w:bidi w:val="0"/>
                    <w:jc w:val="center"/>
                    <w:rPr>
                      <w:rFonts w:hint="eastAsia"/>
                      <w:color w:val="000000"/>
                      <w:highlight w:val="none"/>
                    </w:rPr>
                  </w:pPr>
                  <w:r>
                    <w:rPr>
                      <w:rFonts w:hint="eastAsia"/>
                      <w:color w:val="000000"/>
                      <w:highlight w:val="none"/>
                      <w:lang w:val="en-US" w:eastAsia="zh-CN"/>
                    </w:rPr>
                    <w:t>废</w:t>
                  </w:r>
                  <w:r>
                    <w:rPr>
                      <w:rFonts w:hint="eastAsia"/>
                      <w:color w:val="000000"/>
                      <w:highlight w:val="none"/>
                    </w:rPr>
                    <w:t>含油手套</w:t>
                  </w:r>
                </w:p>
              </w:tc>
              <w:tc>
                <w:tcPr>
                  <w:tcW w:w="466" w:type="pct"/>
                  <w:vMerge w:val="continue"/>
                  <w:tcBorders>
                    <w:tl2br w:val="nil"/>
                    <w:tr2bl w:val="nil"/>
                  </w:tcBorders>
                  <w:shd w:val="clear" w:color="auto" w:fill="auto"/>
                  <w:noWrap w:val="0"/>
                  <w:vAlign w:val="center"/>
                </w:tcPr>
                <w:p w14:paraId="644D1756">
                  <w:pPr>
                    <w:shd w:val="clear" w:color="auto" w:fill="auto"/>
                    <w:bidi w:val="0"/>
                    <w:jc w:val="center"/>
                    <w:rPr>
                      <w:color w:val="000000"/>
                      <w:highlight w:val="none"/>
                    </w:rPr>
                  </w:pPr>
                </w:p>
              </w:tc>
              <w:tc>
                <w:tcPr>
                  <w:tcW w:w="874" w:type="pct"/>
                  <w:tcBorders>
                    <w:tl2br w:val="nil"/>
                    <w:tr2bl w:val="nil"/>
                  </w:tcBorders>
                  <w:shd w:val="clear" w:color="auto" w:fill="auto"/>
                  <w:noWrap w:val="0"/>
                  <w:vAlign w:val="center"/>
                </w:tcPr>
                <w:p w14:paraId="4C971388">
                  <w:pPr>
                    <w:shd w:val="clear" w:color="auto" w:fill="auto"/>
                    <w:bidi w:val="0"/>
                    <w:jc w:val="center"/>
                    <w:rPr>
                      <w:color w:val="000000"/>
                      <w:highlight w:val="none"/>
                    </w:rPr>
                  </w:pPr>
                  <w:r>
                    <w:rPr>
                      <w:color w:val="000000"/>
                      <w:highlight w:val="none"/>
                    </w:rPr>
                    <w:t>HW49 900-</w:t>
                  </w:r>
                </w:p>
                <w:p w14:paraId="68C9CC76">
                  <w:pPr>
                    <w:shd w:val="clear" w:color="auto" w:fill="auto"/>
                    <w:bidi w:val="0"/>
                    <w:jc w:val="center"/>
                    <w:rPr>
                      <w:color w:val="000000"/>
                      <w:highlight w:val="none"/>
                    </w:rPr>
                  </w:pPr>
                  <w:r>
                    <w:rPr>
                      <w:color w:val="000000"/>
                      <w:highlight w:val="none"/>
                    </w:rPr>
                    <w:t>041-49</w:t>
                  </w:r>
                </w:p>
              </w:tc>
              <w:tc>
                <w:tcPr>
                  <w:tcW w:w="537" w:type="pct"/>
                  <w:tcBorders>
                    <w:tl2br w:val="nil"/>
                    <w:tr2bl w:val="nil"/>
                  </w:tcBorders>
                  <w:shd w:val="clear" w:color="auto" w:fill="auto"/>
                  <w:noWrap w:val="0"/>
                  <w:vAlign w:val="center"/>
                </w:tcPr>
                <w:p w14:paraId="6314FDEB">
                  <w:pPr>
                    <w:shd w:val="clear" w:color="auto" w:fill="auto"/>
                    <w:bidi w:val="0"/>
                    <w:jc w:val="center"/>
                    <w:rPr>
                      <w:rFonts w:hint="default"/>
                      <w:color w:val="000000"/>
                      <w:highlight w:val="none"/>
                      <w:lang w:val="en-US" w:eastAsia="zh-CN"/>
                    </w:rPr>
                  </w:pPr>
                  <w:r>
                    <w:rPr>
                      <w:rFonts w:hint="eastAsia"/>
                      <w:color w:val="000000"/>
                      <w:highlight w:val="none"/>
                    </w:rPr>
                    <w:t>0.</w:t>
                  </w:r>
                  <w:r>
                    <w:rPr>
                      <w:rFonts w:hint="eastAsia"/>
                      <w:color w:val="000000"/>
                      <w:highlight w:val="none"/>
                      <w:lang w:val="en-US" w:eastAsia="zh-CN"/>
                    </w:rPr>
                    <w:t>02</w:t>
                  </w:r>
                </w:p>
              </w:tc>
              <w:tc>
                <w:tcPr>
                  <w:tcW w:w="550" w:type="pct"/>
                  <w:tcBorders>
                    <w:tl2br w:val="nil"/>
                    <w:tr2bl w:val="nil"/>
                  </w:tcBorders>
                  <w:shd w:val="clear" w:color="auto" w:fill="auto"/>
                  <w:noWrap w:val="0"/>
                  <w:vAlign w:val="center"/>
                </w:tcPr>
                <w:p w14:paraId="300013BD">
                  <w:pPr>
                    <w:shd w:val="clear" w:color="auto" w:fill="auto"/>
                    <w:bidi w:val="0"/>
                    <w:jc w:val="center"/>
                    <w:rPr>
                      <w:rFonts w:hint="default"/>
                      <w:color w:val="000000"/>
                      <w:highlight w:val="none"/>
                      <w:lang w:val="en-US" w:eastAsia="zh-CN"/>
                    </w:rPr>
                  </w:pPr>
                  <w:r>
                    <w:rPr>
                      <w:rFonts w:hint="eastAsia"/>
                      <w:color w:val="000000"/>
                      <w:highlight w:val="none"/>
                    </w:rPr>
                    <w:t>0.</w:t>
                  </w:r>
                  <w:r>
                    <w:rPr>
                      <w:rFonts w:hint="eastAsia"/>
                      <w:color w:val="000000"/>
                      <w:highlight w:val="none"/>
                      <w:lang w:val="en-US" w:eastAsia="zh-CN"/>
                    </w:rPr>
                    <w:t>02</w:t>
                  </w:r>
                </w:p>
              </w:tc>
              <w:tc>
                <w:tcPr>
                  <w:tcW w:w="1105" w:type="pct"/>
                  <w:vMerge w:val="continue"/>
                  <w:tcBorders>
                    <w:tl2br w:val="nil"/>
                    <w:tr2bl w:val="nil"/>
                  </w:tcBorders>
                  <w:shd w:val="clear" w:color="auto" w:fill="auto"/>
                  <w:noWrap w:val="0"/>
                  <w:vAlign w:val="center"/>
                </w:tcPr>
                <w:p w14:paraId="6CCC2AFE">
                  <w:pPr>
                    <w:shd w:val="clear" w:color="auto" w:fill="auto"/>
                    <w:bidi w:val="0"/>
                    <w:rPr>
                      <w:color w:val="000000"/>
                      <w:highlight w:val="none"/>
                    </w:rPr>
                  </w:pPr>
                </w:p>
              </w:tc>
              <w:tc>
                <w:tcPr>
                  <w:tcW w:w="673" w:type="pct"/>
                  <w:vMerge w:val="continue"/>
                  <w:tcBorders>
                    <w:tl2br w:val="nil"/>
                    <w:tr2bl w:val="nil"/>
                  </w:tcBorders>
                  <w:shd w:val="clear" w:color="auto" w:fill="auto"/>
                  <w:noWrap w:val="0"/>
                  <w:vAlign w:val="center"/>
                </w:tcPr>
                <w:p w14:paraId="38FD027E">
                  <w:pPr>
                    <w:shd w:val="clear" w:color="auto" w:fill="auto"/>
                    <w:bidi w:val="0"/>
                    <w:rPr>
                      <w:color w:val="000000"/>
                      <w:highlight w:val="none"/>
                    </w:rPr>
                  </w:pPr>
                </w:p>
              </w:tc>
            </w:tr>
            <w:tr w14:paraId="7BC97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2" w:hRule="atLeast"/>
              </w:trPr>
              <w:tc>
                <w:tcPr>
                  <w:tcW w:w="792" w:type="pct"/>
                  <w:tcBorders>
                    <w:tl2br w:val="nil"/>
                    <w:tr2bl w:val="nil"/>
                  </w:tcBorders>
                  <w:shd w:val="clear" w:color="auto" w:fill="auto"/>
                  <w:noWrap w:val="0"/>
                  <w:vAlign w:val="center"/>
                </w:tcPr>
                <w:p w14:paraId="0851675F">
                  <w:pPr>
                    <w:shd w:val="clear" w:color="auto" w:fill="auto"/>
                    <w:bidi w:val="0"/>
                    <w:jc w:val="center"/>
                    <w:rPr>
                      <w:rFonts w:hint="default"/>
                      <w:color w:val="000000"/>
                      <w:highlight w:val="none"/>
                      <w:lang w:val="en-US"/>
                    </w:rPr>
                  </w:pPr>
                  <w:r>
                    <w:t>废弃</w:t>
                  </w:r>
                  <w:r>
                    <w:rPr>
                      <w:rFonts w:hint="eastAsia"/>
                      <w:color w:val="000000"/>
                      <w:highlight w:val="none"/>
                      <w:lang w:val="en-US" w:eastAsia="zh-CN"/>
                    </w:rPr>
                    <w:t>实验试剂</w:t>
                  </w:r>
                </w:p>
              </w:tc>
              <w:tc>
                <w:tcPr>
                  <w:tcW w:w="466" w:type="pct"/>
                  <w:vMerge w:val="continue"/>
                  <w:tcBorders>
                    <w:tl2br w:val="nil"/>
                    <w:tr2bl w:val="nil"/>
                  </w:tcBorders>
                  <w:shd w:val="clear" w:color="auto" w:fill="auto"/>
                  <w:noWrap w:val="0"/>
                  <w:vAlign w:val="center"/>
                </w:tcPr>
                <w:p w14:paraId="5A28709F">
                  <w:pPr>
                    <w:shd w:val="clear" w:color="auto" w:fill="auto"/>
                    <w:bidi w:val="0"/>
                    <w:jc w:val="center"/>
                    <w:rPr>
                      <w:color w:val="000000"/>
                      <w:highlight w:val="none"/>
                    </w:rPr>
                  </w:pPr>
                </w:p>
              </w:tc>
              <w:tc>
                <w:tcPr>
                  <w:tcW w:w="874" w:type="pct"/>
                  <w:tcBorders>
                    <w:tl2br w:val="nil"/>
                    <w:tr2bl w:val="nil"/>
                  </w:tcBorders>
                  <w:shd w:val="clear" w:color="auto" w:fill="auto"/>
                  <w:noWrap w:val="0"/>
                  <w:vAlign w:val="center"/>
                </w:tcPr>
                <w:p w14:paraId="2136C29F">
                  <w:pPr>
                    <w:shd w:val="clear" w:color="auto" w:fill="auto"/>
                    <w:bidi w:val="0"/>
                    <w:jc w:val="center"/>
                    <w:rPr>
                      <w:rFonts w:hint="eastAsia"/>
                      <w:color w:val="000000"/>
                      <w:highlight w:val="none"/>
                      <w:lang w:val="en-US" w:eastAsia="zh-CN"/>
                    </w:rPr>
                  </w:pPr>
                  <w:r>
                    <w:rPr>
                      <w:rFonts w:hint="eastAsia"/>
                      <w:color w:val="000000"/>
                      <w:highlight w:val="none"/>
                    </w:rPr>
                    <w:t>HW34</w:t>
                  </w:r>
                  <w:r>
                    <w:rPr>
                      <w:rFonts w:hint="eastAsia"/>
                      <w:color w:val="000000"/>
                      <w:highlight w:val="none"/>
                      <w:lang w:val="en-US" w:eastAsia="zh-CN"/>
                    </w:rPr>
                    <w:t xml:space="preserve"> </w:t>
                  </w:r>
                  <w:r>
                    <w:rPr>
                      <w:rFonts w:hint="eastAsia"/>
                      <w:color w:val="000000"/>
                      <w:highlight w:val="none"/>
                    </w:rPr>
                    <w:t>900-300-34</w:t>
                  </w:r>
                </w:p>
              </w:tc>
              <w:tc>
                <w:tcPr>
                  <w:tcW w:w="537" w:type="pct"/>
                  <w:tcBorders>
                    <w:tl2br w:val="nil"/>
                    <w:tr2bl w:val="nil"/>
                  </w:tcBorders>
                  <w:shd w:val="clear" w:color="auto" w:fill="auto"/>
                  <w:noWrap w:val="0"/>
                  <w:vAlign w:val="center"/>
                </w:tcPr>
                <w:p w14:paraId="11FBE0DB">
                  <w:pPr>
                    <w:shd w:val="clear" w:color="auto" w:fill="auto"/>
                    <w:bidi w:val="0"/>
                    <w:jc w:val="center"/>
                    <w:rPr>
                      <w:rFonts w:hint="default"/>
                      <w:color w:val="000000"/>
                      <w:highlight w:val="none"/>
                      <w:lang w:val="en-US" w:eastAsia="zh-CN"/>
                    </w:rPr>
                  </w:pPr>
                  <w:r>
                    <w:rPr>
                      <w:rFonts w:hint="eastAsia"/>
                      <w:color w:val="000000"/>
                      <w:highlight w:val="none"/>
                      <w:lang w:val="en-US" w:eastAsia="zh-CN"/>
                    </w:rPr>
                    <w:t>0.002</w:t>
                  </w:r>
                </w:p>
              </w:tc>
              <w:tc>
                <w:tcPr>
                  <w:tcW w:w="550" w:type="pct"/>
                  <w:tcBorders>
                    <w:tl2br w:val="nil"/>
                    <w:tr2bl w:val="nil"/>
                  </w:tcBorders>
                  <w:shd w:val="clear" w:color="auto" w:fill="auto"/>
                  <w:noWrap w:val="0"/>
                  <w:vAlign w:val="center"/>
                </w:tcPr>
                <w:p w14:paraId="6B8AF49E">
                  <w:pPr>
                    <w:shd w:val="clear" w:color="auto" w:fill="auto"/>
                    <w:bidi w:val="0"/>
                    <w:jc w:val="center"/>
                    <w:rPr>
                      <w:rFonts w:hint="default"/>
                      <w:color w:val="000000"/>
                      <w:highlight w:val="none"/>
                      <w:lang w:val="en-US" w:eastAsia="zh-CN"/>
                    </w:rPr>
                  </w:pPr>
                  <w:r>
                    <w:rPr>
                      <w:rFonts w:hint="eastAsia"/>
                      <w:color w:val="000000"/>
                      <w:highlight w:val="none"/>
                      <w:lang w:val="en-US" w:eastAsia="zh-CN"/>
                    </w:rPr>
                    <w:t>0.002</w:t>
                  </w:r>
                </w:p>
              </w:tc>
              <w:tc>
                <w:tcPr>
                  <w:tcW w:w="1105" w:type="pct"/>
                  <w:vMerge w:val="continue"/>
                  <w:tcBorders>
                    <w:tl2br w:val="nil"/>
                    <w:tr2bl w:val="nil"/>
                  </w:tcBorders>
                  <w:shd w:val="clear" w:color="auto" w:fill="auto"/>
                  <w:noWrap w:val="0"/>
                  <w:vAlign w:val="center"/>
                </w:tcPr>
                <w:p w14:paraId="15A7FB88">
                  <w:pPr>
                    <w:shd w:val="clear" w:color="auto" w:fill="auto"/>
                    <w:bidi w:val="0"/>
                    <w:rPr>
                      <w:color w:val="000000"/>
                      <w:highlight w:val="none"/>
                    </w:rPr>
                  </w:pPr>
                </w:p>
              </w:tc>
              <w:tc>
                <w:tcPr>
                  <w:tcW w:w="673" w:type="pct"/>
                  <w:vMerge w:val="continue"/>
                  <w:tcBorders>
                    <w:tl2br w:val="nil"/>
                    <w:tr2bl w:val="nil"/>
                  </w:tcBorders>
                  <w:shd w:val="clear" w:color="auto" w:fill="auto"/>
                  <w:noWrap w:val="0"/>
                  <w:vAlign w:val="center"/>
                </w:tcPr>
                <w:p w14:paraId="0924CD79">
                  <w:pPr>
                    <w:shd w:val="clear" w:color="auto" w:fill="auto"/>
                    <w:bidi w:val="0"/>
                    <w:rPr>
                      <w:color w:val="000000"/>
                      <w:highlight w:val="none"/>
                    </w:rPr>
                  </w:pPr>
                </w:p>
              </w:tc>
            </w:tr>
            <w:tr w14:paraId="4CA9E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2" w:hRule="atLeast"/>
              </w:trPr>
              <w:tc>
                <w:tcPr>
                  <w:tcW w:w="792" w:type="pct"/>
                  <w:tcBorders>
                    <w:tl2br w:val="nil"/>
                    <w:tr2bl w:val="nil"/>
                  </w:tcBorders>
                  <w:shd w:val="clear" w:color="auto" w:fill="auto"/>
                  <w:noWrap w:val="0"/>
                  <w:vAlign w:val="center"/>
                </w:tcPr>
                <w:p w14:paraId="3B6D19A4">
                  <w:pPr>
                    <w:shd w:val="clear" w:color="auto" w:fill="auto"/>
                    <w:bidi w:val="0"/>
                    <w:jc w:val="center"/>
                    <w:rPr>
                      <w:rFonts w:hint="default"/>
                      <w:color w:val="000000"/>
                      <w:highlight w:val="none"/>
                      <w:lang w:val="en-US" w:eastAsia="zh-CN"/>
                    </w:rPr>
                  </w:pPr>
                  <w:r>
                    <w:rPr>
                      <w:rFonts w:hint="eastAsia"/>
                      <w:color w:val="000000"/>
                      <w:highlight w:val="none"/>
                      <w:lang w:val="en-US" w:eastAsia="zh-CN"/>
                    </w:rPr>
                    <w:t>废活性炭</w:t>
                  </w:r>
                </w:p>
              </w:tc>
              <w:tc>
                <w:tcPr>
                  <w:tcW w:w="466" w:type="pct"/>
                  <w:vMerge w:val="continue"/>
                  <w:tcBorders>
                    <w:tl2br w:val="nil"/>
                    <w:tr2bl w:val="nil"/>
                  </w:tcBorders>
                  <w:shd w:val="clear" w:color="auto" w:fill="auto"/>
                  <w:noWrap w:val="0"/>
                  <w:vAlign w:val="center"/>
                </w:tcPr>
                <w:p w14:paraId="02BDEB8B">
                  <w:pPr>
                    <w:shd w:val="clear" w:color="auto" w:fill="auto"/>
                    <w:bidi w:val="0"/>
                    <w:jc w:val="center"/>
                    <w:rPr>
                      <w:color w:val="000000"/>
                      <w:highlight w:val="none"/>
                    </w:rPr>
                  </w:pPr>
                </w:p>
              </w:tc>
              <w:tc>
                <w:tcPr>
                  <w:tcW w:w="874" w:type="pct"/>
                  <w:tcBorders>
                    <w:tl2br w:val="nil"/>
                    <w:tr2bl w:val="nil"/>
                  </w:tcBorders>
                  <w:shd w:val="clear" w:color="auto" w:fill="auto"/>
                  <w:noWrap w:val="0"/>
                  <w:vAlign w:val="center"/>
                </w:tcPr>
                <w:p w14:paraId="27224ADC">
                  <w:pPr>
                    <w:shd w:val="clear" w:color="auto" w:fill="auto"/>
                    <w:bidi w:val="0"/>
                    <w:jc w:val="center"/>
                    <w:rPr>
                      <w:rFonts w:hint="eastAsia"/>
                      <w:color w:val="000000"/>
                      <w:highlight w:val="none"/>
                    </w:rPr>
                  </w:pPr>
                  <w:r>
                    <w:rPr>
                      <w:color w:val="000000"/>
                      <w:highlight w:val="none"/>
                    </w:rPr>
                    <w:t xml:space="preserve">HW49 </w:t>
                  </w:r>
                  <w:r>
                    <w:rPr>
                      <w:rFonts w:hint="eastAsia"/>
                      <w:color w:val="000000"/>
                      <w:highlight w:val="none"/>
                    </w:rPr>
                    <w:t>900-</w:t>
                  </w:r>
                  <w:r>
                    <w:rPr>
                      <w:rFonts w:hint="eastAsia"/>
                      <w:color w:val="000000"/>
                      <w:highlight w:val="none"/>
                      <w:lang w:val="en-US" w:eastAsia="zh-CN"/>
                    </w:rPr>
                    <w:t>039</w:t>
                  </w:r>
                  <w:r>
                    <w:rPr>
                      <w:rFonts w:hint="eastAsia"/>
                      <w:color w:val="000000"/>
                      <w:highlight w:val="none"/>
                    </w:rPr>
                    <w:t>-</w:t>
                  </w:r>
                  <w:r>
                    <w:rPr>
                      <w:rFonts w:hint="eastAsia"/>
                      <w:color w:val="000000"/>
                      <w:highlight w:val="none"/>
                      <w:lang w:val="en-US" w:eastAsia="zh-CN"/>
                    </w:rPr>
                    <w:t>49</w:t>
                  </w:r>
                </w:p>
              </w:tc>
              <w:tc>
                <w:tcPr>
                  <w:tcW w:w="537" w:type="pct"/>
                  <w:tcBorders>
                    <w:tl2br w:val="nil"/>
                    <w:tr2bl w:val="nil"/>
                  </w:tcBorders>
                  <w:shd w:val="clear" w:color="auto" w:fill="auto"/>
                  <w:noWrap w:val="0"/>
                  <w:vAlign w:val="center"/>
                </w:tcPr>
                <w:p w14:paraId="32415BC0">
                  <w:pPr>
                    <w:shd w:val="clear" w:color="auto" w:fill="auto"/>
                    <w:bidi w:val="0"/>
                    <w:jc w:val="center"/>
                    <w:rPr>
                      <w:rFonts w:hint="default"/>
                      <w:color w:val="auto"/>
                      <w:highlight w:val="none"/>
                      <w:lang w:val="en-US" w:eastAsia="zh-CN"/>
                    </w:rPr>
                  </w:pPr>
                  <w:r>
                    <w:rPr>
                      <w:rFonts w:hint="eastAsia"/>
                      <w:color w:val="auto"/>
                      <w:highlight w:val="none"/>
                      <w:lang w:val="en-US" w:eastAsia="zh-CN"/>
                    </w:rPr>
                    <w:t>0.5</w:t>
                  </w:r>
                </w:p>
              </w:tc>
              <w:tc>
                <w:tcPr>
                  <w:tcW w:w="550" w:type="pct"/>
                  <w:tcBorders>
                    <w:tl2br w:val="nil"/>
                    <w:tr2bl w:val="nil"/>
                  </w:tcBorders>
                  <w:shd w:val="clear" w:color="auto" w:fill="auto"/>
                  <w:noWrap w:val="0"/>
                  <w:vAlign w:val="center"/>
                </w:tcPr>
                <w:p w14:paraId="63CE7896">
                  <w:pPr>
                    <w:shd w:val="clear" w:color="auto" w:fill="auto"/>
                    <w:bidi w:val="0"/>
                    <w:jc w:val="center"/>
                    <w:rPr>
                      <w:rFonts w:hint="default"/>
                      <w:color w:val="auto"/>
                      <w:highlight w:val="none"/>
                      <w:lang w:val="en-US" w:eastAsia="zh-CN"/>
                    </w:rPr>
                  </w:pPr>
                  <w:r>
                    <w:rPr>
                      <w:rFonts w:hint="eastAsia"/>
                      <w:color w:val="auto"/>
                      <w:highlight w:val="none"/>
                      <w:lang w:val="en-US" w:eastAsia="zh-CN"/>
                    </w:rPr>
                    <w:t>0.5</w:t>
                  </w:r>
                </w:p>
              </w:tc>
              <w:tc>
                <w:tcPr>
                  <w:tcW w:w="1105" w:type="pct"/>
                  <w:vMerge w:val="continue"/>
                  <w:tcBorders>
                    <w:tl2br w:val="nil"/>
                    <w:tr2bl w:val="nil"/>
                  </w:tcBorders>
                  <w:shd w:val="clear" w:color="auto" w:fill="auto"/>
                  <w:noWrap w:val="0"/>
                  <w:vAlign w:val="center"/>
                </w:tcPr>
                <w:p w14:paraId="16885BAD">
                  <w:pPr>
                    <w:shd w:val="clear" w:color="auto" w:fill="auto"/>
                    <w:bidi w:val="0"/>
                    <w:rPr>
                      <w:color w:val="000000"/>
                      <w:highlight w:val="none"/>
                    </w:rPr>
                  </w:pPr>
                </w:p>
              </w:tc>
              <w:tc>
                <w:tcPr>
                  <w:tcW w:w="673" w:type="pct"/>
                  <w:vMerge w:val="continue"/>
                  <w:tcBorders>
                    <w:tl2br w:val="nil"/>
                    <w:tr2bl w:val="nil"/>
                  </w:tcBorders>
                  <w:shd w:val="clear" w:color="auto" w:fill="auto"/>
                  <w:noWrap w:val="0"/>
                  <w:vAlign w:val="center"/>
                </w:tcPr>
                <w:p w14:paraId="193CF9A7">
                  <w:pPr>
                    <w:shd w:val="clear" w:color="auto" w:fill="auto"/>
                    <w:bidi w:val="0"/>
                    <w:rPr>
                      <w:color w:val="000000"/>
                      <w:highlight w:val="none"/>
                    </w:rPr>
                  </w:pPr>
                </w:p>
              </w:tc>
            </w:tr>
          </w:tbl>
          <w:p w14:paraId="7B713C10">
            <w:pPr>
              <w:shd w:val="clear" w:color="auto" w:fill="auto"/>
              <w:adjustRightInd w:val="0"/>
              <w:spacing w:line="360" w:lineRule="auto"/>
              <w:ind w:firstLine="422" w:firstLineChars="200"/>
              <w:jc w:val="left"/>
              <w:rPr>
                <w:rFonts w:hint="eastAsia" w:ascii="Times New Roman" w:hAnsi="Times New Roman" w:eastAsia="宋体" w:cs="Times New Roman"/>
                <w:b/>
                <w:bCs/>
                <w:color w:val="000000"/>
                <w:kern w:val="0"/>
                <w:sz w:val="21"/>
                <w:szCs w:val="21"/>
                <w:highlight w:val="none"/>
              </w:rPr>
            </w:pPr>
            <w:r>
              <w:rPr>
                <w:rFonts w:hint="eastAsia" w:cs="Times New Roman"/>
                <w:b/>
                <w:bCs/>
                <w:color w:val="000000"/>
                <w:kern w:val="0"/>
                <w:sz w:val="21"/>
                <w:szCs w:val="21"/>
                <w:highlight w:val="none"/>
                <w:lang w:eastAsia="zh-CN"/>
              </w:rPr>
              <w:t>2.</w:t>
            </w:r>
            <w:r>
              <w:rPr>
                <w:rFonts w:hint="eastAsia" w:ascii="Times New Roman" w:hAnsi="Times New Roman" w:eastAsia="宋体" w:cs="Times New Roman"/>
                <w:b/>
                <w:bCs/>
                <w:color w:val="000000"/>
                <w:kern w:val="0"/>
                <w:sz w:val="21"/>
                <w:szCs w:val="21"/>
                <w:highlight w:val="none"/>
              </w:rPr>
              <w:t>环境管理要求</w:t>
            </w:r>
          </w:p>
          <w:p w14:paraId="29B42319">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rPr>
                <w:rFonts w:hint="default" w:ascii="Times New Roman" w:hAnsi="Times New Roman" w:cs="Times New Roman"/>
                <w:b w:val="0"/>
                <w:bCs w:val="0"/>
                <w:color w:val="000000"/>
                <w:sz w:val="21"/>
                <w:szCs w:val="21"/>
                <w:highlight w:val="none"/>
                <w:lang w:val="en-US" w:eastAsia="zh-CN"/>
              </w:rPr>
            </w:pPr>
            <w:r>
              <w:rPr>
                <w:rFonts w:hint="eastAsia" w:ascii="Times New Roman" w:hAnsi="Times New Roman" w:cs="Times New Roman"/>
                <w:b w:val="0"/>
                <w:bCs w:val="0"/>
                <w:color w:val="000000"/>
                <w:sz w:val="21"/>
                <w:szCs w:val="21"/>
                <w:highlight w:val="none"/>
                <w:lang w:val="en-US" w:eastAsia="zh-CN"/>
              </w:rPr>
              <w:t>（1）</w:t>
            </w:r>
            <w:r>
              <w:rPr>
                <w:rFonts w:hint="eastAsia" w:cs="Times New Roman"/>
                <w:b w:val="0"/>
                <w:bCs w:val="0"/>
                <w:color w:val="000000"/>
                <w:sz w:val="21"/>
                <w:szCs w:val="21"/>
                <w:highlight w:val="none"/>
                <w:lang w:val="en-US" w:eastAsia="zh-CN"/>
              </w:rPr>
              <w:t>危险废物贮存间</w:t>
            </w:r>
            <w:r>
              <w:rPr>
                <w:rFonts w:hint="eastAsia" w:ascii="Times New Roman" w:hAnsi="Times New Roman" w:cs="Times New Roman"/>
                <w:b w:val="0"/>
                <w:bCs w:val="0"/>
                <w:color w:val="000000"/>
                <w:sz w:val="21"/>
                <w:szCs w:val="21"/>
                <w:highlight w:val="none"/>
                <w:lang w:val="en-US" w:eastAsia="zh-CN"/>
              </w:rPr>
              <w:t>建设以及管理要求</w:t>
            </w:r>
          </w:p>
          <w:p w14:paraId="05A70BB6">
            <w:pPr>
              <w:widowControl/>
              <w:shd w:val="clear" w:color="auto" w:fill="auto"/>
              <w:spacing w:line="360" w:lineRule="auto"/>
              <w:ind w:firstLine="482"/>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本项目拟建设</w:t>
            </w:r>
            <w:r>
              <w:rPr>
                <w:rFonts w:hint="eastAsia" w:cs="Times New Roman"/>
                <w:b w:val="0"/>
                <w:bCs w:val="0"/>
                <w:color w:val="000000"/>
                <w:sz w:val="21"/>
                <w:szCs w:val="21"/>
                <w:highlight w:val="none"/>
                <w:lang w:val="en-US" w:eastAsia="zh-CN"/>
              </w:rPr>
              <w:t>危险废物贮存间</w:t>
            </w:r>
            <w:r>
              <w:rPr>
                <w:rFonts w:hint="eastAsia" w:ascii="Times New Roman" w:hAnsi="Times New Roman" w:eastAsia="宋体" w:cs="Times New Roman"/>
                <w:b w:val="0"/>
                <w:bCs w:val="0"/>
                <w:color w:val="000000"/>
                <w:sz w:val="21"/>
                <w:szCs w:val="21"/>
                <w:highlight w:val="none"/>
                <w:lang w:val="en-US" w:eastAsia="zh-CN"/>
              </w:rPr>
              <w:t>1座，面积10㎡</w:t>
            </w:r>
            <w:r>
              <w:rPr>
                <w:rFonts w:hint="eastAsia" w:cs="Times New Roman"/>
                <w:b w:val="0"/>
                <w:bCs w:val="0"/>
                <w:color w:val="000000"/>
                <w:sz w:val="21"/>
                <w:szCs w:val="21"/>
                <w:highlight w:val="none"/>
                <w:lang w:val="en-US" w:eastAsia="zh-CN"/>
              </w:rPr>
              <w:t>。</w:t>
            </w:r>
            <w:r>
              <w:rPr>
                <w:rFonts w:hint="eastAsia" w:ascii="Times New Roman" w:hAnsi="Times New Roman" w:eastAsia="宋体" w:cs="Times New Roman"/>
                <w:b w:val="0"/>
                <w:bCs w:val="0"/>
                <w:color w:val="000000"/>
                <w:sz w:val="21"/>
                <w:szCs w:val="21"/>
                <w:highlight w:val="none"/>
                <w:lang w:val="en-US" w:eastAsia="zh-CN"/>
              </w:rPr>
              <w:t>废机油等危险废物分类暂存于</w:t>
            </w:r>
            <w:r>
              <w:rPr>
                <w:rFonts w:hint="eastAsia" w:cs="Times New Roman"/>
                <w:b w:val="0"/>
                <w:bCs w:val="0"/>
                <w:color w:val="000000"/>
                <w:sz w:val="21"/>
                <w:szCs w:val="21"/>
                <w:highlight w:val="none"/>
                <w:lang w:val="en-US" w:eastAsia="zh-CN"/>
              </w:rPr>
              <w:t>危险废物贮存间</w:t>
            </w:r>
            <w:r>
              <w:rPr>
                <w:rFonts w:hint="eastAsia" w:ascii="Times New Roman" w:hAnsi="Times New Roman" w:eastAsia="宋体" w:cs="Times New Roman"/>
                <w:b w:val="0"/>
                <w:bCs w:val="0"/>
                <w:color w:val="000000"/>
                <w:sz w:val="21"/>
                <w:szCs w:val="21"/>
                <w:highlight w:val="none"/>
                <w:lang w:val="en-US" w:eastAsia="zh-CN"/>
              </w:rPr>
              <w:t>，定期交有资质单位处置。</w:t>
            </w:r>
            <w:r>
              <w:rPr>
                <w:rFonts w:hint="eastAsia" w:cs="Times New Roman"/>
                <w:b w:val="0"/>
                <w:bCs w:val="0"/>
                <w:color w:val="000000"/>
                <w:sz w:val="21"/>
                <w:szCs w:val="21"/>
                <w:highlight w:val="none"/>
                <w:lang w:val="en-US" w:eastAsia="zh-CN"/>
              </w:rPr>
              <w:t>危险废物贮存间</w:t>
            </w:r>
            <w:r>
              <w:rPr>
                <w:rFonts w:hint="eastAsia" w:ascii="Times New Roman" w:hAnsi="Times New Roman" w:eastAsia="宋体" w:cs="Times New Roman"/>
                <w:b w:val="0"/>
                <w:bCs w:val="0"/>
                <w:color w:val="000000"/>
                <w:sz w:val="21"/>
                <w:szCs w:val="21"/>
                <w:highlight w:val="none"/>
                <w:lang w:val="en-US" w:eastAsia="zh-CN"/>
              </w:rPr>
              <w:t>的建设必须满足以下要求：</w:t>
            </w:r>
          </w:p>
          <w:p w14:paraId="5EB462CE">
            <w:pPr>
              <w:widowControl/>
              <w:shd w:val="clear" w:color="auto" w:fill="auto"/>
              <w:spacing w:line="360" w:lineRule="auto"/>
              <w:ind w:firstLine="482"/>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①根据《危险废物贮存污染控制标准》（GB18597-2023）中的相关规定，危险废物要有专门的容器进行分类贮存，装载危险废物的容器及材质要满足相应的强度要求；必须定期对所贮存的危险废物包装容器及贮存设施进行检查，发现破损，应及时采取措施清理更换；危险废物贮存设施都必须按</w:t>
            </w:r>
            <w:r>
              <w:rPr>
                <w:rFonts w:hint="default" w:ascii="Times New Roman" w:hAnsi="Times New Roman" w:eastAsia="宋体" w:cs="Times New Roman"/>
                <w:color w:val="000000"/>
                <w:sz w:val="21"/>
                <w:szCs w:val="21"/>
                <w:highlight w:val="none"/>
                <w:lang w:val="en-US" w:eastAsia="zh-CN"/>
              </w:rPr>
              <w:t>GB15562.2</w:t>
            </w:r>
            <w:r>
              <w:rPr>
                <w:rFonts w:hint="eastAsia" w:ascii="Times New Roman" w:hAnsi="Times New Roman" w:eastAsia="宋体" w:cs="Times New Roman"/>
                <w:color w:val="000000"/>
                <w:sz w:val="21"/>
                <w:szCs w:val="21"/>
                <w:highlight w:val="none"/>
                <w:lang w:val="en-US" w:eastAsia="zh-CN"/>
              </w:rPr>
              <w:t>、GB18597-2023的规定设置警示标志；管理及运输人员必须采取必要的安全防护措施。</w:t>
            </w:r>
          </w:p>
          <w:p w14:paraId="21871551">
            <w:pPr>
              <w:widowControl/>
              <w:shd w:val="clear" w:color="auto" w:fill="auto"/>
              <w:spacing w:line="360" w:lineRule="auto"/>
              <w:ind w:firstLine="482"/>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②危废存放间地面与墙角要用坚固、防渗的材料建筑，并必须与危险废物相容；内部有安全照明设施和观察窗口；内部场地要有耐腐蚀的硬化地面且表面无裂隙；不相容的危险废物必须分开存放并设有隔离间隔离；地面应进行防渗（推荐方法：混凝土地面用环氧树脂处理或铺设一层</w:t>
            </w:r>
            <w:r>
              <w:rPr>
                <w:rFonts w:hint="default" w:ascii="Times New Roman" w:hAnsi="Times New Roman" w:eastAsia="宋体" w:cs="Times New Roman"/>
                <w:color w:val="000000"/>
                <w:sz w:val="21"/>
                <w:szCs w:val="21"/>
                <w:highlight w:val="none"/>
                <w:lang w:val="en-US" w:eastAsia="zh-CN"/>
              </w:rPr>
              <w:t>2m</w:t>
            </w:r>
            <w:r>
              <w:rPr>
                <w:rFonts w:hint="eastAsia" w:cs="Times New Roman"/>
                <w:color w:val="000000"/>
                <w:sz w:val="21"/>
                <w:szCs w:val="21"/>
                <w:highlight w:val="none"/>
                <w:lang w:val="en-US" w:eastAsia="zh-CN"/>
              </w:rPr>
              <w:t>m厚度</w:t>
            </w:r>
            <w:r>
              <w:rPr>
                <w:rFonts w:hint="eastAsia" w:ascii="Times New Roman" w:hAnsi="Times New Roman" w:eastAsia="宋体" w:cs="Times New Roman"/>
                <w:color w:val="000000"/>
                <w:sz w:val="21"/>
                <w:szCs w:val="21"/>
                <w:highlight w:val="none"/>
                <w:lang w:val="en-US" w:eastAsia="zh-CN"/>
              </w:rPr>
              <w:t>聚乙烯后再铺设厚瓷砖或防渗层至少</w:t>
            </w:r>
            <w:r>
              <w:rPr>
                <w:rFonts w:hint="default" w:ascii="Times New Roman" w:hAnsi="Times New Roman" w:eastAsia="宋体" w:cs="Times New Roman"/>
                <w:color w:val="000000"/>
                <w:sz w:val="21"/>
                <w:szCs w:val="21"/>
                <w:highlight w:val="none"/>
                <w:lang w:val="en-US" w:eastAsia="zh-CN"/>
              </w:rPr>
              <w:t>1m</w:t>
            </w:r>
            <w:r>
              <w:rPr>
                <w:rFonts w:hint="eastAsia" w:ascii="Times New Roman" w:hAnsi="Times New Roman" w:eastAsia="宋体" w:cs="Times New Roman"/>
                <w:color w:val="000000"/>
                <w:sz w:val="21"/>
                <w:szCs w:val="21"/>
                <w:highlight w:val="none"/>
                <w:lang w:val="en-US" w:eastAsia="zh-CN"/>
              </w:rPr>
              <w:t>厚黏土层，渗透系数≦</w:t>
            </w:r>
            <w:r>
              <w:rPr>
                <w:rFonts w:hint="default" w:ascii="Times New Roman" w:hAnsi="Times New Roman" w:eastAsia="宋体" w:cs="Times New Roman"/>
                <w:color w:val="000000"/>
                <w:sz w:val="21"/>
                <w:szCs w:val="21"/>
                <w:highlight w:val="none"/>
                <w:lang w:val="en-US" w:eastAsia="zh-CN"/>
              </w:rPr>
              <w:t>1.0×10</w:t>
            </w:r>
            <w:r>
              <w:rPr>
                <w:rFonts w:hint="default" w:ascii="Times New Roman" w:hAnsi="Times New Roman" w:eastAsia="宋体" w:cs="Times New Roman"/>
                <w:color w:val="000000"/>
                <w:sz w:val="21"/>
                <w:szCs w:val="21"/>
                <w:highlight w:val="none"/>
                <w:vertAlign w:val="superscript"/>
                <w:lang w:val="en-US" w:eastAsia="zh-CN"/>
              </w:rPr>
              <w:t>-7</w:t>
            </w:r>
            <w:r>
              <w:rPr>
                <w:rFonts w:hint="default" w:ascii="Times New Roman" w:hAnsi="Times New Roman" w:eastAsia="宋体" w:cs="Times New Roman"/>
                <w:color w:val="000000"/>
                <w:sz w:val="21"/>
                <w:szCs w:val="21"/>
                <w:highlight w:val="none"/>
                <w:lang w:val="en-US" w:eastAsia="zh-CN"/>
              </w:rPr>
              <w:t>cm/s</w:t>
            </w:r>
            <w:r>
              <w:rPr>
                <w:rFonts w:hint="eastAsia" w:ascii="Times New Roman" w:hAnsi="Times New Roman" w:eastAsia="宋体" w:cs="Times New Roman"/>
                <w:color w:val="000000"/>
                <w:sz w:val="21"/>
                <w:szCs w:val="21"/>
                <w:highlight w:val="none"/>
                <w:lang w:val="en-US" w:eastAsia="zh-CN"/>
              </w:rPr>
              <w:t>，或至少</w:t>
            </w:r>
            <w:r>
              <w:rPr>
                <w:rFonts w:hint="default" w:ascii="Times New Roman" w:hAnsi="Times New Roman" w:eastAsia="宋体" w:cs="Times New Roman"/>
                <w:color w:val="000000"/>
                <w:sz w:val="21"/>
                <w:szCs w:val="21"/>
                <w:highlight w:val="none"/>
                <w:lang w:val="en-US" w:eastAsia="zh-CN"/>
              </w:rPr>
              <w:t>2mm</w:t>
            </w:r>
            <w:r>
              <w:rPr>
                <w:rFonts w:hint="eastAsia" w:ascii="Times New Roman" w:hAnsi="Times New Roman" w:eastAsia="宋体" w:cs="Times New Roman"/>
                <w:color w:val="000000"/>
                <w:sz w:val="21"/>
                <w:szCs w:val="21"/>
                <w:highlight w:val="none"/>
                <w:lang w:val="en-US" w:eastAsia="zh-CN"/>
              </w:rPr>
              <w:t>厚其他人工材料，渗透系数≦</w:t>
            </w:r>
            <w:r>
              <w:rPr>
                <w:rFonts w:hint="default" w:ascii="Times New Roman" w:hAnsi="Times New Roman" w:eastAsia="宋体" w:cs="Times New Roman"/>
                <w:color w:val="000000"/>
                <w:sz w:val="21"/>
                <w:szCs w:val="21"/>
                <w:highlight w:val="none"/>
                <w:lang w:val="en-US" w:eastAsia="zh-CN"/>
              </w:rPr>
              <w:t>1.0×10</w:t>
            </w:r>
            <w:r>
              <w:rPr>
                <w:rFonts w:hint="default" w:ascii="Times New Roman" w:hAnsi="Times New Roman" w:eastAsia="宋体" w:cs="Times New Roman"/>
                <w:color w:val="000000"/>
                <w:sz w:val="21"/>
                <w:szCs w:val="21"/>
                <w:highlight w:val="none"/>
                <w:vertAlign w:val="superscript"/>
                <w:lang w:val="en-US" w:eastAsia="zh-CN"/>
              </w:rPr>
              <w:t>-10</w:t>
            </w:r>
            <w:r>
              <w:rPr>
                <w:rFonts w:hint="default" w:ascii="Times New Roman" w:hAnsi="Times New Roman" w:eastAsia="宋体" w:cs="Times New Roman"/>
                <w:color w:val="000000"/>
                <w:sz w:val="21"/>
                <w:szCs w:val="21"/>
                <w:highlight w:val="none"/>
                <w:lang w:val="en-US" w:eastAsia="zh-CN"/>
              </w:rPr>
              <w:t>cm/s</w:t>
            </w:r>
            <w:r>
              <w:rPr>
                <w:rFonts w:hint="eastAsia" w:ascii="Times New Roman" w:hAnsi="Times New Roman" w:eastAsia="宋体" w:cs="Times New Roman"/>
                <w:color w:val="000000"/>
                <w:sz w:val="21"/>
                <w:szCs w:val="21"/>
                <w:highlight w:val="none"/>
                <w:lang w:val="en-US" w:eastAsia="zh-CN"/>
              </w:rPr>
              <w:t>）；不相容的危险废物必须分开存放，设备维护产生的废润滑油均采用专用容器进行收集。</w:t>
            </w:r>
          </w:p>
          <w:p w14:paraId="5D9DF2E4">
            <w:pPr>
              <w:widowControl/>
              <w:shd w:val="clear" w:color="auto" w:fill="auto"/>
              <w:spacing w:line="360" w:lineRule="auto"/>
              <w:ind w:firstLine="482"/>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②装载液体、半固体危险废物的容器内须留足够空间，容器顶部与液体表面之间保留</w:t>
            </w:r>
            <w:r>
              <w:rPr>
                <w:rFonts w:hint="default" w:ascii="Times New Roman" w:hAnsi="Times New Roman" w:eastAsia="宋体" w:cs="Times New Roman"/>
                <w:color w:val="000000"/>
                <w:sz w:val="21"/>
                <w:szCs w:val="21"/>
                <w:highlight w:val="none"/>
                <w:lang w:val="en-US" w:eastAsia="zh-CN"/>
              </w:rPr>
              <w:t>100</w:t>
            </w:r>
            <w:r>
              <w:rPr>
                <w:rFonts w:hint="eastAsia" w:ascii="Times New Roman" w:hAnsi="Times New Roman" w:eastAsia="宋体" w:cs="Times New Roman"/>
                <w:color w:val="000000"/>
                <w:sz w:val="21"/>
                <w:szCs w:val="21"/>
                <w:highlight w:val="none"/>
                <w:lang w:val="en-US" w:eastAsia="zh-CN"/>
              </w:rPr>
              <w:t>毫米以上的空间。</w:t>
            </w:r>
          </w:p>
          <w:p w14:paraId="14032D2C">
            <w:pPr>
              <w:widowControl/>
              <w:shd w:val="clear" w:color="auto" w:fill="auto"/>
              <w:spacing w:line="360" w:lineRule="auto"/>
              <w:ind w:firstLine="482"/>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③盛装危险废物的容器上必须粘贴符合标准的标签。</w:t>
            </w:r>
          </w:p>
          <w:p w14:paraId="245992CD">
            <w:pPr>
              <w:widowControl/>
              <w:shd w:val="clear" w:color="auto" w:fill="auto"/>
              <w:spacing w:line="360" w:lineRule="auto"/>
              <w:ind w:firstLine="482"/>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④装载危险废物的容器必须完好无损，材质要满足相应的强度要求，容器材质与衬里要与危险废物相容（不相互反应）。</w:t>
            </w:r>
          </w:p>
          <w:p w14:paraId="622FCFC1">
            <w:pPr>
              <w:widowControl/>
              <w:shd w:val="clear" w:color="auto" w:fill="auto"/>
              <w:spacing w:line="360" w:lineRule="auto"/>
              <w:ind w:firstLine="482"/>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⑤安排专人对危险废物暂存库进行定期检查，制定危险废物事故应急预案并配备相应的应急物资，按要求切实做到防渗漏</w:t>
            </w:r>
            <w:r>
              <w:rPr>
                <w:rFonts w:hint="eastAsia"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防雨淋、防流失的“三防”措施。切实落实防渗措施，做好地面硬化，防止危险废物对地下水的影响。除此之外，建设单位还应建立台账，明确标识，委托有资质单位按规范处置。</w:t>
            </w:r>
          </w:p>
          <w:p w14:paraId="0717EEBD">
            <w:pPr>
              <w:widowControl/>
              <w:shd w:val="clear" w:color="auto" w:fill="auto"/>
              <w:spacing w:line="360" w:lineRule="auto"/>
              <w:ind w:firstLine="482"/>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⑥危险废物贮存</w:t>
            </w:r>
            <w:r>
              <w:rPr>
                <w:rFonts w:hint="eastAsia" w:cs="Times New Roman"/>
                <w:color w:val="000000"/>
                <w:sz w:val="21"/>
                <w:szCs w:val="21"/>
                <w:highlight w:val="none"/>
                <w:lang w:val="en-US" w:eastAsia="zh-CN"/>
              </w:rPr>
              <w:t>设施</w:t>
            </w:r>
            <w:r>
              <w:rPr>
                <w:rFonts w:hint="eastAsia" w:ascii="Times New Roman" w:hAnsi="Times New Roman" w:eastAsia="宋体" w:cs="Times New Roman"/>
                <w:color w:val="000000"/>
                <w:sz w:val="21"/>
                <w:szCs w:val="21"/>
                <w:highlight w:val="none"/>
                <w:lang w:val="en-US" w:eastAsia="zh-CN"/>
              </w:rPr>
              <w:t>必须按</w:t>
            </w:r>
            <w:r>
              <w:rPr>
                <w:rFonts w:hint="default" w:ascii="Times New Roman" w:hAnsi="Times New Roman" w:eastAsia="宋体" w:cs="Times New Roman"/>
                <w:color w:val="000000"/>
                <w:sz w:val="21"/>
                <w:szCs w:val="21"/>
                <w:highlight w:val="none"/>
                <w:lang w:val="en-US" w:eastAsia="zh-CN"/>
              </w:rPr>
              <w:t>GB15562.2</w:t>
            </w:r>
            <w:r>
              <w:rPr>
                <w:rFonts w:hint="eastAsia" w:ascii="Times New Roman" w:hAnsi="Times New Roman" w:eastAsia="宋体" w:cs="Times New Roman"/>
                <w:color w:val="000000"/>
                <w:sz w:val="21"/>
                <w:szCs w:val="21"/>
                <w:highlight w:val="none"/>
                <w:lang w:val="en-US" w:eastAsia="zh-CN"/>
              </w:rPr>
              <w:t>的规定设置警示标志；管理及运输人员必须采取必要的安全防护措施。定期对所贮存的危险废物包装容器及贮存设施进行检查，发现破损，应及时采取措施清理更换。</w:t>
            </w:r>
          </w:p>
          <w:p w14:paraId="235AA4B1">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outlineLvl w:val="2"/>
              <w:rPr>
                <w:rFonts w:hint="default" w:ascii="Times New Roman" w:hAnsi="Times New Roman" w:eastAsia="宋体" w:cs="Times New Roman"/>
                <w:color w:val="000000"/>
                <w:highlight w:val="none"/>
                <w:lang w:val="en-US" w:eastAsia="zh-CN"/>
              </w:rPr>
            </w:pPr>
            <w:bookmarkStart w:id="28" w:name="_Toc15192"/>
            <w:bookmarkStart w:id="29" w:name="_Toc7008"/>
            <w:bookmarkStart w:id="30" w:name="_Toc16344"/>
            <w:bookmarkStart w:id="31" w:name="_Toc19485"/>
            <w:bookmarkStart w:id="32" w:name="_Toc27545"/>
            <w:bookmarkStart w:id="33" w:name="_Toc21232"/>
            <w:bookmarkStart w:id="34" w:name="_Toc17323"/>
            <w:bookmarkStart w:id="35" w:name="_Toc833"/>
            <w:bookmarkStart w:id="36" w:name="_Toc11645"/>
            <w:r>
              <w:rPr>
                <w:rFonts w:hint="eastAsia" w:ascii="Times New Roman" w:hAnsi="Times New Roman" w:cs="Times New Roman"/>
                <w:color w:val="000000"/>
                <w:highlight w:val="none"/>
                <w:lang w:eastAsia="zh-CN"/>
              </w:rPr>
              <w:t>（2）</w:t>
            </w:r>
            <w:r>
              <w:rPr>
                <w:rFonts w:hint="default" w:ascii="Times New Roman" w:hAnsi="Times New Roman" w:cs="Times New Roman"/>
                <w:color w:val="000000"/>
                <w:highlight w:val="none"/>
              </w:rPr>
              <w:t>一般固废</w:t>
            </w:r>
            <w:bookmarkEnd w:id="28"/>
            <w:bookmarkEnd w:id="29"/>
            <w:bookmarkEnd w:id="30"/>
            <w:bookmarkEnd w:id="31"/>
            <w:bookmarkEnd w:id="32"/>
            <w:bookmarkEnd w:id="33"/>
            <w:bookmarkEnd w:id="34"/>
            <w:bookmarkEnd w:id="35"/>
            <w:bookmarkEnd w:id="36"/>
            <w:r>
              <w:rPr>
                <w:rFonts w:hint="eastAsia" w:ascii="Times New Roman" w:hAnsi="Times New Roman" w:cs="Times New Roman"/>
                <w:color w:val="000000"/>
                <w:highlight w:val="none"/>
                <w:lang w:val="en-US" w:eastAsia="zh-CN"/>
              </w:rPr>
              <w:t>暂存间建设要求</w:t>
            </w:r>
          </w:p>
          <w:p w14:paraId="7CAA7C91">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right="0" w:rightChars="0" w:firstLine="420" w:firstLineChars="200"/>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建设单位拟在厂区设置一般工业固废贮存区1座（50㎡），用于贮存废包装</w:t>
            </w:r>
            <w:r>
              <w:rPr>
                <w:rFonts w:hint="eastAsia" w:cs="Times New Roman"/>
                <w:b w:val="0"/>
                <w:bCs w:val="0"/>
                <w:color w:val="000000"/>
                <w:sz w:val="21"/>
                <w:szCs w:val="21"/>
                <w:highlight w:val="none"/>
                <w:lang w:val="en-US" w:eastAsia="zh-CN"/>
              </w:rPr>
              <w:t>材料</w:t>
            </w:r>
            <w:r>
              <w:rPr>
                <w:rFonts w:hint="eastAsia" w:ascii="Times New Roman" w:hAnsi="Times New Roman" w:eastAsia="宋体" w:cs="Times New Roman"/>
                <w:b w:val="0"/>
                <w:bCs w:val="0"/>
                <w:color w:val="000000"/>
                <w:sz w:val="21"/>
                <w:szCs w:val="21"/>
                <w:highlight w:val="none"/>
                <w:lang w:val="en-US" w:eastAsia="zh-CN"/>
              </w:rPr>
              <w:t>、布袋除尘器收集</w:t>
            </w:r>
            <w:r>
              <w:rPr>
                <w:rFonts w:hint="eastAsia" w:cs="Times New Roman"/>
                <w:b w:val="0"/>
                <w:bCs w:val="0"/>
                <w:color w:val="000000"/>
                <w:sz w:val="21"/>
                <w:szCs w:val="21"/>
                <w:highlight w:val="none"/>
                <w:lang w:val="en-US" w:eastAsia="zh-CN"/>
              </w:rPr>
              <w:t>的</w:t>
            </w:r>
            <w:r>
              <w:rPr>
                <w:rFonts w:hint="eastAsia" w:ascii="Times New Roman" w:hAnsi="Times New Roman" w:eastAsia="宋体" w:cs="Times New Roman"/>
                <w:b w:val="0"/>
                <w:bCs w:val="0"/>
                <w:color w:val="000000"/>
                <w:sz w:val="21"/>
                <w:szCs w:val="21"/>
                <w:highlight w:val="none"/>
                <w:lang w:val="en-US" w:eastAsia="zh-CN"/>
              </w:rPr>
              <w:t>粉尘等一般固废</w:t>
            </w:r>
            <w:r>
              <w:rPr>
                <w:rFonts w:hint="eastAsia"/>
                <w:lang w:eastAsia="zh-CN"/>
              </w:rPr>
              <w:t>，</w:t>
            </w:r>
            <w:r>
              <w:rPr>
                <w:rFonts w:hint="eastAsia" w:ascii="Times New Roman" w:hAnsi="Times New Roman" w:eastAsia="宋体" w:cs="Times New Roman"/>
                <w:b w:val="0"/>
                <w:bCs w:val="0"/>
                <w:color w:val="000000"/>
                <w:sz w:val="21"/>
                <w:szCs w:val="21"/>
                <w:highlight w:val="none"/>
                <w:lang w:val="en-US" w:eastAsia="zh-CN"/>
              </w:rPr>
              <w:t>一般工业固废贮存间地面采用水泥硬化处理，满足一般防渗区等级要求。贮存方式和贮存场所应满足防渗漏、防雨淋、防扬尘等环境保护要求。建设单位运营期产生的一般工业固废需妥善处置。</w:t>
            </w:r>
          </w:p>
          <w:p w14:paraId="18998F34">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right="0" w:rightChars="0" w:firstLine="420" w:firstLineChars="200"/>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一般固废暂存间的建设要求</w:t>
            </w:r>
            <w:r>
              <w:rPr>
                <w:rFonts w:hint="default" w:ascii="Times New Roman" w:hAnsi="Times New Roman" w:eastAsia="宋体" w:cs="Times New Roman"/>
                <w:b w:val="0"/>
                <w:bCs w:val="0"/>
                <w:color w:val="000000"/>
                <w:sz w:val="21"/>
                <w:szCs w:val="21"/>
                <w:highlight w:val="none"/>
                <w:lang w:val="en-US" w:eastAsia="zh-CN"/>
              </w:rPr>
              <w:t>具体如下：</w:t>
            </w:r>
          </w:p>
          <w:p w14:paraId="189DF223">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right="0" w:rightChars="0" w:firstLine="420" w:firstLineChars="200"/>
              <w:textAlignment w:val="auto"/>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①一般工业固体废物应分类收集、储存，不能混存；</w:t>
            </w:r>
          </w:p>
          <w:p w14:paraId="357FE322">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right="0" w:rightChars="0" w:firstLine="420" w:firstLineChars="200"/>
              <w:textAlignment w:val="auto"/>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②一般工业固体废物临时储存地点必须建有天棚，不允许露天堆放，以防雨水冲刷，雨水通过场地四周导流渠流向雨水排放管；临时堆放场地为水泥铺设地面，以防渗漏；暂存场所的选择应便于清理和转运；</w:t>
            </w:r>
          </w:p>
          <w:p w14:paraId="6C709B48">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right="0" w:rightChars="0" w:firstLine="420" w:firstLineChars="200"/>
              <w:textAlignment w:val="auto"/>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③建立档案制度，将临时储存的一般工业固体废物的种类、数量和外运的一般工业固体废物的种类、数量详细记录在案，长期保存，供随时查阅。</w:t>
            </w:r>
          </w:p>
          <w:p w14:paraId="5A4B7EC5">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right="0" w:rightChars="0" w:firstLine="420" w:firstLineChars="200"/>
              <w:textAlignment w:val="auto"/>
              <w:rPr>
                <w:rFonts w:hint="eastAsia" w:ascii="Times New Roman" w:hAnsi="Times New Roman" w:eastAsia="宋体" w:cs="Times New Roman"/>
                <w:b w:val="0"/>
                <w:bCs w:val="0"/>
                <w:color w:val="000000"/>
                <w:sz w:val="21"/>
                <w:szCs w:val="21"/>
                <w:highlight w:val="none"/>
                <w:lang w:val="en-US" w:eastAsia="zh-CN"/>
              </w:rPr>
            </w:pPr>
            <w:r>
              <w:rPr>
                <w:color w:val="000000"/>
                <w:sz w:val="21"/>
                <w:szCs w:val="21"/>
                <w:highlight w:val="none"/>
              </w:rPr>
              <w:t>因</w:t>
            </w:r>
            <w:r>
              <w:rPr>
                <w:rFonts w:hint="eastAsia" w:ascii="Times New Roman" w:hAnsi="Times New Roman" w:eastAsia="宋体" w:cs="Times New Roman"/>
                <w:b w:val="0"/>
                <w:bCs w:val="0"/>
                <w:color w:val="000000"/>
                <w:sz w:val="21"/>
                <w:szCs w:val="21"/>
                <w:highlight w:val="none"/>
                <w:lang w:val="en-US" w:eastAsia="zh-CN"/>
              </w:rPr>
              <w:t>此，从项目采用的固废利用及处置方式来分析，对产生的各类固废、危废按其性质分类分区收集和暂存，并均能得到有效利用或妥善处置。在严格管理下，本项目的一般固体废物及危险废物对周围环境不会产生二次污染。</w:t>
            </w:r>
          </w:p>
          <w:p w14:paraId="2884BF42">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right="0" w:rightChars="0" w:firstLine="420" w:firstLineChars="200"/>
              <w:textAlignment w:val="auto"/>
              <w:rPr>
                <w:rFonts w:hint="eastAsia"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通过以上措施，本项目运营期产生的各类固废处置合理可行，去向明确，其处置措施体现了“减量化、资源化、无害化”的治理原则，对周围环境不会产生明显影响。</w:t>
            </w:r>
          </w:p>
          <w:p w14:paraId="2C3D7458">
            <w:pPr>
              <w:widowControl/>
              <w:shd w:val="clear" w:color="auto" w:fill="auto"/>
              <w:spacing w:line="360" w:lineRule="auto"/>
              <w:ind w:firstLine="422" w:firstLineChars="200"/>
              <w:jc w:val="both"/>
              <w:rPr>
                <w:rFonts w:hint="default" w:ascii="Times New Roman" w:hAnsi="Times New Roman" w:eastAsia="宋体" w:cs="Times New Roman"/>
                <w:b/>
                <w:color w:val="000000"/>
                <w:sz w:val="21"/>
                <w:szCs w:val="21"/>
                <w:highlight w:val="none"/>
                <w:lang w:val="en-US" w:eastAsia="zh-CN"/>
              </w:rPr>
            </w:pPr>
            <w:r>
              <w:rPr>
                <w:rFonts w:hint="eastAsia" w:ascii="Times New Roman" w:hAnsi="Times New Roman" w:eastAsia="宋体" w:cs="Times New Roman"/>
                <w:b/>
                <w:color w:val="000000"/>
                <w:sz w:val="21"/>
                <w:szCs w:val="21"/>
                <w:highlight w:val="none"/>
                <w:lang w:val="en-US" w:eastAsia="zh-CN"/>
              </w:rPr>
              <w:t>五、土壤环境影响分析</w:t>
            </w:r>
          </w:p>
          <w:p w14:paraId="7855C576">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right="0" w:rightChars="0" w:firstLine="422" w:firstLineChars="200"/>
              <w:textAlignment w:val="auto"/>
              <w:rPr>
                <w:rFonts w:hint="default" w:ascii="Times New Roman" w:hAnsi="Times New Roman" w:eastAsia="宋体" w:cs="Times New Roman"/>
                <w:b/>
                <w:bCs/>
                <w:color w:val="000000"/>
                <w:sz w:val="21"/>
                <w:szCs w:val="21"/>
                <w:highlight w:val="none"/>
                <w:lang w:val="en-US" w:eastAsia="zh-CN"/>
              </w:rPr>
            </w:pPr>
            <w:r>
              <w:rPr>
                <w:rFonts w:hint="eastAsia" w:cs="Times New Roman"/>
                <w:b/>
                <w:bCs/>
                <w:color w:val="000000"/>
                <w:sz w:val="21"/>
                <w:szCs w:val="21"/>
                <w:highlight w:val="none"/>
                <w:lang w:val="en-US" w:eastAsia="zh-CN"/>
              </w:rPr>
              <w:t>1.</w:t>
            </w:r>
            <w:r>
              <w:rPr>
                <w:rFonts w:hint="eastAsia" w:ascii="Times New Roman" w:hAnsi="Times New Roman" w:eastAsia="宋体" w:cs="Times New Roman"/>
                <w:b/>
                <w:bCs/>
                <w:color w:val="000000"/>
                <w:sz w:val="21"/>
                <w:szCs w:val="21"/>
                <w:highlight w:val="none"/>
                <w:lang w:val="en-US" w:eastAsia="zh-CN"/>
              </w:rPr>
              <w:t>土壤环境影响评价</w:t>
            </w:r>
          </w:p>
          <w:p w14:paraId="23B9DD9A">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right="0" w:rightChars="0" w:firstLine="420" w:firstLineChars="200"/>
              <w:textAlignment w:val="auto"/>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根据《环境影响评价技术导则土壤环境（试行）》HJ964-2018附录A，白酒制造行业-报告表类项目为</w:t>
            </w:r>
            <w:r>
              <w:rPr>
                <w:rFonts w:hint="eastAsia" w:ascii="Times New Roman" w:hAnsi="Times New Roman" w:eastAsia="宋体" w:cs="Times New Roman"/>
                <w:b w:val="0"/>
                <w:bCs w:val="0"/>
                <w:color w:val="000000"/>
                <w:sz w:val="21"/>
                <w:szCs w:val="21"/>
                <w:highlight w:val="none"/>
                <w:lang w:val="en-US" w:eastAsia="zh-CN"/>
              </w:rPr>
              <w:t>Ⅳ</w:t>
            </w:r>
            <w:r>
              <w:rPr>
                <w:rFonts w:hint="default" w:ascii="Times New Roman" w:hAnsi="Times New Roman" w:eastAsia="宋体" w:cs="Times New Roman"/>
                <w:b w:val="0"/>
                <w:bCs w:val="0"/>
                <w:color w:val="000000"/>
                <w:sz w:val="21"/>
                <w:szCs w:val="21"/>
                <w:highlight w:val="none"/>
                <w:lang w:val="en-US" w:eastAsia="zh-CN"/>
              </w:rPr>
              <w:t>类建设项目，根据土壤导则中4.2.2：</w:t>
            </w:r>
            <w:r>
              <w:rPr>
                <w:rFonts w:hint="eastAsia" w:ascii="Times New Roman" w:hAnsi="Times New Roman" w:eastAsia="宋体" w:cs="Times New Roman"/>
                <w:b w:val="0"/>
                <w:bCs w:val="0"/>
                <w:color w:val="000000"/>
                <w:sz w:val="21"/>
                <w:szCs w:val="21"/>
                <w:highlight w:val="none"/>
                <w:lang w:val="en-US" w:eastAsia="zh-CN"/>
              </w:rPr>
              <w:t>“Ⅳ</w:t>
            </w:r>
            <w:r>
              <w:rPr>
                <w:rFonts w:hint="default" w:ascii="Times New Roman" w:hAnsi="Times New Roman" w:eastAsia="宋体" w:cs="Times New Roman"/>
                <w:b w:val="0"/>
                <w:bCs w:val="0"/>
                <w:color w:val="000000"/>
                <w:sz w:val="21"/>
                <w:szCs w:val="21"/>
                <w:highlight w:val="none"/>
                <w:lang w:val="en-US" w:eastAsia="zh-CN"/>
              </w:rPr>
              <w:t>类建设项目可不开展土壤环境影响评价</w:t>
            </w:r>
            <w:r>
              <w:rPr>
                <w:rFonts w:hint="eastAsia" w:ascii="Times New Roman" w:hAnsi="Times New Roman" w:eastAsia="宋体" w:cs="Times New Roman"/>
                <w:b w:val="0"/>
                <w:bCs w:val="0"/>
                <w:color w:val="000000"/>
                <w:sz w:val="21"/>
                <w:szCs w:val="21"/>
                <w:highlight w:val="none"/>
                <w:lang w:val="en-US" w:eastAsia="zh-CN"/>
              </w:rPr>
              <w:t>”</w:t>
            </w:r>
            <w:r>
              <w:rPr>
                <w:rFonts w:hint="default" w:ascii="Times New Roman" w:hAnsi="Times New Roman" w:eastAsia="宋体" w:cs="Times New Roman"/>
                <w:b w:val="0"/>
                <w:bCs w:val="0"/>
                <w:color w:val="000000"/>
                <w:sz w:val="21"/>
                <w:szCs w:val="21"/>
                <w:highlight w:val="none"/>
                <w:lang w:val="en-US" w:eastAsia="zh-CN"/>
              </w:rPr>
              <w:t>，故本项目不进行土壤环境影响分析。</w:t>
            </w:r>
          </w:p>
          <w:p w14:paraId="1B00F4AF">
            <w:pPr>
              <w:shd w:val="clear" w:color="auto" w:fill="auto"/>
              <w:adjustRightInd w:val="0"/>
              <w:spacing w:line="360" w:lineRule="auto"/>
              <w:ind w:firstLine="422" w:firstLineChars="200"/>
              <w:jc w:val="left"/>
              <w:rPr>
                <w:b/>
                <w:bCs/>
                <w:color w:val="000000"/>
                <w:sz w:val="21"/>
                <w:szCs w:val="21"/>
                <w:highlight w:val="none"/>
              </w:rPr>
            </w:pPr>
            <w:r>
              <w:rPr>
                <w:rFonts w:hint="eastAsia"/>
                <w:b/>
                <w:bCs/>
                <w:color w:val="000000"/>
                <w:sz w:val="21"/>
                <w:szCs w:val="21"/>
                <w:highlight w:val="none"/>
                <w:lang w:val="en-US" w:eastAsia="zh-CN"/>
              </w:rPr>
              <w:t>2.</w:t>
            </w:r>
            <w:r>
              <w:rPr>
                <w:b/>
                <w:bCs/>
                <w:color w:val="000000"/>
                <w:sz w:val="21"/>
                <w:szCs w:val="21"/>
                <w:highlight w:val="none"/>
              </w:rPr>
              <w:t>污染源、污染物类型及污染途径</w:t>
            </w:r>
          </w:p>
          <w:p w14:paraId="3341B414">
            <w:pPr>
              <w:shd w:val="clear" w:color="auto" w:fill="auto"/>
              <w:adjustRightInd w:val="0"/>
              <w:spacing w:line="360" w:lineRule="auto"/>
              <w:ind w:firstLine="420" w:firstLineChars="200"/>
              <w:jc w:val="left"/>
              <w:rPr>
                <w:rFonts w:hint="default" w:eastAsia="宋体"/>
                <w:color w:val="000000"/>
                <w:sz w:val="21"/>
                <w:szCs w:val="21"/>
                <w:highlight w:val="none"/>
                <w:lang w:val="en-US" w:eastAsia="zh-CN"/>
              </w:rPr>
            </w:pPr>
            <w:r>
              <w:rPr>
                <w:rFonts w:hint="eastAsia"/>
                <w:color w:val="000000"/>
                <w:sz w:val="21"/>
                <w:szCs w:val="21"/>
                <w:highlight w:val="none"/>
                <w:lang w:val="en-US" w:eastAsia="zh-CN"/>
              </w:rPr>
              <w:t>根据《建设项目环境影响报告表编制技术指南（污染影响类）（试行）》中“分析地下水、土壤污染源、污染物类型和污染途径，按照分区防控要求提出相应的防控措施，并根据分析结果提出跟踪监测要求（监测点位、监测因子、监测频次）。”的要求，对本项目土壤及地</w:t>
            </w:r>
            <w:r>
              <w:rPr>
                <w:rFonts w:hint="eastAsia" w:ascii="Times New Roman" w:hAnsi="Times New Roman" w:eastAsia="宋体" w:cs="Times New Roman"/>
                <w:color w:val="000000"/>
                <w:sz w:val="21"/>
                <w:szCs w:val="21"/>
                <w:highlight w:val="none"/>
                <w:lang w:val="en-US" w:eastAsia="zh-CN"/>
              </w:rPr>
              <w:t>下水污染源、污染物类型及污染途径做出如下分析：</w:t>
            </w:r>
          </w:p>
          <w:p w14:paraId="3F3D21C7">
            <w:pPr>
              <w:shd w:val="clear" w:color="auto" w:fill="auto"/>
              <w:adjustRightInd w:val="0"/>
              <w:spacing w:line="360" w:lineRule="auto"/>
              <w:ind w:firstLine="420" w:firstLineChars="200"/>
              <w:jc w:val="left"/>
              <w:rPr>
                <w:rFonts w:hint="default" w:ascii="Times New Roman" w:hAnsi="Times New Roman" w:cs="Times New Roman"/>
                <w:b/>
                <w:bCs/>
                <w:color w:val="000000"/>
                <w:highlight w:val="none"/>
                <w:lang w:val="en-US" w:eastAsia="zh-CN"/>
              </w:rPr>
            </w:pPr>
            <w:r>
              <w:rPr>
                <w:rFonts w:hint="eastAsia"/>
                <w:color w:val="000000"/>
                <w:sz w:val="21"/>
                <w:szCs w:val="21"/>
                <w:highlight w:val="none"/>
                <w:lang w:val="en-US" w:eastAsia="zh-CN"/>
              </w:rPr>
              <w:t>（1）</w:t>
            </w:r>
            <w:r>
              <w:rPr>
                <w:rFonts w:hint="default" w:ascii="Times New Roman" w:hAnsi="Times New Roman" w:cs="Times New Roman"/>
                <w:color w:val="000000"/>
                <w:sz w:val="21"/>
                <w:szCs w:val="21"/>
                <w:highlight w:val="none"/>
                <w:lang w:val="en-US" w:eastAsia="zh-CN"/>
              </w:rPr>
              <w:t>污染源、污染物类型</w:t>
            </w:r>
          </w:p>
          <w:p w14:paraId="326E8E9C">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000000"/>
                <w:highlight w:val="none"/>
                <w:lang w:val="en-US" w:eastAsia="zh-CN"/>
              </w:rPr>
            </w:pPr>
            <w:r>
              <w:rPr>
                <w:rFonts w:hint="default" w:ascii="Times New Roman" w:hAnsi="Times New Roman" w:cs="Times New Roman"/>
                <w:b/>
                <w:bCs/>
                <w:color w:val="000000"/>
                <w:highlight w:val="none"/>
                <w:lang w:val="en-US" w:eastAsia="zh-CN"/>
              </w:rPr>
              <w:t>表4-1</w:t>
            </w:r>
            <w:r>
              <w:rPr>
                <w:rFonts w:hint="eastAsia" w:ascii="Times New Roman" w:hAnsi="Times New Roman" w:cs="Times New Roman"/>
                <w:b/>
                <w:bCs/>
                <w:color w:val="000000"/>
                <w:highlight w:val="none"/>
                <w:lang w:val="en-US" w:eastAsia="zh-CN"/>
              </w:rPr>
              <w:t>9</w:t>
            </w:r>
            <w:r>
              <w:rPr>
                <w:rFonts w:hint="default" w:ascii="Times New Roman" w:hAnsi="Times New Roman" w:cs="Times New Roman"/>
                <w:b/>
                <w:bCs/>
                <w:color w:val="000000"/>
                <w:highlight w:val="none"/>
                <w:lang w:val="en-US" w:eastAsia="zh-CN"/>
              </w:rPr>
              <w:t xml:space="preserve">  </w:t>
            </w:r>
            <w:r>
              <w:rPr>
                <w:rFonts w:hint="eastAsia" w:ascii="Times New Roman" w:hAnsi="Times New Roman" w:cs="Times New Roman"/>
                <w:b/>
                <w:bCs/>
                <w:color w:val="000000"/>
                <w:highlight w:val="none"/>
                <w:lang w:val="en-US" w:eastAsia="zh-CN"/>
              </w:rPr>
              <w:t>土壤</w:t>
            </w:r>
            <w:r>
              <w:rPr>
                <w:rFonts w:hint="default" w:ascii="Times New Roman" w:hAnsi="Times New Roman" w:cs="Times New Roman"/>
                <w:b/>
                <w:bCs/>
                <w:color w:val="000000"/>
                <w:highlight w:val="none"/>
                <w:lang w:val="en-US" w:eastAsia="zh-CN"/>
              </w:rPr>
              <w:t>污染源</w:t>
            </w:r>
            <w:r>
              <w:rPr>
                <w:rFonts w:hint="eastAsia" w:ascii="Times New Roman" w:hAnsi="Times New Roman" w:cs="Times New Roman"/>
                <w:b/>
                <w:bCs/>
                <w:color w:val="000000"/>
                <w:highlight w:val="none"/>
                <w:lang w:val="en-US" w:eastAsia="zh-CN"/>
              </w:rPr>
              <w:t>鉴别</w:t>
            </w:r>
          </w:p>
          <w:tbl>
            <w:tblPr>
              <w:tblStyle w:val="21"/>
              <w:tblW w:w="8143" w:type="dxa"/>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shd w:val="clear" w:color="auto" w:fill="auto"/>
              <w:tblLayout w:type="fixed"/>
              <w:tblCellMar>
                <w:top w:w="0" w:type="dxa"/>
                <w:left w:w="0" w:type="dxa"/>
                <w:bottom w:w="0" w:type="dxa"/>
                <w:right w:w="0" w:type="dxa"/>
              </w:tblCellMar>
            </w:tblPr>
            <w:tblGrid>
              <w:gridCol w:w="632"/>
              <w:gridCol w:w="1730"/>
              <w:gridCol w:w="1545"/>
              <w:gridCol w:w="2159"/>
              <w:gridCol w:w="2077"/>
            </w:tblGrid>
            <w:tr w14:paraId="71CF1547">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40" w:hRule="atLeast"/>
              </w:trPr>
              <w:tc>
                <w:tcPr>
                  <w:tcW w:w="388" w:type="pct"/>
                  <w:tcBorders>
                    <w:tl2br w:val="nil"/>
                    <w:tr2bl w:val="nil"/>
                  </w:tcBorders>
                  <w:shd w:val="clear" w:color="auto" w:fill="auto"/>
                  <w:noWrap w:val="0"/>
                  <w:vAlign w:val="center"/>
                </w:tcPr>
                <w:p w14:paraId="573E5CFC">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序号</w:t>
                  </w:r>
                </w:p>
              </w:tc>
              <w:tc>
                <w:tcPr>
                  <w:tcW w:w="1062" w:type="pct"/>
                  <w:tcBorders>
                    <w:tl2br w:val="nil"/>
                    <w:tr2bl w:val="nil"/>
                  </w:tcBorders>
                  <w:shd w:val="clear" w:color="auto" w:fill="auto"/>
                  <w:noWrap w:val="0"/>
                  <w:vAlign w:val="center"/>
                </w:tcPr>
                <w:p w14:paraId="07A5AA6B">
                  <w:pPr>
                    <w:keepNext w:val="0"/>
                    <w:keepLines w:val="0"/>
                    <w:suppressLineNumbers w:val="0"/>
                    <w:shd w:val="clear" w:color="auto" w:fill="auto"/>
                    <w:spacing w:before="0" w:beforeAutospacing="0" w:after="0" w:afterAutospacing="0"/>
                    <w:ind w:left="0" w:right="0"/>
                    <w:jc w:val="center"/>
                    <w:rPr>
                      <w:rFonts w:hint="eastAsia" w:ascii="Times New Roman" w:hAnsi="Times New Roman" w:eastAsia="宋体" w:cs="Times New Roman"/>
                      <w:b/>
                      <w:bCs/>
                      <w:color w:val="000000"/>
                      <w:szCs w:val="21"/>
                      <w:highlight w:val="none"/>
                      <w:lang w:eastAsia="zh-CN"/>
                    </w:rPr>
                  </w:pPr>
                  <w:r>
                    <w:rPr>
                      <w:rFonts w:hint="eastAsia" w:ascii="Times New Roman" w:hAnsi="Times New Roman" w:cs="Times New Roman"/>
                      <w:b/>
                      <w:bCs/>
                      <w:color w:val="000000"/>
                      <w:szCs w:val="21"/>
                      <w:highlight w:val="none"/>
                      <w:lang w:val="en-US" w:eastAsia="zh-CN"/>
                    </w:rPr>
                    <w:t>污染源</w:t>
                  </w:r>
                </w:p>
              </w:tc>
              <w:tc>
                <w:tcPr>
                  <w:tcW w:w="948" w:type="pct"/>
                  <w:tcBorders>
                    <w:tl2br w:val="nil"/>
                    <w:tr2bl w:val="nil"/>
                  </w:tcBorders>
                  <w:shd w:val="clear" w:color="auto" w:fill="auto"/>
                  <w:noWrap w:val="0"/>
                  <w:vAlign w:val="center"/>
                </w:tcPr>
                <w:p w14:paraId="65F98FE0">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污染物类型</w:t>
                  </w:r>
                </w:p>
              </w:tc>
              <w:tc>
                <w:tcPr>
                  <w:tcW w:w="1325" w:type="pct"/>
                  <w:tcBorders>
                    <w:tl2br w:val="nil"/>
                    <w:tr2bl w:val="nil"/>
                  </w:tcBorders>
                  <w:shd w:val="clear" w:color="auto" w:fill="auto"/>
                  <w:noWrap w:val="0"/>
                  <w:vAlign w:val="center"/>
                </w:tcPr>
                <w:p w14:paraId="360B96F1">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污染物</w:t>
                  </w:r>
                </w:p>
              </w:tc>
              <w:tc>
                <w:tcPr>
                  <w:tcW w:w="1275" w:type="pct"/>
                  <w:tcBorders>
                    <w:tl2br w:val="nil"/>
                    <w:tr2bl w:val="nil"/>
                  </w:tcBorders>
                  <w:shd w:val="clear" w:color="auto" w:fill="auto"/>
                  <w:noWrap w:val="0"/>
                  <w:vAlign w:val="center"/>
                </w:tcPr>
                <w:p w14:paraId="088A2072">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b/>
                      <w:bCs/>
                      <w:color w:val="000000"/>
                      <w:szCs w:val="21"/>
                      <w:highlight w:val="none"/>
                      <w:lang w:val="en-US" w:eastAsia="zh-CN"/>
                    </w:rPr>
                  </w:pPr>
                  <w:r>
                    <w:rPr>
                      <w:rFonts w:hint="eastAsia" w:ascii="Times New Roman" w:hAnsi="Times New Roman" w:cs="Times New Roman"/>
                      <w:b/>
                      <w:bCs/>
                      <w:color w:val="000000"/>
                      <w:szCs w:val="21"/>
                      <w:highlight w:val="none"/>
                      <w:lang w:val="en-US" w:eastAsia="zh-CN"/>
                    </w:rPr>
                    <w:t>污染因子</w:t>
                  </w:r>
                </w:p>
              </w:tc>
            </w:tr>
            <w:tr w14:paraId="163E9A6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162" w:hRule="atLeast"/>
              </w:trPr>
              <w:tc>
                <w:tcPr>
                  <w:tcW w:w="388" w:type="pct"/>
                  <w:tcBorders>
                    <w:tl2br w:val="nil"/>
                    <w:tr2bl w:val="nil"/>
                  </w:tcBorders>
                  <w:shd w:val="clear" w:color="auto" w:fill="auto"/>
                  <w:noWrap w:val="0"/>
                  <w:vAlign w:val="center"/>
                </w:tcPr>
                <w:p w14:paraId="45808B07">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w:t>
                  </w:r>
                </w:p>
              </w:tc>
              <w:tc>
                <w:tcPr>
                  <w:tcW w:w="1062" w:type="pct"/>
                  <w:tcBorders>
                    <w:tl2br w:val="nil"/>
                    <w:tr2bl w:val="nil"/>
                  </w:tcBorders>
                  <w:shd w:val="clear" w:color="auto" w:fill="auto"/>
                  <w:noWrap w:val="0"/>
                  <w:vAlign w:val="center"/>
                </w:tcPr>
                <w:p w14:paraId="1C3DA620">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危险废物贮</w:t>
                  </w:r>
                  <w:r>
                    <w:rPr>
                      <w:rFonts w:hint="eastAsia" w:ascii="Times New Roman" w:hAnsi="Times New Roman" w:cs="Times New Roman"/>
                      <w:color w:val="000000"/>
                      <w:szCs w:val="21"/>
                      <w:highlight w:val="none"/>
                      <w:lang w:val="en-US" w:eastAsia="zh-CN"/>
                    </w:rPr>
                    <w:t>存</w:t>
                  </w:r>
                  <w:r>
                    <w:rPr>
                      <w:rFonts w:hint="default" w:ascii="Times New Roman" w:hAnsi="Times New Roman" w:cs="Times New Roman"/>
                      <w:color w:val="000000"/>
                      <w:szCs w:val="21"/>
                      <w:highlight w:val="none"/>
                    </w:rPr>
                    <w:t>间</w:t>
                  </w:r>
                </w:p>
              </w:tc>
              <w:tc>
                <w:tcPr>
                  <w:tcW w:w="948" w:type="pct"/>
                  <w:tcBorders>
                    <w:tl2br w:val="nil"/>
                    <w:tr2bl w:val="nil"/>
                  </w:tcBorders>
                  <w:shd w:val="clear" w:color="auto" w:fill="auto"/>
                  <w:noWrap w:val="0"/>
                  <w:vAlign w:val="center"/>
                </w:tcPr>
                <w:p w14:paraId="599846C5">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危险废物</w:t>
                  </w:r>
                </w:p>
              </w:tc>
              <w:tc>
                <w:tcPr>
                  <w:tcW w:w="1325" w:type="pct"/>
                  <w:tcBorders>
                    <w:tl2br w:val="nil"/>
                    <w:tr2bl w:val="nil"/>
                  </w:tcBorders>
                  <w:shd w:val="clear" w:color="auto" w:fill="auto"/>
                  <w:noWrap w:val="0"/>
                  <w:vAlign w:val="center"/>
                </w:tcPr>
                <w:p w14:paraId="69F3986D">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废机油</w:t>
                  </w:r>
                  <w:r>
                    <w:rPr>
                      <w:rFonts w:hint="eastAsia" w:ascii="Times New Roman" w:hAnsi="Times New Roman" w:cs="Times New Roman"/>
                      <w:color w:val="000000"/>
                      <w:szCs w:val="21"/>
                      <w:highlight w:val="none"/>
                      <w:lang w:val="en-US" w:eastAsia="zh-CN"/>
                    </w:rPr>
                    <w:t>、实验室废试剂</w:t>
                  </w:r>
                </w:p>
              </w:tc>
              <w:tc>
                <w:tcPr>
                  <w:tcW w:w="1275" w:type="pct"/>
                  <w:tcBorders>
                    <w:tl2br w:val="nil"/>
                    <w:tr2bl w:val="nil"/>
                  </w:tcBorders>
                  <w:shd w:val="clear" w:color="auto" w:fill="auto"/>
                  <w:noWrap w:val="0"/>
                  <w:vAlign w:val="center"/>
                </w:tcPr>
                <w:p w14:paraId="03BE7BC3">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szCs w:val="21"/>
                      <w:highlight w:val="none"/>
                      <w:lang w:val="en-US" w:eastAsia="zh-CN"/>
                    </w:rPr>
                  </w:pPr>
                  <w:r>
                    <w:rPr>
                      <w:rFonts w:hint="eastAsia" w:cs="Times New Roman"/>
                      <w:color w:val="000000"/>
                      <w:szCs w:val="21"/>
                      <w:highlight w:val="none"/>
                      <w:lang w:val="en-US" w:eastAsia="zh-CN"/>
                    </w:rPr>
                    <w:t>pH值、</w:t>
                  </w:r>
                  <w:r>
                    <w:rPr>
                      <w:rFonts w:hint="eastAsia" w:ascii="Times New Roman" w:hAnsi="Times New Roman" w:cs="Times New Roman"/>
                      <w:color w:val="000000"/>
                      <w:szCs w:val="21"/>
                      <w:highlight w:val="none"/>
                      <w:lang w:val="en-US" w:eastAsia="zh-CN"/>
                    </w:rPr>
                    <w:t>石油烃</w:t>
                  </w:r>
                </w:p>
              </w:tc>
            </w:tr>
          </w:tbl>
          <w:p w14:paraId="072B8ED0">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480" w:leftChars="0" w:right="0" w:rightChars="0"/>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w:t>
            </w:r>
            <w:r>
              <w:rPr>
                <w:rFonts w:hint="default" w:ascii="Times New Roman" w:hAnsi="Times New Roman" w:cs="Times New Roman"/>
                <w:color w:val="000000"/>
                <w:sz w:val="21"/>
                <w:szCs w:val="21"/>
                <w:highlight w:val="none"/>
                <w:lang w:val="en-US" w:eastAsia="zh-CN"/>
              </w:rPr>
              <w:t>污染途径</w:t>
            </w:r>
          </w:p>
          <w:p w14:paraId="35C04739">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rightChars="0" w:firstLine="420" w:firstLineChars="200"/>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本项目</w:t>
            </w:r>
            <w:r>
              <w:rPr>
                <w:rFonts w:hint="eastAsia" w:cs="Times New Roman"/>
                <w:color w:val="000000"/>
                <w:sz w:val="21"/>
                <w:szCs w:val="21"/>
                <w:highlight w:val="none"/>
                <w:lang w:val="en-US" w:eastAsia="zh-CN"/>
              </w:rPr>
              <w:t>危险废物贮存间</w:t>
            </w:r>
            <w:r>
              <w:rPr>
                <w:rFonts w:hint="eastAsia" w:ascii="Times New Roman" w:hAnsi="Times New Roman" w:cs="Times New Roman"/>
                <w:color w:val="000000"/>
                <w:szCs w:val="21"/>
                <w:highlight w:val="none"/>
                <w:lang w:val="en-US" w:eastAsia="zh-CN"/>
              </w:rPr>
              <w:t>危废</w:t>
            </w:r>
            <w:r>
              <w:rPr>
                <w:rFonts w:hint="default" w:ascii="Times New Roman" w:hAnsi="Times New Roman" w:cs="Times New Roman"/>
                <w:color w:val="000000"/>
                <w:sz w:val="21"/>
                <w:szCs w:val="21"/>
                <w:highlight w:val="none"/>
                <w:lang w:val="en-US" w:eastAsia="zh-CN"/>
              </w:rPr>
              <w:t>发生</w:t>
            </w:r>
            <w:r>
              <w:rPr>
                <w:rFonts w:hint="eastAsia" w:ascii="Times New Roman" w:hAnsi="Times New Roman" w:cs="Times New Roman"/>
                <w:color w:val="000000"/>
                <w:sz w:val="21"/>
                <w:szCs w:val="21"/>
                <w:highlight w:val="none"/>
                <w:lang w:val="en-US" w:eastAsia="zh-CN"/>
              </w:rPr>
              <w:t>渗漏</w:t>
            </w:r>
            <w:r>
              <w:rPr>
                <w:rFonts w:hint="default" w:ascii="Times New Roman" w:hAnsi="Times New Roman" w:cs="Times New Roman"/>
                <w:color w:val="000000"/>
                <w:sz w:val="21"/>
                <w:szCs w:val="21"/>
                <w:highlight w:val="none"/>
                <w:lang w:val="en-US" w:eastAsia="zh-CN"/>
              </w:rPr>
              <w:t>事故</w:t>
            </w:r>
            <w:r>
              <w:rPr>
                <w:rFonts w:hint="eastAsia" w:cs="Times New Roman"/>
                <w:color w:val="000000"/>
                <w:sz w:val="21"/>
                <w:szCs w:val="21"/>
                <w:highlight w:val="none"/>
                <w:lang w:val="en-US" w:eastAsia="zh-CN"/>
              </w:rPr>
              <w:t>，</w:t>
            </w:r>
            <w:r>
              <w:rPr>
                <w:rFonts w:hint="eastAsia" w:ascii="Times New Roman" w:hAnsi="Times New Roman" w:cs="Times New Roman"/>
                <w:color w:val="000000"/>
                <w:sz w:val="21"/>
                <w:szCs w:val="21"/>
                <w:highlight w:val="none"/>
                <w:lang w:val="en-US" w:eastAsia="zh-CN"/>
              </w:rPr>
              <w:t>通过</w:t>
            </w:r>
            <w:r>
              <w:rPr>
                <w:rFonts w:hint="default" w:ascii="Times New Roman" w:hAnsi="Times New Roman" w:cs="Times New Roman"/>
                <w:color w:val="000000"/>
                <w:sz w:val="21"/>
                <w:szCs w:val="21"/>
                <w:highlight w:val="none"/>
                <w:lang w:val="en-US" w:eastAsia="zh-CN"/>
              </w:rPr>
              <w:t>垂直入渗</w:t>
            </w:r>
            <w:r>
              <w:rPr>
                <w:rFonts w:hint="eastAsia" w:ascii="Times New Roman" w:hAnsi="Times New Roman" w:cs="Times New Roman"/>
                <w:color w:val="000000"/>
                <w:sz w:val="21"/>
                <w:szCs w:val="21"/>
                <w:highlight w:val="none"/>
                <w:lang w:val="en-US" w:eastAsia="zh-CN"/>
              </w:rPr>
              <w:t>的方式</w:t>
            </w:r>
            <w:r>
              <w:rPr>
                <w:rFonts w:hint="default" w:ascii="Times New Roman" w:hAnsi="Times New Roman" w:cs="Times New Roman"/>
                <w:color w:val="000000"/>
                <w:sz w:val="21"/>
                <w:szCs w:val="21"/>
                <w:highlight w:val="none"/>
                <w:lang w:val="en-US" w:eastAsia="zh-CN"/>
              </w:rPr>
              <w:t>对周围土壤环境造成污染。</w:t>
            </w:r>
          </w:p>
          <w:p w14:paraId="36ABE798">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rightChars="0" w:firstLine="420" w:firstLineChars="200"/>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建设项目环境影响识别表与影响途径识别</w:t>
            </w:r>
            <w:r>
              <w:rPr>
                <w:rFonts w:hint="eastAsia" w:ascii="Times New Roman" w:hAnsi="Times New Roman" w:cs="Times New Roman"/>
                <w:color w:val="000000"/>
                <w:sz w:val="21"/>
                <w:szCs w:val="21"/>
                <w:highlight w:val="none"/>
                <w:lang w:val="en-US" w:eastAsia="zh-CN"/>
              </w:rPr>
              <w:t>表具体</w:t>
            </w:r>
            <w:r>
              <w:rPr>
                <w:rFonts w:hint="default" w:ascii="Times New Roman" w:hAnsi="Times New Roman" w:cs="Times New Roman"/>
                <w:color w:val="000000"/>
                <w:sz w:val="21"/>
                <w:szCs w:val="21"/>
                <w:highlight w:val="none"/>
                <w:lang w:val="en-US" w:eastAsia="zh-CN"/>
              </w:rPr>
              <w:t>见下表。</w:t>
            </w:r>
          </w:p>
          <w:p w14:paraId="0700C175">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rightChars="0" w:firstLine="422" w:firstLineChars="200"/>
              <w:jc w:val="center"/>
              <w:textAlignment w:val="auto"/>
              <w:rPr>
                <w:rFonts w:hint="eastAsia" w:ascii="Times New Roman" w:hAnsi="Times New Roman" w:cs="Times New Roman"/>
                <w:b/>
                <w:bCs/>
                <w:color w:val="000000"/>
                <w:sz w:val="21"/>
                <w:szCs w:val="21"/>
                <w:highlight w:val="none"/>
                <w:lang w:val="en-US" w:eastAsia="zh-CN"/>
              </w:rPr>
            </w:pPr>
            <w:r>
              <w:rPr>
                <w:rFonts w:hint="eastAsia" w:ascii="Times New Roman" w:hAnsi="Times New Roman" w:cs="Times New Roman"/>
                <w:b/>
                <w:bCs/>
                <w:color w:val="000000"/>
                <w:sz w:val="21"/>
                <w:szCs w:val="21"/>
                <w:highlight w:val="none"/>
                <w:lang w:val="en-US" w:eastAsia="zh-CN"/>
              </w:rPr>
              <w:t>表4-20 建设项目土壤环境影响类型与影响途径识别表</w:t>
            </w:r>
          </w:p>
          <w:tbl>
            <w:tblPr>
              <w:tblStyle w:val="21"/>
              <w:tblW w:w="4997" w:type="pct"/>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shd w:val="clear" w:color="auto" w:fill="auto"/>
              <w:tblLayout w:type="fixed"/>
              <w:tblCellMar>
                <w:top w:w="0" w:type="dxa"/>
                <w:left w:w="0" w:type="dxa"/>
                <w:bottom w:w="0" w:type="dxa"/>
                <w:right w:w="0" w:type="dxa"/>
              </w:tblCellMar>
            </w:tblPr>
            <w:tblGrid>
              <w:gridCol w:w="882"/>
              <w:gridCol w:w="993"/>
              <w:gridCol w:w="1010"/>
              <w:gridCol w:w="1010"/>
              <w:gridCol w:w="821"/>
              <w:gridCol w:w="747"/>
              <w:gridCol w:w="800"/>
              <w:gridCol w:w="896"/>
              <w:gridCol w:w="975"/>
            </w:tblGrid>
            <w:tr w14:paraId="0CB5C5D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42" w:type="pct"/>
                  <w:vMerge w:val="restart"/>
                  <w:tcBorders>
                    <w:tl2br w:val="nil"/>
                    <w:tr2bl w:val="nil"/>
                  </w:tcBorders>
                  <w:shd w:val="clear" w:color="auto" w:fill="auto"/>
                  <w:noWrap w:val="0"/>
                  <w:vAlign w:val="center"/>
                </w:tcPr>
                <w:p w14:paraId="0D9AB7B6">
                  <w:pPr>
                    <w:keepNext w:val="0"/>
                    <w:keepLines w:val="0"/>
                    <w:suppressLineNumbers w:val="0"/>
                    <w:shd w:val="clear" w:color="auto" w:fill="auto"/>
                    <w:spacing w:before="0" w:beforeAutospacing="0" w:after="0" w:afterAutospacing="0"/>
                    <w:ind w:left="0" w:right="0"/>
                    <w:jc w:val="center"/>
                    <w:rPr>
                      <w:b/>
                      <w:bCs/>
                      <w:color w:val="000000"/>
                      <w:szCs w:val="21"/>
                      <w:highlight w:val="none"/>
                    </w:rPr>
                  </w:pPr>
                  <w:r>
                    <w:rPr>
                      <w:b/>
                      <w:bCs/>
                      <w:color w:val="000000"/>
                      <w:szCs w:val="21"/>
                      <w:highlight w:val="none"/>
                    </w:rPr>
                    <w:t>不同</w:t>
                  </w:r>
                </w:p>
                <w:p w14:paraId="05986022">
                  <w:pPr>
                    <w:keepNext w:val="0"/>
                    <w:keepLines w:val="0"/>
                    <w:suppressLineNumbers w:val="0"/>
                    <w:shd w:val="clear" w:color="auto" w:fill="auto"/>
                    <w:spacing w:before="0" w:beforeAutospacing="0" w:after="0" w:afterAutospacing="0"/>
                    <w:ind w:left="0" w:right="0"/>
                    <w:jc w:val="center"/>
                    <w:rPr>
                      <w:b/>
                      <w:bCs/>
                      <w:color w:val="000000"/>
                      <w:szCs w:val="21"/>
                      <w:highlight w:val="none"/>
                    </w:rPr>
                  </w:pPr>
                  <w:r>
                    <w:rPr>
                      <w:b/>
                      <w:bCs/>
                      <w:color w:val="000000"/>
                      <w:szCs w:val="21"/>
                      <w:highlight w:val="none"/>
                    </w:rPr>
                    <w:t>时段</w:t>
                  </w:r>
                </w:p>
              </w:tc>
              <w:tc>
                <w:tcPr>
                  <w:tcW w:w="2357" w:type="pct"/>
                  <w:gridSpan w:val="4"/>
                  <w:tcBorders>
                    <w:tl2br w:val="nil"/>
                    <w:tr2bl w:val="nil"/>
                  </w:tcBorders>
                  <w:shd w:val="clear" w:color="auto" w:fill="auto"/>
                  <w:noWrap w:val="0"/>
                  <w:vAlign w:val="center"/>
                </w:tcPr>
                <w:p w14:paraId="7D1A07F6">
                  <w:pPr>
                    <w:keepNext w:val="0"/>
                    <w:keepLines w:val="0"/>
                    <w:suppressLineNumbers w:val="0"/>
                    <w:shd w:val="clear" w:color="auto" w:fill="auto"/>
                    <w:spacing w:before="0" w:beforeAutospacing="0" w:after="0" w:afterAutospacing="0"/>
                    <w:ind w:left="0" w:right="0"/>
                    <w:jc w:val="center"/>
                    <w:rPr>
                      <w:b/>
                      <w:bCs/>
                      <w:color w:val="000000"/>
                      <w:szCs w:val="21"/>
                      <w:highlight w:val="none"/>
                    </w:rPr>
                  </w:pPr>
                  <w:r>
                    <w:rPr>
                      <w:b/>
                      <w:bCs/>
                      <w:color w:val="000000"/>
                      <w:szCs w:val="21"/>
                      <w:highlight w:val="none"/>
                    </w:rPr>
                    <w:t>污染影响型</w:t>
                  </w:r>
                </w:p>
              </w:tc>
              <w:tc>
                <w:tcPr>
                  <w:tcW w:w="2100" w:type="pct"/>
                  <w:gridSpan w:val="4"/>
                  <w:tcBorders>
                    <w:tl2br w:val="nil"/>
                    <w:tr2bl w:val="nil"/>
                  </w:tcBorders>
                  <w:shd w:val="clear" w:color="auto" w:fill="auto"/>
                  <w:noWrap w:val="0"/>
                  <w:vAlign w:val="center"/>
                </w:tcPr>
                <w:p w14:paraId="7EB59298">
                  <w:pPr>
                    <w:keepNext w:val="0"/>
                    <w:keepLines w:val="0"/>
                    <w:suppressLineNumbers w:val="0"/>
                    <w:shd w:val="clear" w:color="auto" w:fill="auto"/>
                    <w:spacing w:before="0" w:beforeAutospacing="0" w:after="0" w:afterAutospacing="0"/>
                    <w:ind w:left="0" w:right="0"/>
                    <w:jc w:val="center"/>
                    <w:rPr>
                      <w:b/>
                      <w:bCs/>
                      <w:color w:val="000000"/>
                      <w:szCs w:val="21"/>
                      <w:highlight w:val="none"/>
                    </w:rPr>
                  </w:pPr>
                  <w:r>
                    <w:rPr>
                      <w:b/>
                      <w:bCs/>
                      <w:color w:val="000000"/>
                      <w:szCs w:val="21"/>
                      <w:highlight w:val="none"/>
                    </w:rPr>
                    <w:t>生态影响型</w:t>
                  </w:r>
                </w:p>
              </w:tc>
            </w:tr>
            <w:tr w14:paraId="3870FEB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40" w:hRule="atLeast"/>
              </w:trPr>
              <w:tc>
                <w:tcPr>
                  <w:tcW w:w="542" w:type="pct"/>
                  <w:vMerge w:val="continue"/>
                  <w:tcBorders>
                    <w:tl2br w:val="nil"/>
                    <w:tr2bl w:val="nil"/>
                  </w:tcBorders>
                  <w:shd w:val="clear" w:color="auto" w:fill="auto"/>
                  <w:noWrap w:val="0"/>
                  <w:vAlign w:val="center"/>
                </w:tcPr>
                <w:p w14:paraId="65F49CC0">
                  <w:pPr>
                    <w:keepNext w:val="0"/>
                    <w:keepLines w:val="0"/>
                    <w:suppressLineNumbers w:val="0"/>
                    <w:shd w:val="clear" w:color="auto" w:fill="auto"/>
                    <w:spacing w:before="0" w:beforeAutospacing="0" w:after="0" w:afterAutospacing="0"/>
                    <w:ind w:left="0" w:right="0"/>
                    <w:jc w:val="center"/>
                    <w:rPr>
                      <w:b/>
                      <w:bCs/>
                      <w:color w:val="000000"/>
                      <w:szCs w:val="21"/>
                      <w:highlight w:val="none"/>
                    </w:rPr>
                  </w:pPr>
                </w:p>
              </w:tc>
              <w:tc>
                <w:tcPr>
                  <w:tcW w:w="610" w:type="pct"/>
                  <w:tcBorders>
                    <w:tl2br w:val="nil"/>
                    <w:tr2bl w:val="nil"/>
                  </w:tcBorders>
                  <w:shd w:val="clear" w:color="auto" w:fill="auto"/>
                  <w:noWrap w:val="0"/>
                  <w:vAlign w:val="center"/>
                </w:tcPr>
                <w:p w14:paraId="5B115299">
                  <w:pPr>
                    <w:keepNext w:val="0"/>
                    <w:keepLines w:val="0"/>
                    <w:suppressLineNumbers w:val="0"/>
                    <w:shd w:val="clear" w:color="auto" w:fill="auto"/>
                    <w:spacing w:before="0" w:beforeAutospacing="0" w:after="0" w:afterAutospacing="0"/>
                    <w:ind w:left="0" w:right="0"/>
                    <w:jc w:val="center"/>
                    <w:rPr>
                      <w:b/>
                      <w:bCs/>
                      <w:color w:val="000000"/>
                      <w:szCs w:val="21"/>
                      <w:highlight w:val="none"/>
                    </w:rPr>
                  </w:pPr>
                  <w:r>
                    <w:rPr>
                      <w:b/>
                      <w:bCs/>
                      <w:color w:val="000000"/>
                      <w:szCs w:val="21"/>
                      <w:highlight w:val="none"/>
                    </w:rPr>
                    <w:t>大气沉降</w:t>
                  </w:r>
                </w:p>
              </w:tc>
              <w:tc>
                <w:tcPr>
                  <w:tcW w:w="621" w:type="pct"/>
                  <w:tcBorders>
                    <w:tl2br w:val="nil"/>
                    <w:tr2bl w:val="nil"/>
                  </w:tcBorders>
                  <w:shd w:val="clear" w:color="auto" w:fill="auto"/>
                  <w:noWrap w:val="0"/>
                  <w:vAlign w:val="center"/>
                </w:tcPr>
                <w:p w14:paraId="45B2842A">
                  <w:pPr>
                    <w:keepNext w:val="0"/>
                    <w:keepLines w:val="0"/>
                    <w:suppressLineNumbers w:val="0"/>
                    <w:shd w:val="clear" w:color="auto" w:fill="auto"/>
                    <w:spacing w:before="0" w:beforeAutospacing="0" w:after="0" w:afterAutospacing="0"/>
                    <w:ind w:left="0" w:right="0"/>
                    <w:jc w:val="center"/>
                    <w:rPr>
                      <w:b/>
                      <w:bCs/>
                      <w:color w:val="000000"/>
                      <w:szCs w:val="21"/>
                      <w:highlight w:val="none"/>
                    </w:rPr>
                  </w:pPr>
                  <w:r>
                    <w:rPr>
                      <w:b/>
                      <w:bCs/>
                      <w:color w:val="000000"/>
                      <w:szCs w:val="21"/>
                      <w:highlight w:val="none"/>
                    </w:rPr>
                    <w:t>地面漫流</w:t>
                  </w:r>
                </w:p>
              </w:tc>
              <w:tc>
                <w:tcPr>
                  <w:tcW w:w="621" w:type="pct"/>
                  <w:tcBorders>
                    <w:tl2br w:val="nil"/>
                    <w:tr2bl w:val="nil"/>
                  </w:tcBorders>
                  <w:shd w:val="clear" w:color="auto" w:fill="auto"/>
                  <w:noWrap w:val="0"/>
                  <w:vAlign w:val="center"/>
                </w:tcPr>
                <w:p w14:paraId="5BD5472D">
                  <w:pPr>
                    <w:keepNext w:val="0"/>
                    <w:keepLines w:val="0"/>
                    <w:suppressLineNumbers w:val="0"/>
                    <w:shd w:val="clear" w:color="auto" w:fill="auto"/>
                    <w:spacing w:before="0" w:beforeAutospacing="0" w:after="0" w:afterAutospacing="0"/>
                    <w:ind w:left="0" w:right="0"/>
                    <w:jc w:val="center"/>
                    <w:rPr>
                      <w:b/>
                      <w:bCs/>
                      <w:color w:val="000000"/>
                      <w:szCs w:val="21"/>
                      <w:highlight w:val="none"/>
                    </w:rPr>
                  </w:pPr>
                  <w:r>
                    <w:rPr>
                      <w:b/>
                      <w:bCs/>
                      <w:color w:val="000000"/>
                      <w:szCs w:val="21"/>
                      <w:highlight w:val="none"/>
                    </w:rPr>
                    <w:t>垂直入渗</w:t>
                  </w:r>
                </w:p>
              </w:tc>
              <w:tc>
                <w:tcPr>
                  <w:tcW w:w="502" w:type="pct"/>
                  <w:tcBorders>
                    <w:tl2br w:val="nil"/>
                    <w:tr2bl w:val="nil"/>
                  </w:tcBorders>
                  <w:shd w:val="clear" w:color="auto" w:fill="auto"/>
                  <w:noWrap w:val="0"/>
                  <w:vAlign w:val="center"/>
                </w:tcPr>
                <w:p w14:paraId="5B19F867">
                  <w:pPr>
                    <w:keepNext w:val="0"/>
                    <w:keepLines w:val="0"/>
                    <w:suppressLineNumbers w:val="0"/>
                    <w:shd w:val="clear" w:color="auto" w:fill="auto"/>
                    <w:spacing w:before="0" w:beforeAutospacing="0" w:after="0" w:afterAutospacing="0"/>
                    <w:ind w:left="0" w:right="0"/>
                    <w:jc w:val="center"/>
                    <w:rPr>
                      <w:b/>
                      <w:bCs/>
                      <w:color w:val="000000"/>
                      <w:szCs w:val="21"/>
                      <w:highlight w:val="none"/>
                    </w:rPr>
                  </w:pPr>
                  <w:r>
                    <w:rPr>
                      <w:b/>
                      <w:bCs/>
                      <w:color w:val="000000"/>
                      <w:szCs w:val="21"/>
                      <w:highlight w:val="none"/>
                    </w:rPr>
                    <w:t>其他</w:t>
                  </w:r>
                </w:p>
              </w:tc>
              <w:tc>
                <w:tcPr>
                  <w:tcW w:w="459" w:type="pct"/>
                  <w:tcBorders>
                    <w:tl2br w:val="nil"/>
                    <w:tr2bl w:val="nil"/>
                  </w:tcBorders>
                  <w:shd w:val="clear" w:color="auto" w:fill="auto"/>
                  <w:noWrap w:val="0"/>
                  <w:vAlign w:val="center"/>
                </w:tcPr>
                <w:p w14:paraId="4ECF9777">
                  <w:pPr>
                    <w:keepNext w:val="0"/>
                    <w:keepLines w:val="0"/>
                    <w:suppressLineNumbers w:val="0"/>
                    <w:shd w:val="clear" w:color="auto" w:fill="auto"/>
                    <w:spacing w:before="0" w:beforeAutospacing="0" w:after="0" w:afterAutospacing="0"/>
                    <w:ind w:left="0" w:right="0"/>
                    <w:jc w:val="center"/>
                    <w:rPr>
                      <w:b/>
                      <w:bCs/>
                      <w:color w:val="000000"/>
                      <w:szCs w:val="21"/>
                      <w:highlight w:val="none"/>
                    </w:rPr>
                  </w:pPr>
                  <w:r>
                    <w:rPr>
                      <w:b/>
                      <w:bCs/>
                      <w:color w:val="000000"/>
                      <w:szCs w:val="21"/>
                      <w:highlight w:val="none"/>
                    </w:rPr>
                    <w:t>盐化</w:t>
                  </w:r>
                </w:p>
              </w:tc>
              <w:tc>
                <w:tcPr>
                  <w:tcW w:w="492" w:type="pct"/>
                  <w:tcBorders>
                    <w:tl2br w:val="nil"/>
                    <w:tr2bl w:val="nil"/>
                  </w:tcBorders>
                  <w:shd w:val="clear" w:color="auto" w:fill="auto"/>
                  <w:noWrap w:val="0"/>
                  <w:vAlign w:val="center"/>
                </w:tcPr>
                <w:p w14:paraId="13881804">
                  <w:pPr>
                    <w:keepNext w:val="0"/>
                    <w:keepLines w:val="0"/>
                    <w:suppressLineNumbers w:val="0"/>
                    <w:shd w:val="clear" w:color="auto" w:fill="auto"/>
                    <w:spacing w:before="0" w:beforeAutospacing="0" w:after="0" w:afterAutospacing="0"/>
                    <w:ind w:left="0" w:right="0"/>
                    <w:jc w:val="center"/>
                    <w:rPr>
                      <w:b/>
                      <w:bCs/>
                      <w:color w:val="000000"/>
                      <w:szCs w:val="21"/>
                      <w:highlight w:val="none"/>
                    </w:rPr>
                  </w:pPr>
                  <w:r>
                    <w:rPr>
                      <w:b/>
                      <w:bCs/>
                      <w:color w:val="000000"/>
                      <w:szCs w:val="21"/>
                      <w:highlight w:val="none"/>
                    </w:rPr>
                    <w:t>碱化</w:t>
                  </w:r>
                </w:p>
              </w:tc>
              <w:tc>
                <w:tcPr>
                  <w:tcW w:w="551" w:type="pct"/>
                  <w:tcBorders>
                    <w:tl2br w:val="nil"/>
                    <w:tr2bl w:val="nil"/>
                  </w:tcBorders>
                  <w:shd w:val="clear" w:color="auto" w:fill="auto"/>
                  <w:noWrap w:val="0"/>
                  <w:vAlign w:val="center"/>
                </w:tcPr>
                <w:p w14:paraId="3A3F02DF">
                  <w:pPr>
                    <w:keepNext w:val="0"/>
                    <w:keepLines w:val="0"/>
                    <w:suppressLineNumbers w:val="0"/>
                    <w:shd w:val="clear" w:color="auto" w:fill="auto"/>
                    <w:spacing w:before="0" w:beforeAutospacing="0" w:after="0" w:afterAutospacing="0"/>
                    <w:ind w:left="0" w:right="0"/>
                    <w:jc w:val="center"/>
                    <w:rPr>
                      <w:b/>
                      <w:bCs/>
                      <w:color w:val="000000"/>
                      <w:szCs w:val="21"/>
                      <w:highlight w:val="none"/>
                    </w:rPr>
                  </w:pPr>
                  <w:r>
                    <w:rPr>
                      <w:b/>
                      <w:bCs/>
                      <w:color w:val="000000"/>
                      <w:szCs w:val="21"/>
                      <w:highlight w:val="none"/>
                    </w:rPr>
                    <w:t>酸化</w:t>
                  </w:r>
                </w:p>
              </w:tc>
              <w:tc>
                <w:tcPr>
                  <w:tcW w:w="596" w:type="pct"/>
                  <w:tcBorders>
                    <w:tl2br w:val="nil"/>
                    <w:tr2bl w:val="nil"/>
                  </w:tcBorders>
                  <w:shd w:val="clear" w:color="auto" w:fill="auto"/>
                  <w:noWrap w:val="0"/>
                  <w:vAlign w:val="center"/>
                </w:tcPr>
                <w:p w14:paraId="36ACFADE">
                  <w:pPr>
                    <w:keepNext w:val="0"/>
                    <w:keepLines w:val="0"/>
                    <w:suppressLineNumbers w:val="0"/>
                    <w:shd w:val="clear" w:color="auto" w:fill="auto"/>
                    <w:spacing w:before="0" w:beforeAutospacing="0" w:after="0" w:afterAutospacing="0"/>
                    <w:ind w:left="0" w:right="0"/>
                    <w:jc w:val="center"/>
                    <w:rPr>
                      <w:b/>
                      <w:bCs/>
                      <w:color w:val="000000"/>
                      <w:szCs w:val="21"/>
                      <w:highlight w:val="none"/>
                    </w:rPr>
                  </w:pPr>
                  <w:r>
                    <w:rPr>
                      <w:b/>
                      <w:bCs/>
                      <w:color w:val="000000"/>
                      <w:szCs w:val="21"/>
                      <w:highlight w:val="none"/>
                    </w:rPr>
                    <w:t>其他</w:t>
                  </w:r>
                </w:p>
              </w:tc>
            </w:tr>
            <w:tr w14:paraId="7558E4A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40" w:hRule="atLeast"/>
              </w:trPr>
              <w:tc>
                <w:tcPr>
                  <w:tcW w:w="542" w:type="pct"/>
                  <w:tcBorders>
                    <w:tl2br w:val="nil"/>
                    <w:tr2bl w:val="nil"/>
                  </w:tcBorders>
                  <w:shd w:val="clear" w:color="auto" w:fill="auto"/>
                  <w:noWrap w:val="0"/>
                  <w:vAlign w:val="center"/>
                </w:tcPr>
                <w:p w14:paraId="4E75E36D">
                  <w:pPr>
                    <w:keepNext w:val="0"/>
                    <w:keepLines w:val="0"/>
                    <w:suppressLineNumbers w:val="0"/>
                    <w:shd w:val="clear" w:color="auto" w:fill="auto"/>
                    <w:spacing w:before="0" w:beforeAutospacing="0" w:after="0" w:afterAutospacing="0"/>
                    <w:ind w:left="0" w:right="0"/>
                    <w:jc w:val="center"/>
                    <w:rPr>
                      <w:rFonts w:hint="eastAsia" w:eastAsia="宋体"/>
                      <w:color w:val="000000"/>
                      <w:szCs w:val="21"/>
                      <w:highlight w:val="none"/>
                      <w:lang w:val="en-US" w:eastAsia="zh-CN"/>
                    </w:rPr>
                  </w:pPr>
                  <w:r>
                    <w:rPr>
                      <w:color w:val="000000"/>
                      <w:szCs w:val="21"/>
                      <w:highlight w:val="none"/>
                    </w:rPr>
                    <w:t>运营</w:t>
                  </w:r>
                  <w:r>
                    <w:rPr>
                      <w:rFonts w:hint="eastAsia"/>
                      <w:color w:val="000000"/>
                      <w:szCs w:val="21"/>
                      <w:highlight w:val="none"/>
                      <w:lang w:val="en-US" w:eastAsia="zh-CN"/>
                    </w:rPr>
                    <w:t>周期</w:t>
                  </w:r>
                </w:p>
              </w:tc>
              <w:tc>
                <w:tcPr>
                  <w:tcW w:w="610" w:type="pct"/>
                  <w:tcBorders>
                    <w:tl2br w:val="nil"/>
                    <w:tr2bl w:val="nil"/>
                  </w:tcBorders>
                  <w:shd w:val="clear" w:color="auto" w:fill="auto"/>
                  <w:noWrap w:val="0"/>
                  <w:vAlign w:val="center"/>
                </w:tcPr>
                <w:p w14:paraId="2DB65B80">
                  <w:pPr>
                    <w:keepNext w:val="0"/>
                    <w:keepLines w:val="0"/>
                    <w:suppressLineNumbers w:val="0"/>
                    <w:shd w:val="clear" w:color="auto" w:fill="auto"/>
                    <w:spacing w:before="0" w:beforeAutospacing="0" w:after="0" w:afterAutospacing="0"/>
                    <w:ind w:left="0" w:right="0"/>
                    <w:jc w:val="center"/>
                    <w:rPr>
                      <w:color w:val="000000"/>
                      <w:szCs w:val="21"/>
                      <w:highlight w:val="none"/>
                    </w:rPr>
                  </w:pPr>
                  <w:r>
                    <w:rPr>
                      <w:color w:val="000000"/>
                      <w:szCs w:val="21"/>
                      <w:highlight w:val="none"/>
                    </w:rPr>
                    <w:t>/</w:t>
                  </w:r>
                </w:p>
              </w:tc>
              <w:tc>
                <w:tcPr>
                  <w:tcW w:w="621" w:type="pct"/>
                  <w:tcBorders>
                    <w:tl2br w:val="nil"/>
                    <w:tr2bl w:val="nil"/>
                  </w:tcBorders>
                  <w:shd w:val="clear" w:color="auto" w:fill="auto"/>
                  <w:noWrap w:val="0"/>
                  <w:vAlign w:val="center"/>
                </w:tcPr>
                <w:p w14:paraId="370F8095">
                  <w:pPr>
                    <w:keepNext w:val="0"/>
                    <w:keepLines w:val="0"/>
                    <w:suppressLineNumbers w:val="0"/>
                    <w:shd w:val="clear" w:color="auto" w:fill="auto"/>
                    <w:spacing w:before="0" w:beforeAutospacing="0" w:after="0" w:afterAutospacing="0"/>
                    <w:ind w:left="0" w:right="0"/>
                    <w:jc w:val="center"/>
                    <w:rPr>
                      <w:color w:val="000000"/>
                      <w:szCs w:val="21"/>
                      <w:highlight w:val="none"/>
                    </w:rPr>
                  </w:pPr>
                  <w:r>
                    <w:rPr>
                      <w:color w:val="000000"/>
                      <w:szCs w:val="21"/>
                      <w:highlight w:val="none"/>
                    </w:rPr>
                    <w:t>/</w:t>
                  </w:r>
                </w:p>
              </w:tc>
              <w:tc>
                <w:tcPr>
                  <w:tcW w:w="621" w:type="pct"/>
                  <w:tcBorders>
                    <w:tl2br w:val="nil"/>
                    <w:tr2bl w:val="nil"/>
                  </w:tcBorders>
                  <w:shd w:val="clear" w:color="auto" w:fill="auto"/>
                  <w:noWrap w:val="0"/>
                  <w:vAlign w:val="center"/>
                </w:tcPr>
                <w:p w14:paraId="6FD73DB5">
                  <w:pPr>
                    <w:keepNext w:val="0"/>
                    <w:keepLines w:val="0"/>
                    <w:suppressLineNumbers w:val="0"/>
                    <w:shd w:val="clear" w:color="auto" w:fill="auto"/>
                    <w:spacing w:before="0" w:beforeAutospacing="0" w:after="0" w:afterAutospacing="0"/>
                    <w:ind w:left="0" w:right="0"/>
                    <w:jc w:val="center"/>
                    <w:rPr>
                      <w:color w:val="000000"/>
                      <w:szCs w:val="21"/>
                      <w:highlight w:val="none"/>
                    </w:rPr>
                  </w:pPr>
                  <w:r>
                    <w:rPr>
                      <w:color w:val="000000"/>
                      <w:szCs w:val="21"/>
                      <w:highlight w:val="none"/>
                    </w:rPr>
                    <w:t>√</w:t>
                  </w:r>
                </w:p>
              </w:tc>
              <w:tc>
                <w:tcPr>
                  <w:tcW w:w="502" w:type="pct"/>
                  <w:tcBorders>
                    <w:tl2br w:val="nil"/>
                    <w:tr2bl w:val="nil"/>
                  </w:tcBorders>
                  <w:shd w:val="clear" w:color="auto" w:fill="auto"/>
                  <w:noWrap w:val="0"/>
                  <w:vAlign w:val="center"/>
                </w:tcPr>
                <w:p w14:paraId="28221E34">
                  <w:pPr>
                    <w:keepNext w:val="0"/>
                    <w:keepLines w:val="0"/>
                    <w:suppressLineNumbers w:val="0"/>
                    <w:shd w:val="clear" w:color="auto" w:fill="auto"/>
                    <w:spacing w:before="0" w:beforeAutospacing="0" w:after="0" w:afterAutospacing="0"/>
                    <w:ind w:left="0" w:right="0"/>
                    <w:jc w:val="center"/>
                    <w:rPr>
                      <w:color w:val="000000"/>
                      <w:szCs w:val="21"/>
                      <w:highlight w:val="none"/>
                    </w:rPr>
                  </w:pPr>
                  <w:r>
                    <w:rPr>
                      <w:color w:val="000000"/>
                      <w:szCs w:val="21"/>
                      <w:highlight w:val="none"/>
                    </w:rPr>
                    <w:t>/</w:t>
                  </w:r>
                </w:p>
              </w:tc>
              <w:tc>
                <w:tcPr>
                  <w:tcW w:w="459" w:type="pct"/>
                  <w:tcBorders>
                    <w:tl2br w:val="nil"/>
                    <w:tr2bl w:val="nil"/>
                  </w:tcBorders>
                  <w:shd w:val="clear" w:color="auto" w:fill="auto"/>
                  <w:noWrap w:val="0"/>
                  <w:vAlign w:val="center"/>
                </w:tcPr>
                <w:p w14:paraId="06017311">
                  <w:pPr>
                    <w:keepNext w:val="0"/>
                    <w:keepLines w:val="0"/>
                    <w:suppressLineNumbers w:val="0"/>
                    <w:shd w:val="clear" w:color="auto" w:fill="auto"/>
                    <w:spacing w:before="0" w:beforeAutospacing="0" w:after="0" w:afterAutospacing="0"/>
                    <w:ind w:left="0" w:right="0"/>
                    <w:jc w:val="center"/>
                    <w:rPr>
                      <w:color w:val="000000"/>
                      <w:szCs w:val="21"/>
                      <w:highlight w:val="none"/>
                    </w:rPr>
                  </w:pPr>
                  <w:r>
                    <w:rPr>
                      <w:color w:val="000000"/>
                      <w:szCs w:val="21"/>
                      <w:highlight w:val="none"/>
                    </w:rPr>
                    <w:t>/</w:t>
                  </w:r>
                </w:p>
              </w:tc>
              <w:tc>
                <w:tcPr>
                  <w:tcW w:w="492" w:type="pct"/>
                  <w:tcBorders>
                    <w:tl2br w:val="nil"/>
                    <w:tr2bl w:val="nil"/>
                  </w:tcBorders>
                  <w:shd w:val="clear" w:color="auto" w:fill="auto"/>
                  <w:noWrap w:val="0"/>
                  <w:vAlign w:val="center"/>
                </w:tcPr>
                <w:p w14:paraId="32FC426A">
                  <w:pPr>
                    <w:keepNext w:val="0"/>
                    <w:keepLines w:val="0"/>
                    <w:suppressLineNumbers w:val="0"/>
                    <w:shd w:val="clear" w:color="auto" w:fill="auto"/>
                    <w:spacing w:before="0" w:beforeAutospacing="0" w:after="0" w:afterAutospacing="0"/>
                    <w:ind w:left="0" w:right="0"/>
                    <w:jc w:val="center"/>
                    <w:rPr>
                      <w:color w:val="000000"/>
                      <w:szCs w:val="21"/>
                      <w:highlight w:val="none"/>
                    </w:rPr>
                  </w:pPr>
                  <w:r>
                    <w:rPr>
                      <w:color w:val="000000"/>
                      <w:szCs w:val="21"/>
                      <w:highlight w:val="none"/>
                    </w:rPr>
                    <w:t>/</w:t>
                  </w:r>
                </w:p>
              </w:tc>
              <w:tc>
                <w:tcPr>
                  <w:tcW w:w="551" w:type="pct"/>
                  <w:tcBorders>
                    <w:tl2br w:val="nil"/>
                    <w:tr2bl w:val="nil"/>
                  </w:tcBorders>
                  <w:shd w:val="clear" w:color="auto" w:fill="auto"/>
                  <w:noWrap w:val="0"/>
                  <w:vAlign w:val="center"/>
                </w:tcPr>
                <w:p w14:paraId="0BA0DFCD">
                  <w:pPr>
                    <w:keepNext w:val="0"/>
                    <w:keepLines w:val="0"/>
                    <w:suppressLineNumbers w:val="0"/>
                    <w:shd w:val="clear" w:color="auto" w:fill="auto"/>
                    <w:spacing w:before="0" w:beforeAutospacing="0" w:after="0" w:afterAutospacing="0"/>
                    <w:ind w:left="0" w:right="0"/>
                    <w:jc w:val="center"/>
                    <w:rPr>
                      <w:color w:val="000000"/>
                      <w:szCs w:val="21"/>
                      <w:highlight w:val="none"/>
                    </w:rPr>
                  </w:pPr>
                  <w:r>
                    <w:rPr>
                      <w:color w:val="000000"/>
                      <w:szCs w:val="21"/>
                      <w:highlight w:val="none"/>
                    </w:rPr>
                    <w:t>/</w:t>
                  </w:r>
                </w:p>
              </w:tc>
              <w:tc>
                <w:tcPr>
                  <w:tcW w:w="596" w:type="pct"/>
                  <w:tcBorders>
                    <w:tl2br w:val="nil"/>
                    <w:tr2bl w:val="nil"/>
                  </w:tcBorders>
                  <w:shd w:val="clear" w:color="auto" w:fill="auto"/>
                  <w:noWrap w:val="0"/>
                  <w:vAlign w:val="center"/>
                </w:tcPr>
                <w:p w14:paraId="47E3C37A">
                  <w:pPr>
                    <w:keepNext w:val="0"/>
                    <w:keepLines w:val="0"/>
                    <w:suppressLineNumbers w:val="0"/>
                    <w:shd w:val="clear" w:color="auto" w:fill="auto"/>
                    <w:spacing w:before="0" w:beforeAutospacing="0" w:after="0" w:afterAutospacing="0"/>
                    <w:ind w:left="0" w:right="0"/>
                    <w:jc w:val="center"/>
                    <w:rPr>
                      <w:color w:val="000000"/>
                      <w:szCs w:val="21"/>
                      <w:highlight w:val="none"/>
                    </w:rPr>
                  </w:pPr>
                  <w:r>
                    <w:rPr>
                      <w:color w:val="000000"/>
                      <w:szCs w:val="21"/>
                      <w:highlight w:val="none"/>
                    </w:rPr>
                    <w:t>/</w:t>
                  </w:r>
                </w:p>
              </w:tc>
            </w:tr>
            <w:tr w14:paraId="171E18D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40" w:hRule="atLeast"/>
              </w:trPr>
              <w:tc>
                <w:tcPr>
                  <w:tcW w:w="5000" w:type="pct"/>
                  <w:gridSpan w:val="9"/>
                  <w:tcBorders>
                    <w:tl2br w:val="nil"/>
                    <w:tr2bl w:val="nil"/>
                  </w:tcBorders>
                  <w:shd w:val="clear" w:color="auto" w:fill="auto"/>
                  <w:noWrap w:val="0"/>
                  <w:vAlign w:val="center"/>
                </w:tcPr>
                <w:p w14:paraId="650AFAD3">
                  <w:pPr>
                    <w:keepNext w:val="0"/>
                    <w:keepLines w:val="0"/>
                    <w:suppressLineNumbers w:val="0"/>
                    <w:shd w:val="clear" w:color="auto" w:fill="auto"/>
                    <w:spacing w:before="0" w:beforeAutospacing="0" w:after="0" w:afterAutospacing="0"/>
                    <w:ind w:left="0" w:right="0"/>
                    <w:jc w:val="center"/>
                    <w:rPr>
                      <w:color w:val="000000"/>
                      <w:szCs w:val="21"/>
                      <w:highlight w:val="none"/>
                    </w:rPr>
                  </w:pPr>
                  <w:r>
                    <w:rPr>
                      <w:color w:val="000000"/>
                      <w:szCs w:val="21"/>
                      <w:highlight w:val="none"/>
                    </w:rPr>
                    <w:t>注：在可能产生的土壤环境影响类型</w:t>
                  </w:r>
                  <w:r>
                    <w:rPr>
                      <w:rFonts w:hint="eastAsia"/>
                      <w:color w:val="000000"/>
                      <w:szCs w:val="21"/>
                      <w:highlight w:val="none"/>
                      <w:lang w:val="en-US" w:eastAsia="zh-CN"/>
                    </w:rPr>
                    <w:t>处</w:t>
                  </w:r>
                  <w:r>
                    <w:rPr>
                      <w:color w:val="000000"/>
                      <w:szCs w:val="21"/>
                      <w:highlight w:val="none"/>
                    </w:rPr>
                    <w:t>打“√”</w:t>
                  </w:r>
                </w:p>
              </w:tc>
            </w:tr>
          </w:tbl>
          <w:p w14:paraId="42FF1806">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rightChars="0" w:firstLine="420" w:firstLineChars="200"/>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（3）</w:t>
            </w:r>
            <w:r>
              <w:rPr>
                <w:rFonts w:hint="default" w:ascii="Times New Roman" w:hAnsi="Times New Roman" w:cs="Times New Roman"/>
                <w:color w:val="000000"/>
                <w:sz w:val="21"/>
                <w:szCs w:val="21"/>
                <w:highlight w:val="none"/>
                <w:lang w:val="en-US" w:eastAsia="zh-CN"/>
              </w:rPr>
              <w:t>防控措施</w:t>
            </w:r>
          </w:p>
          <w:p w14:paraId="59AC8AD7">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rightChars="0" w:firstLine="420" w:firstLineChars="200"/>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本项目</w:t>
            </w:r>
            <w:r>
              <w:rPr>
                <w:rFonts w:hint="eastAsia" w:cs="Times New Roman"/>
                <w:color w:val="000000"/>
                <w:sz w:val="21"/>
                <w:szCs w:val="21"/>
                <w:highlight w:val="none"/>
                <w:lang w:val="en-US" w:eastAsia="zh-CN"/>
              </w:rPr>
              <w:t>危险废物贮存间</w:t>
            </w:r>
            <w:r>
              <w:rPr>
                <w:rFonts w:hint="eastAsia" w:ascii="Times New Roman" w:hAnsi="Times New Roman" w:cs="Times New Roman"/>
                <w:color w:val="000000"/>
                <w:sz w:val="21"/>
                <w:szCs w:val="21"/>
                <w:highlight w:val="none"/>
                <w:lang w:val="en-US" w:eastAsia="zh-CN"/>
              </w:rPr>
              <w:t>均依托现有工程设施，且均采取了重点防渗措施，</w:t>
            </w:r>
            <w:r>
              <w:rPr>
                <w:rFonts w:hint="default" w:ascii="Times New Roman" w:hAnsi="Times New Roman" w:cs="Times New Roman"/>
                <w:color w:val="000000"/>
                <w:sz w:val="21"/>
                <w:szCs w:val="21"/>
                <w:highlight w:val="none"/>
                <w:lang w:val="en-US" w:eastAsia="zh-CN"/>
              </w:rPr>
              <w:t>可有效防止污染物渗透到地下污染土壤。</w:t>
            </w:r>
            <w:r>
              <w:rPr>
                <w:rFonts w:hint="eastAsia" w:ascii="Times New Roman" w:hAnsi="Times New Roman" w:cs="Times New Roman"/>
                <w:color w:val="000000"/>
                <w:sz w:val="21"/>
                <w:szCs w:val="21"/>
                <w:highlight w:val="none"/>
                <w:lang w:val="en-US" w:eastAsia="zh-CN"/>
              </w:rPr>
              <w:t>具体防渗要求见下表。</w:t>
            </w:r>
          </w:p>
          <w:p w14:paraId="66C034DD">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rightChars="0" w:firstLine="422" w:firstLineChars="200"/>
              <w:jc w:val="center"/>
              <w:textAlignment w:val="auto"/>
              <w:rPr>
                <w:rFonts w:hint="eastAsia"/>
                <w:b/>
                <w:bCs/>
                <w:color w:val="000000"/>
                <w:highlight w:val="none"/>
                <w:lang w:val="en-US" w:eastAsia="zh-CN"/>
              </w:rPr>
            </w:pPr>
            <w:r>
              <w:rPr>
                <w:rFonts w:hint="eastAsia" w:ascii="Times New Roman" w:hAnsi="Times New Roman" w:cs="Times New Roman"/>
                <w:b/>
                <w:bCs/>
                <w:color w:val="000000"/>
                <w:sz w:val="21"/>
                <w:szCs w:val="21"/>
                <w:highlight w:val="none"/>
                <w:lang w:val="en-US" w:eastAsia="zh-CN"/>
              </w:rPr>
              <w:t>表4-21  分区防渗一览表</w:t>
            </w:r>
          </w:p>
          <w:tbl>
            <w:tblPr>
              <w:tblStyle w:val="13"/>
              <w:tblW w:w="81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53"/>
              <w:gridCol w:w="1460"/>
              <w:gridCol w:w="5119"/>
            </w:tblGrid>
            <w:tr w14:paraId="5A64C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553" w:type="dxa"/>
                  <w:tcBorders>
                    <w:tl2br w:val="nil"/>
                    <w:tr2bl w:val="nil"/>
                  </w:tcBorders>
                  <w:shd w:val="clear" w:color="auto" w:fill="auto"/>
                  <w:noWrap w:val="0"/>
                  <w:vAlign w:val="center"/>
                </w:tcPr>
                <w:p w14:paraId="7C1E4E72">
                  <w:pPr>
                    <w:keepNext w:val="0"/>
                    <w:keepLines w:val="0"/>
                    <w:suppressLineNumbers w:val="0"/>
                    <w:shd w:val="clear" w:color="auto" w:fill="auto"/>
                    <w:bidi w:val="0"/>
                    <w:spacing w:before="0" w:beforeAutospacing="0" w:after="0" w:afterAutospacing="0"/>
                    <w:ind w:left="0" w:right="0"/>
                    <w:jc w:val="center"/>
                    <w:rPr>
                      <w:rFonts w:hint="eastAsia"/>
                      <w:b/>
                      <w:bCs/>
                      <w:color w:val="000000"/>
                      <w:highlight w:val="none"/>
                      <w:lang w:val="en-US" w:eastAsia="zh-CN"/>
                    </w:rPr>
                  </w:pPr>
                  <w:r>
                    <w:rPr>
                      <w:rFonts w:hint="default"/>
                      <w:b/>
                      <w:bCs/>
                      <w:color w:val="000000"/>
                      <w:highlight w:val="none"/>
                    </w:rPr>
                    <w:t>防渗分区</w:t>
                  </w:r>
                </w:p>
              </w:tc>
              <w:tc>
                <w:tcPr>
                  <w:tcW w:w="1460" w:type="dxa"/>
                  <w:tcBorders>
                    <w:tl2br w:val="nil"/>
                    <w:tr2bl w:val="nil"/>
                  </w:tcBorders>
                  <w:shd w:val="clear" w:color="auto" w:fill="auto"/>
                  <w:noWrap w:val="0"/>
                  <w:vAlign w:val="center"/>
                </w:tcPr>
                <w:p w14:paraId="4DD48E80">
                  <w:pPr>
                    <w:keepNext w:val="0"/>
                    <w:keepLines w:val="0"/>
                    <w:suppressLineNumbers w:val="0"/>
                    <w:shd w:val="clear" w:color="auto" w:fill="auto"/>
                    <w:bidi w:val="0"/>
                    <w:spacing w:before="0" w:beforeAutospacing="0" w:after="0" w:afterAutospacing="0"/>
                    <w:ind w:left="0" w:right="0"/>
                    <w:jc w:val="center"/>
                    <w:rPr>
                      <w:rFonts w:hint="eastAsia"/>
                      <w:b/>
                      <w:bCs/>
                      <w:color w:val="000000"/>
                      <w:highlight w:val="none"/>
                      <w:lang w:val="en-US" w:eastAsia="zh-CN"/>
                    </w:rPr>
                  </w:pPr>
                  <w:r>
                    <w:rPr>
                      <w:rFonts w:hint="default"/>
                      <w:b/>
                      <w:bCs/>
                      <w:color w:val="000000"/>
                      <w:highlight w:val="none"/>
                    </w:rPr>
                    <w:t>区域或构筑物名称</w:t>
                  </w:r>
                </w:p>
              </w:tc>
              <w:tc>
                <w:tcPr>
                  <w:tcW w:w="5119" w:type="dxa"/>
                  <w:tcBorders>
                    <w:tl2br w:val="nil"/>
                    <w:tr2bl w:val="nil"/>
                  </w:tcBorders>
                  <w:shd w:val="clear" w:color="auto" w:fill="auto"/>
                  <w:noWrap w:val="0"/>
                  <w:vAlign w:val="center"/>
                </w:tcPr>
                <w:p w14:paraId="14AF610D">
                  <w:pPr>
                    <w:keepNext w:val="0"/>
                    <w:keepLines w:val="0"/>
                    <w:suppressLineNumbers w:val="0"/>
                    <w:shd w:val="clear" w:color="auto" w:fill="auto"/>
                    <w:bidi w:val="0"/>
                    <w:spacing w:before="0" w:beforeAutospacing="0" w:after="0" w:afterAutospacing="0"/>
                    <w:ind w:left="0" w:right="0"/>
                    <w:jc w:val="center"/>
                    <w:rPr>
                      <w:rFonts w:hint="eastAsia"/>
                      <w:b/>
                      <w:bCs/>
                      <w:color w:val="000000"/>
                      <w:highlight w:val="none"/>
                      <w:lang w:val="en-US" w:eastAsia="zh-CN"/>
                    </w:rPr>
                  </w:pPr>
                  <w:r>
                    <w:rPr>
                      <w:rFonts w:hint="default"/>
                      <w:b/>
                      <w:bCs/>
                      <w:color w:val="000000"/>
                      <w:highlight w:val="none"/>
                    </w:rPr>
                    <w:t>防渗技术要求</w:t>
                  </w:r>
                </w:p>
              </w:tc>
            </w:tr>
            <w:tr w14:paraId="6B41C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3" w:type="dxa"/>
                  <w:tcBorders>
                    <w:tl2br w:val="nil"/>
                    <w:tr2bl w:val="nil"/>
                  </w:tcBorders>
                  <w:shd w:val="clear" w:color="auto" w:fill="auto"/>
                  <w:noWrap w:val="0"/>
                  <w:vAlign w:val="center"/>
                </w:tcPr>
                <w:p w14:paraId="2673681F">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rPr>
                    <w:t>重点防渗区</w:t>
                  </w:r>
                </w:p>
              </w:tc>
              <w:tc>
                <w:tcPr>
                  <w:tcW w:w="1460" w:type="dxa"/>
                  <w:tcBorders>
                    <w:tl2br w:val="nil"/>
                    <w:tr2bl w:val="nil"/>
                  </w:tcBorders>
                  <w:shd w:val="clear" w:color="auto" w:fill="auto"/>
                  <w:noWrap w:val="0"/>
                  <w:vAlign w:val="center"/>
                </w:tcPr>
                <w:p w14:paraId="253CABB4">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cs="Times New Roman"/>
                      <w:color w:val="000000"/>
                      <w:highlight w:val="none"/>
                      <w:lang w:val="en-US" w:eastAsia="zh-CN"/>
                    </w:rPr>
                  </w:pPr>
                  <w:r>
                    <w:t>危险废物贮</w:t>
                  </w:r>
                  <w:r>
                    <w:rPr>
                      <w:rFonts w:hint="eastAsia" w:ascii="Times New Roman" w:hAnsi="Times New Roman" w:cs="Times New Roman"/>
                      <w:color w:val="000000"/>
                      <w:highlight w:val="none"/>
                      <w:lang w:val="en-US" w:eastAsia="zh-CN"/>
                    </w:rPr>
                    <w:t>存间</w:t>
                  </w:r>
                </w:p>
              </w:tc>
              <w:tc>
                <w:tcPr>
                  <w:tcW w:w="5119" w:type="dxa"/>
                  <w:tcBorders>
                    <w:tl2br w:val="nil"/>
                    <w:tr2bl w:val="nil"/>
                  </w:tcBorders>
                  <w:shd w:val="clear" w:color="auto" w:fill="auto"/>
                  <w:noWrap w:val="0"/>
                  <w:vAlign w:val="center"/>
                </w:tcPr>
                <w:p w14:paraId="6FC7F19A">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rPr>
                    <w:t>防渗设计：防渗层的防渗性能不应低于6.0m厚，不大于渗透系数为1.0×10-7 cm/s的黏土层的防渗性能</w:t>
                  </w:r>
                  <w:r>
                    <w:rPr>
                      <w:rFonts w:hint="default" w:ascii="Times New Roman" w:hAnsi="Times New Roman" w:cs="Times New Roman"/>
                      <w:color w:val="000000"/>
                      <w:highlight w:val="none"/>
                      <w:lang w:eastAsia="zh-CN"/>
                    </w:rPr>
                    <w:t>；</w:t>
                  </w:r>
                  <w:r>
                    <w:rPr>
                      <w:rFonts w:hint="default" w:ascii="Times New Roman" w:hAnsi="Times New Roman" w:cs="Times New Roman"/>
                      <w:color w:val="000000"/>
                      <w:highlight w:val="none"/>
                    </w:rPr>
                    <w:t>建议采取建议由下至上为“地基+黏土层处理+高密度聚乙烯+水泥硬化”或“地基+防渗</w:t>
                  </w:r>
                  <w:r>
                    <w:rPr>
                      <w:rFonts w:hint="eastAsia" w:ascii="Times New Roman" w:hAnsi="Times New Roman" w:cs="Times New Roman"/>
                      <w:color w:val="000000"/>
                      <w:highlight w:val="none"/>
                      <w:lang w:eastAsia="zh-CN"/>
                    </w:rPr>
                    <w:t>絮凝</w:t>
                  </w:r>
                  <w:r>
                    <w:rPr>
                      <w:rFonts w:hint="default" w:ascii="Times New Roman" w:hAnsi="Times New Roman" w:cs="Times New Roman"/>
                      <w:color w:val="000000"/>
                      <w:highlight w:val="none"/>
                    </w:rPr>
                    <w:t>土层”，然后涂沥青防渗，防渗层一次浇筑，无冷缝。</w:t>
                  </w:r>
                </w:p>
              </w:tc>
            </w:tr>
          </w:tbl>
          <w:p w14:paraId="7037FE05">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rightChars="0" w:firstLine="420" w:firstLineChars="200"/>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正常情况下，不会通过垂直入渗的方式对土壤造成影响。非正常情况下，</w:t>
            </w:r>
            <w:r>
              <w:rPr>
                <w:rFonts w:hint="eastAsia" w:ascii="Times New Roman" w:hAnsi="Times New Roman" w:cs="Times New Roman"/>
                <w:color w:val="000000"/>
                <w:sz w:val="21"/>
                <w:szCs w:val="21"/>
                <w:highlight w:val="none"/>
                <w:lang w:val="en-US" w:eastAsia="zh-CN"/>
              </w:rPr>
              <w:t>如危废间防渗层年久失修或遭到人为破坏等，</w:t>
            </w:r>
            <w:r>
              <w:rPr>
                <w:rFonts w:hint="default" w:ascii="Times New Roman" w:hAnsi="Times New Roman" w:cs="Times New Roman"/>
                <w:color w:val="000000"/>
                <w:sz w:val="21"/>
                <w:szCs w:val="21"/>
                <w:highlight w:val="none"/>
                <w:lang w:val="en-US" w:eastAsia="zh-CN"/>
              </w:rPr>
              <w:t>污染物会通过垂直入渗的方式对土壤环境造成污染。</w:t>
            </w:r>
            <w:r>
              <w:rPr>
                <w:rFonts w:hint="eastAsia" w:ascii="Times New Roman" w:hAnsi="Times New Roman" w:cs="Times New Roman"/>
                <w:color w:val="000000"/>
                <w:sz w:val="21"/>
                <w:szCs w:val="21"/>
                <w:highlight w:val="none"/>
                <w:lang w:val="en-US" w:eastAsia="zh-CN"/>
              </w:rPr>
              <w:t>因此要求企业做好</w:t>
            </w:r>
            <w:r>
              <w:rPr>
                <w:rFonts w:hint="eastAsia" w:cs="Times New Roman"/>
                <w:color w:val="000000"/>
                <w:sz w:val="21"/>
                <w:szCs w:val="21"/>
                <w:highlight w:val="none"/>
                <w:lang w:val="en-US" w:eastAsia="zh-CN"/>
              </w:rPr>
              <w:t>危险废物贮存间</w:t>
            </w:r>
            <w:r>
              <w:rPr>
                <w:rFonts w:hint="eastAsia" w:ascii="Times New Roman" w:hAnsi="Times New Roman" w:cs="Times New Roman"/>
                <w:color w:val="000000"/>
                <w:sz w:val="21"/>
                <w:szCs w:val="21"/>
                <w:highlight w:val="none"/>
                <w:lang w:val="en-US" w:eastAsia="zh-CN"/>
              </w:rPr>
              <w:t>的日常管理，防止非正常情况的发生。</w:t>
            </w:r>
          </w:p>
          <w:p w14:paraId="3CC322CE">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rightChars="0" w:firstLine="420" w:firstLineChars="200"/>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综上，本项目</w:t>
            </w:r>
            <w:r>
              <w:rPr>
                <w:rFonts w:hint="eastAsia" w:ascii="Times New Roman" w:hAnsi="Times New Roman" w:cs="Times New Roman"/>
                <w:color w:val="000000"/>
                <w:sz w:val="21"/>
                <w:szCs w:val="21"/>
                <w:highlight w:val="none"/>
                <w:lang w:val="en-US" w:eastAsia="zh-CN"/>
              </w:rPr>
              <w:t>在</w:t>
            </w:r>
            <w:r>
              <w:rPr>
                <w:rFonts w:hint="default" w:ascii="Times New Roman" w:hAnsi="Times New Roman" w:cs="Times New Roman"/>
                <w:color w:val="000000"/>
                <w:sz w:val="21"/>
                <w:szCs w:val="21"/>
                <w:highlight w:val="none"/>
                <w:lang w:val="en-US" w:eastAsia="zh-CN"/>
              </w:rPr>
              <w:t>采取有效的防渗措施</w:t>
            </w:r>
            <w:r>
              <w:rPr>
                <w:rFonts w:hint="eastAsia" w:ascii="Times New Roman" w:hAnsi="Times New Roman" w:cs="Times New Roman"/>
                <w:color w:val="000000"/>
                <w:sz w:val="21"/>
                <w:szCs w:val="21"/>
                <w:highlight w:val="none"/>
                <w:lang w:val="en-US" w:eastAsia="zh-CN"/>
              </w:rPr>
              <w:t>的情况下</w:t>
            </w:r>
            <w:r>
              <w:rPr>
                <w:rFonts w:hint="default" w:ascii="Times New Roman" w:hAnsi="Times New Roman" w:cs="Times New Roman"/>
                <w:color w:val="000000"/>
                <w:sz w:val="21"/>
                <w:szCs w:val="21"/>
                <w:highlight w:val="none"/>
                <w:lang w:val="en-US" w:eastAsia="zh-CN"/>
              </w:rPr>
              <w:t>，</w:t>
            </w:r>
            <w:r>
              <w:rPr>
                <w:rFonts w:hint="eastAsia" w:ascii="Times New Roman" w:hAnsi="Times New Roman" w:cs="Times New Roman"/>
                <w:color w:val="000000"/>
                <w:sz w:val="21"/>
                <w:szCs w:val="21"/>
                <w:highlight w:val="none"/>
                <w:lang w:val="en-US" w:eastAsia="zh-CN"/>
              </w:rPr>
              <w:t>基本不会造成</w:t>
            </w:r>
            <w:r>
              <w:rPr>
                <w:rFonts w:hint="default" w:ascii="Times New Roman" w:hAnsi="Times New Roman" w:cs="Times New Roman"/>
                <w:color w:val="000000"/>
                <w:sz w:val="21"/>
                <w:szCs w:val="21"/>
                <w:highlight w:val="none"/>
                <w:lang w:val="en-US" w:eastAsia="zh-CN"/>
              </w:rPr>
              <w:t>土壤的污染。</w:t>
            </w:r>
          </w:p>
          <w:p w14:paraId="3E9E3408">
            <w:pPr>
              <w:widowControl/>
              <w:shd w:val="clear" w:color="auto" w:fill="auto"/>
              <w:spacing w:line="360" w:lineRule="auto"/>
              <w:ind w:firstLine="422" w:firstLineChars="200"/>
              <w:jc w:val="both"/>
              <w:rPr>
                <w:rFonts w:hint="default" w:ascii="Times New Roman" w:hAnsi="Times New Roman" w:eastAsia="宋体" w:cs="Times New Roman"/>
                <w:b/>
                <w:color w:val="000000"/>
                <w:sz w:val="21"/>
                <w:szCs w:val="21"/>
                <w:highlight w:val="none"/>
                <w:lang w:val="en-US" w:eastAsia="zh-CN"/>
              </w:rPr>
            </w:pPr>
            <w:r>
              <w:rPr>
                <w:rFonts w:hint="eastAsia" w:ascii="Times New Roman" w:hAnsi="Times New Roman" w:eastAsia="宋体" w:cs="Times New Roman"/>
                <w:b/>
                <w:color w:val="000000"/>
                <w:sz w:val="21"/>
                <w:szCs w:val="21"/>
                <w:highlight w:val="none"/>
                <w:lang w:val="en-US" w:eastAsia="zh-CN"/>
              </w:rPr>
              <w:t>六、地下水环境影响分析</w:t>
            </w:r>
          </w:p>
          <w:p w14:paraId="26029191">
            <w:pPr>
              <w:keepNext w:val="0"/>
              <w:keepLines w:val="0"/>
              <w:pageBreakBefore w:val="0"/>
              <w:widowControl w:val="0"/>
              <w:suppressLineNumbers w:val="0"/>
              <w:shd w:val="clear" w:color="auto" w:fill="auto"/>
              <w:kinsoku/>
              <w:wordWrap/>
              <w:overflowPunct/>
              <w:topLinePunct w:val="0"/>
              <w:bidi w:val="0"/>
              <w:adjustRightInd w:val="0"/>
              <w:snapToGrid w:val="0"/>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color w:val="000000"/>
                <w:sz w:val="21"/>
                <w:szCs w:val="21"/>
                <w:highlight w:val="none"/>
                <w:lang w:val="en-US" w:eastAsia="zh-CN"/>
              </w:rPr>
            </w:pPr>
            <w:r>
              <w:rPr>
                <w:rFonts w:hint="eastAsia" w:cs="Times New Roman"/>
                <w:b/>
                <w:bCs/>
                <w:color w:val="000000"/>
                <w:sz w:val="21"/>
                <w:szCs w:val="21"/>
                <w:highlight w:val="none"/>
                <w:lang w:val="en-US" w:eastAsia="zh-CN"/>
              </w:rPr>
              <w:t>1.</w:t>
            </w:r>
            <w:r>
              <w:rPr>
                <w:rFonts w:hint="eastAsia" w:ascii="Times New Roman" w:hAnsi="Times New Roman" w:eastAsia="宋体" w:cs="Times New Roman"/>
                <w:b/>
                <w:bCs/>
                <w:color w:val="000000"/>
                <w:sz w:val="21"/>
                <w:szCs w:val="21"/>
                <w:highlight w:val="none"/>
                <w:lang w:val="en-US" w:eastAsia="zh-CN"/>
              </w:rPr>
              <w:t>地下水环境影响评价</w:t>
            </w:r>
          </w:p>
          <w:p w14:paraId="09FE647B">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right="0" w:rightChars="0" w:firstLine="420" w:firstLineChars="200"/>
              <w:textAlignment w:val="auto"/>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根据《环境影响评价技术导则 地下水环境》HJ610-2016附录A，本项目为白酒制造为报告表，属于Ⅳ类建设项目，根据导则中</w:t>
            </w:r>
            <w:r>
              <w:t>4.1条</w:t>
            </w:r>
            <w:r>
              <w:rPr>
                <w:rFonts w:hint="eastAsia" w:ascii="Times New Roman" w:hAnsi="Times New Roman" w:eastAsia="宋体" w:cs="Times New Roman"/>
                <w:b w:val="0"/>
                <w:bCs w:val="0"/>
                <w:color w:val="000000"/>
                <w:sz w:val="21"/>
                <w:szCs w:val="21"/>
                <w:highlight w:val="none"/>
                <w:lang w:val="en-US" w:eastAsia="zh-CN"/>
              </w:rPr>
              <w:t>，“Ⅳ类建设项目不开展地下水环境影响评价”，故本项目不开展地下水环境影响评价分析。</w:t>
            </w:r>
          </w:p>
          <w:p w14:paraId="196981C0">
            <w:pPr>
              <w:keepNext w:val="0"/>
              <w:keepLines w:val="0"/>
              <w:pageBreakBefore w:val="0"/>
              <w:widowControl w:val="0"/>
              <w:suppressLineNumbers w:val="0"/>
              <w:shd w:val="clear" w:color="auto" w:fill="auto"/>
              <w:kinsoku/>
              <w:wordWrap/>
              <w:overflowPunct/>
              <w:topLinePunct w:val="0"/>
              <w:bidi w:val="0"/>
              <w:adjustRightInd w:val="0"/>
              <w:snapToGrid w:val="0"/>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color w:val="000000"/>
                <w:sz w:val="21"/>
                <w:szCs w:val="21"/>
                <w:highlight w:val="none"/>
                <w:lang w:val="en-US" w:eastAsia="zh-CN"/>
              </w:rPr>
            </w:pPr>
            <w:r>
              <w:rPr>
                <w:rFonts w:hint="eastAsia" w:cs="Times New Roman"/>
                <w:b/>
                <w:bCs/>
                <w:color w:val="000000"/>
                <w:sz w:val="21"/>
                <w:szCs w:val="21"/>
                <w:highlight w:val="none"/>
                <w:lang w:val="en-US" w:eastAsia="zh-CN"/>
              </w:rPr>
              <w:t>2.</w:t>
            </w:r>
            <w:r>
              <w:rPr>
                <w:rFonts w:hint="default" w:ascii="Times New Roman" w:hAnsi="Times New Roman" w:eastAsia="宋体" w:cs="Times New Roman"/>
                <w:b/>
                <w:bCs/>
                <w:color w:val="000000"/>
                <w:sz w:val="21"/>
                <w:szCs w:val="21"/>
                <w:highlight w:val="none"/>
                <w:lang w:val="en-US" w:eastAsia="zh-CN"/>
              </w:rPr>
              <w:t>污染源、污染类型</w:t>
            </w:r>
          </w:p>
          <w:p w14:paraId="05508472">
            <w:pPr>
              <w:shd w:val="clear" w:color="auto" w:fill="auto"/>
              <w:adjustRightInd w:val="0"/>
              <w:spacing w:line="360" w:lineRule="auto"/>
              <w:ind w:firstLine="420" w:firstLineChars="200"/>
              <w:jc w:val="left"/>
              <w:rPr>
                <w:rFonts w:hint="eastAsia"/>
                <w:color w:val="000000"/>
                <w:sz w:val="21"/>
                <w:szCs w:val="21"/>
                <w:highlight w:val="none"/>
                <w:lang w:val="en-US" w:eastAsia="zh-CN"/>
              </w:rPr>
            </w:pPr>
            <w:r>
              <w:rPr>
                <w:rFonts w:hint="eastAsia"/>
                <w:color w:val="000000"/>
                <w:sz w:val="21"/>
                <w:szCs w:val="21"/>
                <w:highlight w:val="none"/>
                <w:lang w:val="en-US" w:eastAsia="zh-CN"/>
              </w:rPr>
              <w:t>（1）</w:t>
            </w:r>
            <w:r>
              <w:rPr>
                <w:rFonts w:hint="default" w:ascii="Times New Roman" w:hAnsi="Times New Roman" w:cs="Times New Roman"/>
                <w:color w:val="000000"/>
                <w:sz w:val="21"/>
                <w:szCs w:val="21"/>
                <w:highlight w:val="none"/>
                <w:lang w:val="en-US" w:eastAsia="zh-CN"/>
              </w:rPr>
              <w:t>污染源、污染物类型</w:t>
            </w:r>
          </w:p>
          <w:p w14:paraId="0AE27853">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color w:val="000000"/>
                <w:highlight w:val="none"/>
                <w:lang w:val="en-US" w:eastAsia="zh-CN"/>
              </w:rPr>
            </w:pPr>
            <w:r>
              <w:rPr>
                <w:rFonts w:hint="default" w:ascii="Times New Roman" w:hAnsi="Times New Roman" w:cs="Times New Roman"/>
                <w:b/>
                <w:bCs/>
                <w:color w:val="000000"/>
                <w:highlight w:val="none"/>
                <w:lang w:val="en-US" w:eastAsia="zh-CN"/>
              </w:rPr>
              <w:t>表4-</w:t>
            </w:r>
            <w:r>
              <w:rPr>
                <w:rFonts w:hint="eastAsia" w:ascii="Times New Roman" w:hAnsi="Times New Roman" w:cs="Times New Roman"/>
                <w:b/>
                <w:bCs/>
                <w:color w:val="000000"/>
                <w:highlight w:val="none"/>
                <w:lang w:val="en-US" w:eastAsia="zh-CN"/>
              </w:rPr>
              <w:t>22</w:t>
            </w:r>
            <w:r>
              <w:rPr>
                <w:rFonts w:hint="default" w:ascii="Times New Roman" w:hAnsi="Times New Roman" w:cs="Times New Roman"/>
                <w:b/>
                <w:bCs/>
                <w:color w:val="000000"/>
                <w:highlight w:val="none"/>
                <w:lang w:val="en-US" w:eastAsia="zh-CN"/>
              </w:rPr>
              <w:t xml:space="preserve">  </w:t>
            </w:r>
            <w:r>
              <w:rPr>
                <w:rFonts w:hint="eastAsia" w:ascii="Times New Roman" w:hAnsi="Times New Roman" w:cs="Times New Roman"/>
                <w:b/>
                <w:bCs/>
                <w:color w:val="000000"/>
                <w:highlight w:val="none"/>
                <w:lang w:val="en-US" w:eastAsia="zh-CN"/>
              </w:rPr>
              <w:t>地下水</w:t>
            </w:r>
            <w:r>
              <w:rPr>
                <w:rFonts w:hint="default" w:ascii="Times New Roman" w:hAnsi="Times New Roman" w:cs="Times New Roman"/>
                <w:b/>
                <w:bCs/>
                <w:color w:val="000000"/>
                <w:highlight w:val="none"/>
                <w:lang w:val="en-US" w:eastAsia="zh-CN"/>
              </w:rPr>
              <w:t>污染源识别</w:t>
            </w:r>
          </w:p>
          <w:tbl>
            <w:tblPr>
              <w:tblStyle w:val="21"/>
              <w:tblW w:w="8143" w:type="dxa"/>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shd w:val="clear" w:color="auto" w:fill="auto"/>
              <w:tblLayout w:type="fixed"/>
              <w:tblCellMar>
                <w:top w:w="0" w:type="dxa"/>
                <w:left w:w="0" w:type="dxa"/>
                <w:bottom w:w="0" w:type="dxa"/>
                <w:right w:w="0" w:type="dxa"/>
              </w:tblCellMar>
            </w:tblPr>
            <w:tblGrid>
              <w:gridCol w:w="632"/>
              <w:gridCol w:w="1730"/>
              <w:gridCol w:w="1619"/>
              <w:gridCol w:w="2094"/>
              <w:gridCol w:w="2068"/>
            </w:tblGrid>
            <w:tr w14:paraId="23BE6126">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340" w:hRule="atLeast"/>
              </w:trPr>
              <w:tc>
                <w:tcPr>
                  <w:tcW w:w="388" w:type="pct"/>
                  <w:tcBorders>
                    <w:tl2br w:val="nil"/>
                    <w:tr2bl w:val="nil"/>
                  </w:tcBorders>
                  <w:shd w:val="clear" w:color="auto" w:fill="auto"/>
                  <w:noWrap w:val="0"/>
                  <w:vAlign w:val="center"/>
                </w:tcPr>
                <w:p w14:paraId="318BDC19">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序号</w:t>
                  </w:r>
                </w:p>
              </w:tc>
              <w:tc>
                <w:tcPr>
                  <w:tcW w:w="1062" w:type="pct"/>
                  <w:tcBorders>
                    <w:tl2br w:val="nil"/>
                    <w:tr2bl w:val="nil"/>
                  </w:tcBorders>
                  <w:shd w:val="clear" w:color="auto" w:fill="auto"/>
                  <w:noWrap w:val="0"/>
                  <w:vAlign w:val="center"/>
                </w:tcPr>
                <w:p w14:paraId="2362F006">
                  <w:pPr>
                    <w:keepNext w:val="0"/>
                    <w:keepLines w:val="0"/>
                    <w:suppressLineNumbers w:val="0"/>
                    <w:shd w:val="clear" w:color="auto" w:fill="auto"/>
                    <w:spacing w:before="0" w:beforeAutospacing="0" w:after="0" w:afterAutospacing="0"/>
                    <w:ind w:left="0" w:right="0"/>
                    <w:jc w:val="center"/>
                    <w:rPr>
                      <w:rFonts w:hint="eastAsia" w:ascii="Times New Roman" w:hAnsi="Times New Roman" w:eastAsia="宋体" w:cs="Times New Roman"/>
                      <w:b/>
                      <w:bCs/>
                      <w:color w:val="000000"/>
                      <w:szCs w:val="21"/>
                      <w:highlight w:val="none"/>
                      <w:lang w:eastAsia="zh-CN"/>
                    </w:rPr>
                  </w:pPr>
                  <w:r>
                    <w:rPr>
                      <w:rFonts w:hint="eastAsia" w:ascii="Times New Roman" w:hAnsi="Times New Roman" w:cs="Times New Roman"/>
                      <w:b/>
                      <w:bCs/>
                      <w:color w:val="000000"/>
                      <w:szCs w:val="21"/>
                      <w:highlight w:val="none"/>
                      <w:lang w:val="en-US" w:eastAsia="zh-CN"/>
                    </w:rPr>
                    <w:t>污染源</w:t>
                  </w:r>
                </w:p>
              </w:tc>
              <w:tc>
                <w:tcPr>
                  <w:tcW w:w="994" w:type="pct"/>
                  <w:tcBorders>
                    <w:tl2br w:val="nil"/>
                    <w:tr2bl w:val="nil"/>
                  </w:tcBorders>
                  <w:shd w:val="clear" w:color="auto" w:fill="auto"/>
                  <w:noWrap w:val="0"/>
                  <w:vAlign w:val="center"/>
                </w:tcPr>
                <w:p w14:paraId="7E269A92">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污染物类型</w:t>
                  </w:r>
                </w:p>
              </w:tc>
              <w:tc>
                <w:tcPr>
                  <w:tcW w:w="1285" w:type="pct"/>
                  <w:tcBorders>
                    <w:tl2br w:val="nil"/>
                    <w:tr2bl w:val="nil"/>
                  </w:tcBorders>
                  <w:shd w:val="clear" w:color="auto" w:fill="auto"/>
                  <w:noWrap w:val="0"/>
                  <w:vAlign w:val="center"/>
                </w:tcPr>
                <w:p w14:paraId="1D6BBE2D">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color w:val="000000"/>
                      <w:szCs w:val="21"/>
                      <w:highlight w:val="none"/>
                    </w:rPr>
                  </w:pPr>
                  <w:r>
                    <w:rPr>
                      <w:rFonts w:hint="default" w:ascii="Times New Roman" w:hAnsi="Times New Roman" w:cs="Times New Roman"/>
                      <w:b/>
                      <w:bCs/>
                      <w:color w:val="000000"/>
                      <w:szCs w:val="21"/>
                      <w:highlight w:val="none"/>
                    </w:rPr>
                    <w:t>污染物</w:t>
                  </w:r>
                </w:p>
              </w:tc>
              <w:tc>
                <w:tcPr>
                  <w:tcW w:w="1269" w:type="pct"/>
                  <w:tcBorders>
                    <w:tl2br w:val="nil"/>
                    <w:tr2bl w:val="nil"/>
                  </w:tcBorders>
                  <w:shd w:val="clear" w:color="auto" w:fill="auto"/>
                  <w:noWrap w:val="0"/>
                  <w:vAlign w:val="center"/>
                </w:tcPr>
                <w:p w14:paraId="63E2DDD4">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b/>
                      <w:bCs/>
                      <w:color w:val="000000"/>
                      <w:szCs w:val="21"/>
                      <w:highlight w:val="none"/>
                      <w:lang w:val="en-US" w:eastAsia="zh-CN"/>
                    </w:rPr>
                  </w:pPr>
                  <w:r>
                    <w:rPr>
                      <w:rFonts w:hint="eastAsia" w:ascii="Times New Roman" w:hAnsi="Times New Roman" w:cs="Times New Roman"/>
                      <w:b/>
                      <w:bCs/>
                      <w:color w:val="000000"/>
                      <w:szCs w:val="21"/>
                      <w:highlight w:val="none"/>
                      <w:lang w:val="en-US" w:eastAsia="zh-CN"/>
                    </w:rPr>
                    <w:t>污染因子</w:t>
                  </w:r>
                </w:p>
              </w:tc>
            </w:tr>
            <w:tr w14:paraId="342EC10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162" w:hRule="atLeast"/>
              </w:trPr>
              <w:tc>
                <w:tcPr>
                  <w:tcW w:w="388" w:type="pct"/>
                  <w:tcBorders>
                    <w:tl2br w:val="nil"/>
                    <w:tr2bl w:val="nil"/>
                  </w:tcBorders>
                  <w:shd w:val="clear" w:color="auto" w:fill="auto"/>
                  <w:noWrap w:val="0"/>
                  <w:vAlign w:val="center"/>
                </w:tcPr>
                <w:p w14:paraId="701820E4">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1</w:t>
                  </w:r>
                </w:p>
              </w:tc>
              <w:tc>
                <w:tcPr>
                  <w:tcW w:w="1062" w:type="pct"/>
                  <w:tcBorders>
                    <w:tl2br w:val="nil"/>
                    <w:tr2bl w:val="nil"/>
                  </w:tcBorders>
                  <w:shd w:val="clear" w:color="auto" w:fill="auto"/>
                  <w:noWrap w:val="0"/>
                  <w:vAlign w:val="center"/>
                </w:tcPr>
                <w:p w14:paraId="342C1E27">
                  <w:pPr>
                    <w:keepNext w:val="0"/>
                    <w:keepLines w:val="0"/>
                    <w:suppressLineNumbers w:val="0"/>
                    <w:shd w:val="clear" w:color="auto" w:fill="auto"/>
                    <w:spacing w:before="0" w:beforeAutospacing="0" w:after="0" w:afterAutospacing="0"/>
                    <w:ind w:left="0" w:right="0"/>
                    <w:jc w:val="center"/>
                    <w:rPr>
                      <w:rFonts w:hint="eastAsia" w:ascii="Times New Roman" w:hAnsi="Times New Roman" w:eastAsia="宋体" w:cs="Times New Roman"/>
                      <w:color w:val="000000"/>
                      <w:szCs w:val="21"/>
                      <w:highlight w:val="none"/>
                      <w:lang w:eastAsia="zh-CN"/>
                    </w:rPr>
                  </w:pPr>
                  <w:r>
                    <w:rPr>
                      <w:rFonts w:hint="eastAsia" w:cs="Times New Roman"/>
                      <w:color w:val="000000"/>
                      <w:szCs w:val="21"/>
                      <w:highlight w:val="none"/>
                      <w:lang w:eastAsia="zh-CN"/>
                    </w:rPr>
                    <w:t>危险废物贮存间</w:t>
                  </w:r>
                </w:p>
              </w:tc>
              <w:tc>
                <w:tcPr>
                  <w:tcW w:w="994" w:type="pct"/>
                  <w:tcBorders>
                    <w:tl2br w:val="nil"/>
                    <w:tr2bl w:val="nil"/>
                  </w:tcBorders>
                  <w:shd w:val="clear" w:color="auto" w:fill="auto"/>
                  <w:noWrap w:val="0"/>
                  <w:vAlign w:val="center"/>
                </w:tcPr>
                <w:p w14:paraId="2161F440">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危险废物</w:t>
                  </w:r>
                </w:p>
              </w:tc>
              <w:tc>
                <w:tcPr>
                  <w:tcW w:w="1285" w:type="pct"/>
                  <w:tcBorders>
                    <w:tl2br w:val="nil"/>
                    <w:tr2bl w:val="nil"/>
                  </w:tcBorders>
                  <w:shd w:val="clear" w:color="auto" w:fill="auto"/>
                  <w:noWrap w:val="0"/>
                  <w:vAlign w:val="center"/>
                </w:tcPr>
                <w:p w14:paraId="0D3B03A1">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废机油</w:t>
                  </w:r>
                  <w:r>
                    <w:rPr>
                      <w:rFonts w:hint="eastAsia" w:ascii="Times New Roman" w:hAnsi="Times New Roman" w:cs="Times New Roman"/>
                      <w:color w:val="000000"/>
                      <w:szCs w:val="21"/>
                      <w:highlight w:val="none"/>
                      <w:lang w:val="en-US" w:eastAsia="zh-CN"/>
                    </w:rPr>
                    <w:t>、实验室废试剂</w:t>
                  </w:r>
                </w:p>
              </w:tc>
              <w:tc>
                <w:tcPr>
                  <w:tcW w:w="1269" w:type="pct"/>
                  <w:tcBorders>
                    <w:tl2br w:val="nil"/>
                    <w:tr2bl w:val="nil"/>
                  </w:tcBorders>
                  <w:shd w:val="clear" w:color="auto" w:fill="auto"/>
                  <w:noWrap w:val="0"/>
                  <w:vAlign w:val="center"/>
                </w:tcPr>
                <w:p w14:paraId="6E1E232A">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pH值、石油类</w:t>
                  </w:r>
                </w:p>
              </w:tc>
            </w:tr>
            <w:tr w14:paraId="1D65AC5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162" w:hRule="atLeast"/>
              </w:trPr>
              <w:tc>
                <w:tcPr>
                  <w:tcW w:w="388" w:type="pct"/>
                  <w:tcBorders>
                    <w:tl2br w:val="nil"/>
                    <w:tr2bl w:val="nil"/>
                  </w:tcBorders>
                  <w:shd w:val="clear" w:color="auto" w:fill="auto"/>
                  <w:noWrap w:val="0"/>
                  <w:vAlign w:val="center"/>
                </w:tcPr>
                <w:p w14:paraId="4B1328FF">
                  <w:pPr>
                    <w:keepNext w:val="0"/>
                    <w:keepLines w:val="0"/>
                    <w:suppressLineNumbers w:val="0"/>
                    <w:shd w:val="clear" w:color="auto" w:fill="auto"/>
                    <w:spacing w:before="0" w:beforeAutospacing="0" w:after="0" w:afterAutospacing="0"/>
                    <w:ind w:left="0" w:right="0"/>
                    <w:jc w:val="center"/>
                    <w:rPr>
                      <w:rFonts w:hint="eastAsia" w:ascii="Times New Roman" w:hAnsi="Times New Roman" w:eastAsia="宋体"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2</w:t>
                  </w:r>
                </w:p>
              </w:tc>
              <w:tc>
                <w:tcPr>
                  <w:tcW w:w="1062" w:type="pct"/>
                  <w:tcBorders>
                    <w:tl2br w:val="nil"/>
                    <w:tr2bl w:val="nil"/>
                  </w:tcBorders>
                  <w:shd w:val="clear" w:color="auto" w:fill="auto"/>
                  <w:noWrap w:val="0"/>
                  <w:vAlign w:val="center"/>
                </w:tcPr>
                <w:p w14:paraId="2AA348A7">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污水处理站</w:t>
                  </w:r>
                </w:p>
              </w:tc>
              <w:tc>
                <w:tcPr>
                  <w:tcW w:w="994" w:type="pct"/>
                  <w:tcBorders>
                    <w:tl2br w:val="nil"/>
                    <w:tr2bl w:val="nil"/>
                  </w:tcBorders>
                  <w:shd w:val="clear" w:color="auto" w:fill="auto"/>
                  <w:noWrap w:val="0"/>
                  <w:vAlign w:val="center"/>
                </w:tcPr>
                <w:p w14:paraId="6C389939">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污水</w:t>
                  </w:r>
                </w:p>
              </w:tc>
              <w:tc>
                <w:tcPr>
                  <w:tcW w:w="1285" w:type="pct"/>
                  <w:tcBorders>
                    <w:tl2br w:val="nil"/>
                    <w:tr2bl w:val="nil"/>
                  </w:tcBorders>
                  <w:shd w:val="clear" w:color="auto" w:fill="auto"/>
                  <w:noWrap w:val="0"/>
                  <w:vAlign w:val="center"/>
                </w:tcPr>
                <w:p w14:paraId="167352A4">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综合废水</w:t>
                  </w:r>
                </w:p>
              </w:tc>
              <w:tc>
                <w:tcPr>
                  <w:tcW w:w="1269" w:type="pct"/>
                  <w:tcBorders>
                    <w:tl2br w:val="nil"/>
                    <w:tr2bl w:val="nil"/>
                  </w:tcBorders>
                  <w:shd w:val="clear" w:color="auto" w:fill="auto"/>
                  <w:noWrap w:val="0"/>
                  <w:vAlign w:val="center"/>
                </w:tcPr>
                <w:p w14:paraId="1E00095C">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氨氮、菌落总数、总大肠菌群</w:t>
                  </w:r>
                </w:p>
              </w:tc>
            </w:tr>
            <w:tr w14:paraId="33F6C0F2">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shd w:val="clear" w:color="auto" w:fill="auto"/>
                <w:tblCellMar>
                  <w:top w:w="0" w:type="dxa"/>
                  <w:left w:w="0" w:type="dxa"/>
                  <w:bottom w:w="0" w:type="dxa"/>
                  <w:right w:w="0" w:type="dxa"/>
                </w:tblCellMar>
              </w:tblPrEx>
              <w:trPr>
                <w:trHeight w:val="162" w:hRule="atLeast"/>
              </w:trPr>
              <w:tc>
                <w:tcPr>
                  <w:tcW w:w="388" w:type="pct"/>
                  <w:tcBorders>
                    <w:tl2br w:val="nil"/>
                    <w:tr2bl w:val="nil"/>
                  </w:tcBorders>
                  <w:shd w:val="clear" w:color="auto" w:fill="auto"/>
                  <w:noWrap w:val="0"/>
                  <w:vAlign w:val="center"/>
                </w:tcPr>
                <w:p w14:paraId="5076A41D">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3</w:t>
                  </w:r>
                </w:p>
              </w:tc>
              <w:tc>
                <w:tcPr>
                  <w:tcW w:w="1062" w:type="pct"/>
                  <w:tcBorders>
                    <w:tl2br w:val="nil"/>
                    <w:tr2bl w:val="nil"/>
                  </w:tcBorders>
                  <w:shd w:val="clear" w:color="auto" w:fill="auto"/>
                  <w:noWrap w:val="0"/>
                  <w:vAlign w:val="center"/>
                </w:tcPr>
                <w:p w14:paraId="22F4B47C">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尿素溶液储罐区</w:t>
                  </w:r>
                </w:p>
              </w:tc>
              <w:tc>
                <w:tcPr>
                  <w:tcW w:w="994" w:type="pct"/>
                  <w:tcBorders>
                    <w:tl2br w:val="nil"/>
                    <w:tr2bl w:val="nil"/>
                  </w:tcBorders>
                  <w:shd w:val="clear" w:color="auto" w:fill="auto"/>
                  <w:noWrap w:val="0"/>
                  <w:vAlign w:val="center"/>
                </w:tcPr>
                <w:p w14:paraId="5FFCD6CE">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尿素溶液</w:t>
                  </w:r>
                </w:p>
              </w:tc>
              <w:tc>
                <w:tcPr>
                  <w:tcW w:w="1285" w:type="pct"/>
                  <w:tcBorders>
                    <w:tl2br w:val="nil"/>
                    <w:tr2bl w:val="nil"/>
                  </w:tcBorders>
                  <w:shd w:val="clear" w:color="auto" w:fill="auto"/>
                  <w:noWrap w:val="0"/>
                  <w:vAlign w:val="center"/>
                </w:tcPr>
                <w:p w14:paraId="28417347">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尿素</w:t>
                  </w:r>
                </w:p>
              </w:tc>
              <w:tc>
                <w:tcPr>
                  <w:tcW w:w="1269" w:type="pct"/>
                  <w:tcBorders>
                    <w:tl2br w:val="nil"/>
                    <w:tr2bl w:val="nil"/>
                  </w:tcBorders>
                  <w:shd w:val="clear" w:color="auto" w:fill="auto"/>
                  <w:noWrap w:val="0"/>
                  <w:vAlign w:val="center"/>
                </w:tcPr>
                <w:p w14:paraId="6FC48601">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氨氮</w:t>
                  </w:r>
                </w:p>
              </w:tc>
            </w:tr>
          </w:tbl>
          <w:p w14:paraId="6F3A9F51">
            <w:pPr>
              <w:pStyle w:val="18"/>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b w:val="0"/>
                <w:bCs w:val="0"/>
                <w:color w:val="000000"/>
                <w:kern w:val="2"/>
                <w:sz w:val="21"/>
                <w:szCs w:val="21"/>
                <w:highlight w:val="none"/>
                <w:lang w:val="en-US" w:eastAsia="zh-CN" w:bidi="ar-SA"/>
              </w:rPr>
            </w:pPr>
            <w:r>
              <w:rPr>
                <w:rFonts w:hint="default" w:ascii="Times New Roman" w:hAnsi="Times New Roman" w:eastAsia="宋体" w:cs="Times New Roman"/>
                <w:b w:val="0"/>
                <w:bCs w:val="0"/>
                <w:color w:val="000000"/>
                <w:kern w:val="2"/>
                <w:sz w:val="21"/>
                <w:szCs w:val="21"/>
                <w:highlight w:val="none"/>
                <w:lang w:val="en-US" w:eastAsia="zh-CN" w:bidi="ar-SA"/>
              </w:rPr>
              <w:t>（</w:t>
            </w:r>
            <w:r>
              <w:rPr>
                <w:rFonts w:hint="eastAsia" w:ascii="Times New Roman" w:hAnsi="Times New Roman" w:eastAsia="宋体" w:cs="Times New Roman"/>
                <w:b w:val="0"/>
                <w:bCs w:val="0"/>
                <w:color w:val="000000"/>
                <w:kern w:val="2"/>
                <w:sz w:val="21"/>
                <w:szCs w:val="21"/>
                <w:highlight w:val="none"/>
                <w:lang w:val="en-US" w:eastAsia="zh-CN" w:bidi="ar-SA"/>
              </w:rPr>
              <w:t>2</w:t>
            </w:r>
            <w:r>
              <w:rPr>
                <w:rFonts w:hint="default" w:ascii="Times New Roman" w:hAnsi="Times New Roman" w:eastAsia="宋体" w:cs="Times New Roman"/>
                <w:b w:val="0"/>
                <w:bCs w:val="0"/>
                <w:color w:val="000000"/>
                <w:kern w:val="2"/>
                <w:sz w:val="21"/>
                <w:szCs w:val="21"/>
                <w:highlight w:val="none"/>
                <w:lang w:val="en-US" w:eastAsia="zh-CN" w:bidi="ar-SA"/>
              </w:rPr>
              <w:t>）污染途径</w:t>
            </w:r>
            <w:r>
              <w:rPr>
                <w:rFonts w:hint="eastAsia" w:ascii="Times New Roman" w:hAnsi="Times New Roman" w:eastAsia="宋体" w:cs="Times New Roman"/>
                <w:b w:val="0"/>
                <w:bCs w:val="0"/>
                <w:color w:val="000000"/>
                <w:kern w:val="2"/>
                <w:sz w:val="21"/>
                <w:szCs w:val="21"/>
                <w:highlight w:val="none"/>
                <w:lang w:val="en-US" w:eastAsia="zh-CN" w:bidi="ar-SA"/>
              </w:rPr>
              <w:t>、</w:t>
            </w:r>
            <w:r>
              <w:rPr>
                <w:rFonts w:hint="default" w:ascii="Times New Roman" w:hAnsi="Times New Roman" w:eastAsia="宋体" w:cs="Times New Roman"/>
                <w:b w:val="0"/>
                <w:bCs w:val="0"/>
                <w:color w:val="000000"/>
                <w:kern w:val="2"/>
                <w:sz w:val="21"/>
                <w:szCs w:val="21"/>
                <w:highlight w:val="none"/>
                <w:lang w:val="en-US" w:eastAsia="zh-CN" w:bidi="ar-SA"/>
              </w:rPr>
              <w:t>防控措施</w:t>
            </w:r>
          </w:p>
          <w:p w14:paraId="096D3518">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rightChars="0" w:firstLine="420" w:firstLineChars="200"/>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具体防渗要求见下表。</w:t>
            </w:r>
          </w:p>
          <w:p w14:paraId="3AD61C54">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right="0" w:rightChars="0" w:firstLine="422" w:firstLineChars="200"/>
              <w:jc w:val="center"/>
              <w:textAlignment w:val="auto"/>
              <w:rPr>
                <w:rFonts w:hint="eastAsia"/>
                <w:b/>
                <w:bCs/>
                <w:color w:val="000000"/>
                <w:highlight w:val="none"/>
                <w:lang w:val="en-US" w:eastAsia="zh-CN"/>
              </w:rPr>
            </w:pPr>
            <w:r>
              <w:rPr>
                <w:rFonts w:hint="eastAsia" w:ascii="Times New Roman" w:hAnsi="Times New Roman" w:cs="Times New Roman"/>
                <w:b/>
                <w:bCs/>
                <w:color w:val="000000"/>
                <w:sz w:val="21"/>
                <w:szCs w:val="21"/>
                <w:highlight w:val="none"/>
                <w:lang w:val="en-US" w:eastAsia="zh-CN"/>
              </w:rPr>
              <w:t>表4-23  分区防渗一览表</w:t>
            </w:r>
          </w:p>
          <w:tbl>
            <w:tblPr>
              <w:tblStyle w:val="13"/>
              <w:tblW w:w="81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53"/>
              <w:gridCol w:w="1460"/>
              <w:gridCol w:w="5141"/>
            </w:tblGrid>
            <w:tr w14:paraId="14122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553" w:type="dxa"/>
                  <w:tcBorders>
                    <w:tl2br w:val="nil"/>
                    <w:tr2bl w:val="nil"/>
                  </w:tcBorders>
                  <w:shd w:val="clear" w:color="auto" w:fill="auto"/>
                  <w:noWrap w:val="0"/>
                  <w:vAlign w:val="center"/>
                </w:tcPr>
                <w:p w14:paraId="24CE9334">
                  <w:pPr>
                    <w:keepNext w:val="0"/>
                    <w:keepLines w:val="0"/>
                    <w:suppressLineNumbers w:val="0"/>
                    <w:shd w:val="clear" w:color="auto" w:fill="auto"/>
                    <w:bidi w:val="0"/>
                    <w:spacing w:before="0" w:beforeAutospacing="0" w:after="0" w:afterAutospacing="0"/>
                    <w:ind w:left="0" w:right="0"/>
                    <w:jc w:val="center"/>
                    <w:rPr>
                      <w:rFonts w:hint="eastAsia"/>
                      <w:b/>
                      <w:bCs/>
                      <w:color w:val="000000"/>
                      <w:highlight w:val="none"/>
                      <w:lang w:val="en-US" w:eastAsia="zh-CN"/>
                    </w:rPr>
                  </w:pPr>
                  <w:r>
                    <w:rPr>
                      <w:rFonts w:hint="default"/>
                      <w:b/>
                      <w:bCs/>
                      <w:color w:val="000000"/>
                      <w:highlight w:val="none"/>
                    </w:rPr>
                    <w:t>防渗分区</w:t>
                  </w:r>
                </w:p>
              </w:tc>
              <w:tc>
                <w:tcPr>
                  <w:tcW w:w="1460" w:type="dxa"/>
                  <w:tcBorders>
                    <w:tl2br w:val="nil"/>
                    <w:tr2bl w:val="nil"/>
                  </w:tcBorders>
                  <w:shd w:val="clear" w:color="auto" w:fill="auto"/>
                  <w:noWrap w:val="0"/>
                  <w:vAlign w:val="center"/>
                </w:tcPr>
                <w:p w14:paraId="0D7A404A">
                  <w:pPr>
                    <w:keepNext w:val="0"/>
                    <w:keepLines w:val="0"/>
                    <w:suppressLineNumbers w:val="0"/>
                    <w:shd w:val="clear" w:color="auto" w:fill="auto"/>
                    <w:bidi w:val="0"/>
                    <w:spacing w:before="0" w:beforeAutospacing="0" w:after="0" w:afterAutospacing="0"/>
                    <w:ind w:left="0" w:right="0"/>
                    <w:jc w:val="center"/>
                    <w:rPr>
                      <w:rFonts w:hint="eastAsia"/>
                      <w:b/>
                      <w:bCs/>
                      <w:color w:val="000000"/>
                      <w:highlight w:val="none"/>
                      <w:lang w:val="en-US" w:eastAsia="zh-CN"/>
                    </w:rPr>
                  </w:pPr>
                  <w:r>
                    <w:rPr>
                      <w:rFonts w:hint="default"/>
                      <w:b/>
                      <w:bCs/>
                      <w:color w:val="000000"/>
                      <w:highlight w:val="none"/>
                    </w:rPr>
                    <w:t>区域或构筑物名称</w:t>
                  </w:r>
                </w:p>
              </w:tc>
              <w:tc>
                <w:tcPr>
                  <w:tcW w:w="5141" w:type="dxa"/>
                  <w:tcBorders>
                    <w:tl2br w:val="nil"/>
                    <w:tr2bl w:val="nil"/>
                  </w:tcBorders>
                  <w:shd w:val="clear" w:color="auto" w:fill="auto"/>
                  <w:noWrap w:val="0"/>
                  <w:vAlign w:val="center"/>
                </w:tcPr>
                <w:p w14:paraId="70FB4D2F">
                  <w:pPr>
                    <w:keepNext w:val="0"/>
                    <w:keepLines w:val="0"/>
                    <w:suppressLineNumbers w:val="0"/>
                    <w:shd w:val="clear" w:color="auto" w:fill="auto"/>
                    <w:bidi w:val="0"/>
                    <w:spacing w:before="0" w:beforeAutospacing="0" w:after="0" w:afterAutospacing="0"/>
                    <w:ind w:left="0" w:right="0"/>
                    <w:jc w:val="center"/>
                    <w:rPr>
                      <w:rFonts w:hint="eastAsia"/>
                      <w:b/>
                      <w:bCs/>
                      <w:color w:val="000000"/>
                      <w:highlight w:val="none"/>
                      <w:lang w:val="en-US" w:eastAsia="zh-CN"/>
                    </w:rPr>
                  </w:pPr>
                  <w:r>
                    <w:rPr>
                      <w:rFonts w:hint="default"/>
                      <w:b/>
                      <w:bCs/>
                      <w:color w:val="000000"/>
                      <w:highlight w:val="none"/>
                    </w:rPr>
                    <w:t>防渗技术要求</w:t>
                  </w:r>
                </w:p>
              </w:tc>
            </w:tr>
            <w:tr w14:paraId="489E9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553" w:type="dxa"/>
                  <w:tcBorders>
                    <w:tl2br w:val="nil"/>
                    <w:tr2bl w:val="nil"/>
                  </w:tcBorders>
                  <w:shd w:val="clear" w:color="auto" w:fill="auto"/>
                  <w:noWrap w:val="0"/>
                  <w:vAlign w:val="center"/>
                </w:tcPr>
                <w:p w14:paraId="73A50B52">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t>重点防渗区</w:t>
                  </w:r>
                </w:p>
              </w:tc>
              <w:tc>
                <w:tcPr>
                  <w:tcW w:w="1460" w:type="dxa"/>
                  <w:tcBorders>
                    <w:tl2br w:val="nil"/>
                    <w:tr2bl w:val="nil"/>
                  </w:tcBorders>
                  <w:shd w:val="clear" w:color="auto" w:fill="auto"/>
                  <w:noWrap w:val="0"/>
                  <w:vAlign w:val="center"/>
                </w:tcPr>
                <w:p w14:paraId="39AE7ACB">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cs="Times New Roman"/>
                      <w:color w:val="000000"/>
                      <w:highlight w:val="none"/>
                      <w:lang w:val="en-US" w:eastAsia="zh-CN"/>
                    </w:rPr>
                  </w:pPr>
                  <w:r>
                    <w:rPr>
                      <w:rFonts w:hint="eastAsia" w:cs="Times New Roman"/>
                      <w:color w:val="000000"/>
                      <w:highlight w:val="none"/>
                      <w:lang w:val="en-US" w:eastAsia="zh-CN"/>
                    </w:rPr>
                    <w:t>危险废物贮存间</w:t>
                  </w:r>
                  <w:r>
                    <w:rPr>
                      <w:rFonts w:hint="eastAsia" w:ascii="Times New Roman" w:hAnsi="Times New Roman" w:cs="Times New Roman"/>
                      <w:color w:val="000000"/>
                      <w:highlight w:val="none"/>
                      <w:lang w:val="en-US" w:eastAsia="zh-CN"/>
                    </w:rPr>
                    <w:t>、污水处理站、尿素溶液储罐区</w:t>
                  </w:r>
                </w:p>
              </w:tc>
              <w:tc>
                <w:tcPr>
                  <w:tcW w:w="5141" w:type="dxa"/>
                  <w:tcBorders>
                    <w:tl2br w:val="nil"/>
                    <w:tr2bl w:val="nil"/>
                  </w:tcBorders>
                  <w:shd w:val="clear" w:color="auto" w:fill="auto"/>
                  <w:noWrap w:val="0"/>
                  <w:vAlign w:val="center"/>
                </w:tcPr>
                <w:p w14:paraId="2A0FD9C8">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rPr>
                    <w:t>防渗设计：防渗层的防渗性能不应低于6.0m厚，不大于渗透系数为1.0×10 -7cm/s的</w:t>
                  </w:r>
                  <w:r>
                    <w:rPr>
                      <w:rFonts w:hint="eastAsia" w:ascii="Times New Roman" w:hAnsi="Times New Roman" w:cs="Times New Roman"/>
                      <w:color w:val="000000"/>
                      <w:highlight w:val="none"/>
                      <w:lang w:eastAsia="zh-CN"/>
                    </w:rPr>
                    <w:t>黏土</w:t>
                  </w:r>
                  <w:r>
                    <w:rPr>
                      <w:rFonts w:hint="default" w:ascii="Times New Roman" w:hAnsi="Times New Roman" w:cs="Times New Roman"/>
                      <w:color w:val="000000"/>
                      <w:highlight w:val="none"/>
                    </w:rPr>
                    <w:t>层的防渗性能</w:t>
                  </w:r>
                  <w:r>
                    <w:rPr>
                      <w:rFonts w:hint="default" w:ascii="Times New Roman" w:hAnsi="Times New Roman" w:cs="Times New Roman"/>
                      <w:color w:val="000000"/>
                      <w:highlight w:val="none"/>
                      <w:lang w:eastAsia="zh-CN"/>
                    </w:rPr>
                    <w:t>；</w:t>
                  </w:r>
                  <w:r>
                    <w:rPr>
                      <w:rFonts w:hint="default" w:ascii="Times New Roman" w:hAnsi="Times New Roman" w:cs="Times New Roman"/>
                      <w:color w:val="000000"/>
                      <w:highlight w:val="none"/>
                    </w:rPr>
                    <w:t>建议采取建议由下至上为“地基+黏土层处理+高密度聚乙烯+水泥硬化”或“地基+防渗</w:t>
                  </w:r>
                  <w:r>
                    <w:rPr>
                      <w:rFonts w:hint="eastAsia" w:ascii="Times New Roman" w:hAnsi="Times New Roman" w:cs="Times New Roman"/>
                      <w:color w:val="000000"/>
                      <w:highlight w:val="none"/>
                      <w:lang w:eastAsia="zh-CN"/>
                    </w:rPr>
                    <w:t>絮凝</w:t>
                  </w:r>
                  <w:r>
                    <w:rPr>
                      <w:rFonts w:hint="default" w:ascii="Times New Roman" w:hAnsi="Times New Roman" w:cs="Times New Roman"/>
                      <w:color w:val="000000"/>
                      <w:highlight w:val="none"/>
                    </w:rPr>
                    <w:t>土层”，然后涂沥青防渗，防渗层一次浇筑，无冷缝。</w:t>
                  </w:r>
                </w:p>
              </w:tc>
            </w:tr>
            <w:tr w14:paraId="6ED6D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553" w:type="dxa"/>
                  <w:tcBorders>
                    <w:tl2br w:val="nil"/>
                    <w:tr2bl w:val="nil"/>
                  </w:tcBorders>
                  <w:shd w:val="clear" w:color="auto" w:fill="auto"/>
                  <w:noWrap w:val="0"/>
                  <w:vAlign w:val="center"/>
                </w:tcPr>
                <w:p w14:paraId="6FCFAA7B">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cs="Times New Roman"/>
                      <w:color w:val="000000"/>
                      <w:highlight w:val="none"/>
                      <w:lang w:val="en-US" w:eastAsia="zh-CN"/>
                    </w:rPr>
                  </w:pPr>
                  <w:r>
                    <w:rPr>
                      <w:rFonts w:hint="eastAsia" w:ascii="Times New Roman" w:hAnsi="Times New Roman" w:cs="Times New Roman"/>
                      <w:color w:val="000000"/>
                      <w:highlight w:val="none"/>
                      <w:lang w:val="en-US" w:eastAsia="zh-CN"/>
                    </w:rPr>
                    <w:t>一般防渗</w:t>
                  </w:r>
                </w:p>
              </w:tc>
              <w:tc>
                <w:tcPr>
                  <w:tcW w:w="1460" w:type="dxa"/>
                  <w:tcBorders>
                    <w:tl2br w:val="nil"/>
                    <w:tr2bl w:val="nil"/>
                  </w:tcBorders>
                  <w:shd w:val="clear" w:color="auto" w:fill="auto"/>
                  <w:noWrap w:val="0"/>
                  <w:vAlign w:val="center"/>
                </w:tcPr>
                <w:p w14:paraId="2F504531">
                  <w:pPr>
                    <w:keepNext w:val="0"/>
                    <w:keepLines w:val="0"/>
                    <w:suppressLineNumbers w:val="0"/>
                    <w:shd w:val="clear" w:color="auto" w:fill="auto"/>
                    <w:bidi w:val="0"/>
                    <w:spacing w:before="0" w:beforeAutospacing="0" w:after="0" w:afterAutospacing="0"/>
                    <w:ind w:left="0" w:right="0"/>
                    <w:jc w:val="center"/>
                    <w:rPr>
                      <w:rFonts w:hint="default" w:ascii="Times New Roman" w:hAnsi="Times New Roman" w:cs="Times New Roman"/>
                      <w:color w:val="000000"/>
                      <w:highlight w:val="none"/>
                      <w:lang w:val="en-US" w:eastAsia="zh-CN"/>
                    </w:rPr>
                  </w:pPr>
                  <w:r>
                    <w:rPr>
                      <w:rFonts w:hint="eastAsia" w:ascii="Times New Roman" w:hAnsi="Times New Roman" w:cs="Times New Roman"/>
                      <w:color w:val="000000"/>
                      <w:highlight w:val="none"/>
                      <w:lang w:val="en-US" w:eastAsia="zh-CN"/>
                    </w:rPr>
                    <w:t>其他生产区域</w:t>
                  </w:r>
                </w:p>
              </w:tc>
              <w:tc>
                <w:tcPr>
                  <w:tcW w:w="5141" w:type="dxa"/>
                  <w:tcBorders>
                    <w:tl2br w:val="nil"/>
                    <w:tr2bl w:val="nil"/>
                  </w:tcBorders>
                  <w:shd w:val="clear" w:color="auto" w:fill="auto"/>
                  <w:noWrap w:val="0"/>
                  <w:vAlign w:val="center"/>
                </w:tcPr>
                <w:p w14:paraId="15258606">
                  <w:pPr>
                    <w:keepNext w:val="0"/>
                    <w:keepLines w:val="0"/>
                    <w:suppressLineNumbers w:val="0"/>
                    <w:shd w:val="clear" w:color="auto" w:fill="auto"/>
                    <w:bidi w:val="0"/>
                    <w:spacing w:before="0" w:beforeAutospacing="0" w:after="0" w:afterAutospacing="0"/>
                    <w:ind w:left="0" w:right="0"/>
                    <w:jc w:val="center"/>
                    <w:rPr>
                      <w:rFonts w:hint="eastAsia" w:ascii="Times New Roman" w:hAnsi="Times New Roman" w:cs="Times New Roman"/>
                      <w:color w:val="000000"/>
                      <w:highlight w:val="none"/>
                      <w:lang w:eastAsia="zh-CN"/>
                    </w:rPr>
                  </w:pPr>
                  <w:r>
                    <w:rPr>
                      <w:rFonts w:hint="eastAsia" w:ascii="Times New Roman" w:hAnsi="Times New Roman" w:cs="Times New Roman"/>
                      <w:color w:val="000000"/>
                      <w:highlight w:val="none"/>
                      <w:lang w:val="en-US" w:eastAsia="zh-CN"/>
                    </w:rPr>
                    <w:t>等效黏土防渗层</w:t>
                  </w:r>
                  <w:r>
                    <w:rPr>
                      <w:rFonts w:hint="default" w:ascii="Times New Roman" w:hAnsi="Times New Roman" w:cs="Times New Roman"/>
                      <w:color w:val="000000"/>
                      <w:highlight w:val="none"/>
                      <w:lang w:val="en-US" w:eastAsia="zh-CN"/>
                    </w:rPr>
                    <w:t>Mb≥1.5m</w:t>
                  </w:r>
                  <w:r>
                    <w:rPr>
                      <w:rFonts w:hint="eastAsia" w:ascii="Times New Roman" w:hAnsi="Times New Roman" w:cs="Times New Roman"/>
                      <w:color w:val="000000"/>
                      <w:highlight w:val="none"/>
                      <w:lang w:val="en-US" w:eastAsia="zh-CN"/>
                    </w:rPr>
                    <w:t>，</w:t>
                  </w:r>
                  <w:r>
                    <w:rPr>
                      <w:rFonts w:hint="default" w:ascii="Times New Roman" w:hAnsi="Times New Roman" w:cs="Times New Roman"/>
                      <w:color w:val="000000"/>
                      <w:highlight w:val="none"/>
                      <w:lang w:val="en-US" w:eastAsia="zh-CN"/>
                    </w:rPr>
                    <w:t>K≤1×10 -7cm/s</w:t>
                  </w:r>
                  <w:r>
                    <w:rPr>
                      <w:rFonts w:hint="eastAsia" w:ascii="Times New Roman" w:hAnsi="Times New Roman" w:cs="Times New Roman"/>
                      <w:color w:val="000000"/>
                      <w:highlight w:val="none"/>
                      <w:lang w:val="en-US" w:eastAsia="zh-CN"/>
                    </w:rPr>
                    <w:t xml:space="preserve">；或参照 </w:t>
                  </w:r>
                  <w:r>
                    <w:rPr>
                      <w:rFonts w:hint="default" w:ascii="Times New Roman" w:hAnsi="Times New Roman" w:cs="Times New Roman"/>
                      <w:color w:val="000000"/>
                      <w:highlight w:val="none"/>
                      <w:lang w:val="en-US" w:eastAsia="zh-CN"/>
                    </w:rPr>
                    <w:t>GB16889</w:t>
                  </w:r>
                  <w:r>
                    <w:rPr>
                      <w:rFonts w:hint="eastAsia" w:ascii="Times New Roman" w:hAnsi="Times New Roman" w:cs="Times New Roman"/>
                      <w:color w:val="000000"/>
                      <w:highlight w:val="none"/>
                      <w:lang w:val="en-US" w:eastAsia="zh-CN"/>
                    </w:rPr>
                    <w:t>执行</w:t>
                  </w:r>
                  <w:r>
                    <w:rPr>
                      <w:rFonts w:hint="eastAsia" w:ascii="Times New Roman" w:hAnsi="Times New Roman" w:cs="Times New Roman"/>
                      <w:color w:val="000000"/>
                      <w:highlight w:val="none"/>
                      <w:lang w:eastAsia="zh-CN"/>
                    </w:rPr>
                    <w:t>。</w:t>
                  </w:r>
                </w:p>
              </w:tc>
            </w:tr>
          </w:tbl>
          <w:p w14:paraId="684D502F">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highlight w:val="none"/>
                <w:lang w:val="en-US" w:eastAsia="zh-CN"/>
              </w:rPr>
            </w:pPr>
            <w:r>
              <w:rPr>
                <w:rFonts w:hint="eastAsia" w:cs="Times New Roman"/>
                <w:color w:val="000000"/>
                <w:highlight w:val="none"/>
                <w:lang w:val="en-US" w:eastAsia="zh-CN"/>
              </w:rPr>
              <w:t>危险废物贮存间</w:t>
            </w:r>
            <w:r>
              <w:rPr>
                <w:rFonts w:hint="eastAsia" w:ascii="Times New Roman" w:hAnsi="Times New Roman" w:cs="Times New Roman"/>
                <w:color w:val="000000"/>
                <w:highlight w:val="none"/>
                <w:lang w:val="en-US" w:eastAsia="zh-CN"/>
              </w:rPr>
              <w:t>、污水处理站、尿素溶液储罐区</w:t>
            </w:r>
            <w:r>
              <w:t>等采取</w:t>
            </w:r>
            <w:r>
              <w:rPr>
                <w:rFonts w:hint="default" w:ascii="Times New Roman" w:hAnsi="Times New Roman" w:cs="Times New Roman"/>
                <w:color w:val="000000"/>
                <w:highlight w:val="none"/>
                <w:lang w:val="en-US" w:eastAsia="zh-CN"/>
              </w:rPr>
              <w:t>重点防腐防渗措施，可</w:t>
            </w:r>
            <w:r>
              <w:rPr>
                <w:rFonts w:hint="eastAsia" w:ascii="Times New Roman" w:hAnsi="Times New Roman" w:cs="Times New Roman"/>
                <w:color w:val="000000"/>
                <w:highlight w:val="none"/>
                <w:lang w:val="en-US" w:eastAsia="zh-CN"/>
              </w:rPr>
              <w:t>有效地防止</w:t>
            </w:r>
            <w:r>
              <w:rPr>
                <w:rFonts w:hint="default" w:ascii="Times New Roman" w:hAnsi="Times New Roman" w:cs="Times New Roman"/>
                <w:color w:val="000000"/>
                <w:highlight w:val="none"/>
                <w:lang w:val="en-US" w:eastAsia="zh-CN"/>
              </w:rPr>
              <w:t>污染物渗透</w:t>
            </w:r>
            <w:r>
              <w:rPr>
                <w:rFonts w:hint="eastAsia" w:ascii="Times New Roman" w:hAnsi="Times New Roman" w:cs="Times New Roman"/>
                <w:color w:val="000000"/>
                <w:highlight w:val="none"/>
                <w:lang w:val="en-US" w:eastAsia="zh-CN"/>
              </w:rPr>
              <w:t>包气带污染</w:t>
            </w:r>
            <w:r>
              <w:rPr>
                <w:rFonts w:hint="default" w:ascii="Times New Roman" w:hAnsi="Times New Roman" w:cs="Times New Roman"/>
                <w:color w:val="000000"/>
                <w:highlight w:val="none"/>
                <w:lang w:val="en-US" w:eastAsia="zh-CN"/>
              </w:rPr>
              <w:t>地下</w:t>
            </w:r>
            <w:r>
              <w:rPr>
                <w:rFonts w:hint="eastAsia" w:ascii="Times New Roman" w:hAnsi="Times New Roman" w:cs="Times New Roman"/>
                <w:color w:val="000000"/>
                <w:highlight w:val="none"/>
                <w:lang w:val="en-US" w:eastAsia="zh-CN"/>
              </w:rPr>
              <w:t>水</w:t>
            </w:r>
            <w:r>
              <w:rPr>
                <w:rFonts w:hint="default" w:ascii="Times New Roman" w:hAnsi="Times New Roman" w:cs="Times New Roman"/>
                <w:color w:val="000000"/>
                <w:highlight w:val="none"/>
                <w:lang w:val="en-US" w:eastAsia="zh-CN"/>
              </w:rPr>
              <w:t>。正常情况下，</w:t>
            </w:r>
            <w:r>
              <w:rPr>
                <w:rFonts w:hint="eastAsia" w:ascii="Times New Roman" w:hAnsi="Times New Roman" w:cs="Times New Roman"/>
                <w:color w:val="000000"/>
                <w:highlight w:val="none"/>
                <w:lang w:val="en-US" w:eastAsia="zh-CN"/>
              </w:rPr>
              <w:t>污染物</w:t>
            </w:r>
            <w:r>
              <w:rPr>
                <w:rFonts w:hint="default" w:ascii="Times New Roman" w:hAnsi="Times New Roman" w:cs="Times New Roman"/>
                <w:color w:val="000000"/>
                <w:highlight w:val="none"/>
                <w:lang w:val="en-US" w:eastAsia="zh-CN"/>
              </w:rPr>
              <w:t>不会渗透</w:t>
            </w:r>
            <w:r>
              <w:rPr>
                <w:rFonts w:hint="eastAsia" w:ascii="Times New Roman" w:hAnsi="Times New Roman" w:cs="Times New Roman"/>
                <w:color w:val="000000"/>
                <w:highlight w:val="none"/>
                <w:lang w:val="en-US" w:eastAsia="zh-CN"/>
              </w:rPr>
              <w:t>污染</w:t>
            </w:r>
            <w:r>
              <w:rPr>
                <w:rFonts w:hint="default" w:ascii="Times New Roman" w:hAnsi="Times New Roman" w:cs="Times New Roman"/>
                <w:color w:val="000000"/>
                <w:highlight w:val="none"/>
                <w:lang w:val="en-US" w:eastAsia="zh-CN"/>
              </w:rPr>
              <w:t>地下</w:t>
            </w:r>
            <w:r>
              <w:rPr>
                <w:rFonts w:hint="eastAsia" w:ascii="Times New Roman" w:hAnsi="Times New Roman" w:cs="Times New Roman"/>
                <w:color w:val="000000"/>
                <w:highlight w:val="none"/>
                <w:lang w:val="en-US" w:eastAsia="zh-CN"/>
              </w:rPr>
              <w:t>水</w:t>
            </w:r>
            <w:r>
              <w:rPr>
                <w:rFonts w:hint="default" w:ascii="Times New Roman" w:hAnsi="Times New Roman" w:cs="Times New Roman"/>
                <w:color w:val="000000"/>
                <w:highlight w:val="none"/>
                <w:lang w:val="en-US" w:eastAsia="zh-CN"/>
              </w:rPr>
              <w:t>。非正常情况下，当</w:t>
            </w:r>
            <w:r>
              <w:rPr>
                <w:rFonts w:hint="eastAsia" w:cs="Times New Roman"/>
                <w:color w:val="000000"/>
                <w:highlight w:val="none"/>
                <w:lang w:val="en-US" w:eastAsia="zh-CN"/>
              </w:rPr>
              <w:t>危险废物贮存间</w:t>
            </w:r>
            <w:r>
              <w:rPr>
                <w:rFonts w:hint="eastAsia" w:ascii="Times New Roman" w:hAnsi="Times New Roman" w:cs="Times New Roman"/>
                <w:color w:val="000000"/>
                <w:highlight w:val="none"/>
                <w:lang w:val="en-US" w:eastAsia="zh-CN"/>
              </w:rPr>
              <w:t>、污水处理站</w:t>
            </w:r>
            <w:r>
              <w:rPr>
                <w:rFonts w:hint="default" w:ascii="Times New Roman" w:hAnsi="Times New Roman" w:cs="Times New Roman"/>
                <w:color w:val="000000"/>
                <w:highlight w:val="none"/>
                <w:lang w:val="en-US" w:eastAsia="zh-CN"/>
              </w:rPr>
              <w:t>等发生</w:t>
            </w:r>
            <w:r>
              <w:rPr>
                <w:rFonts w:hint="eastAsia" w:ascii="Times New Roman" w:hAnsi="Times New Roman" w:cs="Times New Roman"/>
                <w:color w:val="000000"/>
                <w:highlight w:val="none"/>
                <w:lang w:val="en-US" w:eastAsia="zh-CN"/>
              </w:rPr>
              <w:t>长期</w:t>
            </w:r>
            <w:r>
              <w:rPr>
                <w:rFonts w:hint="default" w:ascii="Times New Roman" w:hAnsi="Times New Roman" w:cs="Times New Roman"/>
                <w:color w:val="000000"/>
                <w:highlight w:val="none"/>
                <w:lang w:val="en-US" w:eastAsia="zh-CN"/>
              </w:rPr>
              <w:t>渗漏时，</w:t>
            </w:r>
            <w:r>
              <w:rPr>
                <w:rFonts w:hint="eastAsia" w:ascii="Times New Roman" w:hAnsi="Times New Roman" w:cs="Times New Roman"/>
                <w:color w:val="000000"/>
                <w:highlight w:val="none"/>
                <w:lang w:val="en-US" w:eastAsia="zh-CN"/>
              </w:rPr>
              <w:t>会造成地下水的污染。因此要求建设单位严格落实环评部门提出的污染防治措施，加强日常管理，防止发生地下水污染的情况。</w:t>
            </w:r>
          </w:p>
          <w:p w14:paraId="293EDFD6">
            <w:pPr>
              <w:widowControl/>
              <w:shd w:val="clear" w:color="auto" w:fill="auto"/>
              <w:spacing w:line="360" w:lineRule="auto"/>
              <w:ind w:firstLine="422" w:firstLineChars="200"/>
              <w:jc w:val="both"/>
              <w:rPr>
                <w:rFonts w:hint="eastAsia" w:ascii="Times New Roman" w:hAnsi="Times New Roman" w:eastAsia="宋体" w:cs="Times New Roman"/>
                <w:b/>
                <w:color w:val="000000"/>
                <w:sz w:val="21"/>
                <w:szCs w:val="21"/>
                <w:highlight w:val="none"/>
                <w:lang w:val="en-US" w:eastAsia="zh-CN"/>
              </w:rPr>
            </w:pPr>
            <w:r>
              <w:rPr>
                <w:rFonts w:hint="eastAsia" w:ascii="Times New Roman" w:hAnsi="Times New Roman" w:eastAsia="宋体" w:cs="Times New Roman"/>
                <w:b/>
                <w:color w:val="000000"/>
                <w:sz w:val="21"/>
                <w:szCs w:val="21"/>
                <w:highlight w:val="none"/>
                <w:lang w:val="en-US" w:eastAsia="zh-CN"/>
              </w:rPr>
              <w:t>七、环境风险分析</w:t>
            </w:r>
          </w:p>
          <w:p w14:paraId="1E3E1833">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textAlignment w:val="auto"/>
              <w:outlineLvl w:val="2"/>
              <w:rPr>
                <w:rFonts w:hint="default" w:eastAsia="宋体"/>
                <w:color w:val="000000"/>
                <w:sz w:val="21"/>
                <w:szCs w:val="21"/>
                <w:highlight w:val="none"/>
                <w:lang w:val="en-US" w:eastAsia="zh-CN"/>
              </w:rPr>
            </w:pPr>
            <w:r>
              <w:rPr>
                <w:rFonts w:hint="eastAsia"/>
                <w:color w:val="000000"/>
                <w:sz w:val="21"/>
                <w:szCs w:val="21"/>
                <w:highlight w:val="none"/>
                <w:lang w:eastAsia="zh-CN"/>
              </w:rPr>
              <w:t>（1）</w:t>
            </w:r>
            <w:r>
              <w:rPr>
                <w:rFonts w:hint="eastAsia"/>
                <w:color w:val="000000"/>
                <w:sz w:val="21"/>
                <w:szCs w:val="21"/>
                <w:highlight w:val="none"/>
                <w:lang w:val="en-US" w:eastAsia="zh-CN"/>
              </w:rPr>
              <w:t>环境</w:t>
            </w:r>
            <w:r>
              <w:rPr>
                <w:rFonts w:hint="default" w:ascii="Times New Roman" w:hAnsi="Times New Roman" w:cs="Times New Roman"/>
                <w:color w:val="000000"/>
                <w:sz w:val="21"/>
                <w:szCs w:val="21"/>
                <w:highlight w:val="none"/>
              </w:rPr>
              <w:t>风险</w:t>
            </w:r>
            <w:r>
              <w:rPr>
                <w:rFonts w:hint="eastAsia" w:ascii="Times New Roman" w:hAnsi="Times New Roman" w:cs="Times New Roman"/>
                <w:color w:val="000000"/>
                <w:sz w:val="21"/>
                <w:szCs w:val="21"/>
                <w:highlight w:val="none"/>
                <w:lang w:val="en-US" w:eastAsia="zh-CN"/>
              </w:rPr>
              <w:t>物质</w:t>
            </w:r>
            <w:r>
              <w:rPr>
                <w:rFonts w:hint="default" w:ascii="Times New Roman" w:hAnsi="Times New Roman" w:cs="Times New Roman"/>
                <w:color w:val="000000"/>
                <w:sz w:val="21"/>
                <w:szCs w:val="21"/>
                <w:highlight w:val="none"/>
              </w:rPr>
              <w:t>识别</w:t>
            </w:r>
            <w:r>
              <w:rPr>
                <w:rFonts w:hint="eastAsia" w:ascii="Times New Roman" w:hAnsi="Times New Roman" w:cs="Times New Roman"/>
                <w:color w:val="000000"/>
                <w:sz w:val="21"/>
                <w:szCs w:val="21"/>
                <w:highlight w:val="none"/>
                <w:lang w:val="en-US" w:eastAsia="zh-CN"/>
              </w:rPr>
              <w:t>及临界剂的确定</w:t>
            </w:r>
          </w:p>
          <w:p w14:paraId="5B40189C">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textAlignment w:val="auto"/>
              <w:outlineLvl w:val="2"/>
              <w:rPr>
                <w:color w:val="000000"/>
                <w:sz w:val="21"/>
                <w:szCs w:val="21"/>
                <w:highlight w:val="none"/>
              </w:rPr>
            </w:pPr>
            <w:r>
              <w:rPr>
                <w:color w:val="000000"/>
                <w:sz w:val="21"/>
                <w:szCs w:val="21"/>
                <w:highlight w:val="none"/>
              </w:rPr>
              <w:t>根据《建设项目环境风险评价技术导则》</w:t>
            </w:r>
            <w:r>
              <w:rPr>
                <w:rFonts w:hint="eastAsia"/>
                <w:color w:val="000000"/>
                <w:sz w:val="21"/>
                <w:szCs w:val="21"/>
                <w:highlight w:val="none"/>
                <w:lang w:eastAsia="zh-CN"/>
              </w:rPr>
              <w:t>（</w:t>
            </w:r>
            <w:r>
              <w:rPr>
                <w:color w:val="000000"/>
                <w:sz w:val="21"/>
                <w:szCs w:val="21"/>
                <w:highlight w:val="none"/>
              </w:rPr>
              <w:t>HJ169-2018</w:t>
            </w:r>
            <w:r>
              <w:rPr>
                <w:rFonts w:hint="eastAsia"/>
                <w:color w:val="000000"/>
                <w:sz w:val="21"/>
                <w:szCs w:val="21"/>
                <w:highlight w:val="none"/>
                <w:lang w:eastAsia="zh-CN"/>
              </w:rPr>
              <w:t>）</w:t>
            </w:r>
            <w:r>
              <w:rPr>
                <w:rFonts w:hint="eastAsia"/>
                <w:color w:val="000000"/>
                <w:sz w:val="21"/>
                <w:szCs w:val="21"/>
                <w:highlight w:val="none"/>
                <w:lang w:val="en-US" w:eastAsia="zh-CN"/>
              </w:rPr>
              <w:t>及《危险化学品重大危险源辨识》（GB18218-2018），本项目环境风险物质为乙醇、废机油、硫酸（实验试剂），对应风险物质临界量确定见下表</w:t>
            </w:r>
            <w:r>
              <w:rPr>
                <w:color w:val="000000"/>
                <w:sz w:val="21"/>
                <w:szCs w:val="21"/>
                <w:highlight w:val="none"/>
              </w:rPr>
              <w:t>。</w:t>
            </w:r>
          </w:p>
          <w:p w14:paraId="44C0449D">
            <w:pPr>
              <w:keepNext w:val="0"/>
              <w:keepLines w:val="0"/>
              <w:numPr>
                <w:ilvl w:val="0"/>
                <w:numId w:val="0"/>
              </w:numPr>
              <w:suppressLineNumbers w:val="0"/>
              <w:shd w:val="clear" w:color="auto" w:fill="auto"/>
              <w:spacing w:before="0" w:beforeAutospacing="0" w:after="0" w:afterAutospacing="0" w:line="240" w:lineRule="auto"/>
              <w:ind w:left="0" w:right="0"/>
              <w:jc w:val="center"/>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lang w:val="en-US" w:eastAsia="zh-CN"/>
              </w:rPr>
              <w:t>表4-</w:t>
            </w:r>
            <w:r>
              <w:rPr>
                <w:rFonts w:hint="eastAsia" w:ascii="Times New Roman" w:hAnsi="Times New Roman" w:cs="Times New Roman"/>
                <w:b/>
                <w:bCs/>
                <w:color w:val="000000"/>
                <w:sz w:val="21"/>
                <w:szCs w:val="21"/>
                <w:highlight w:val="none"/>
                <w:lang w:val="en-US" w:eastAsia="zh-CN"/>
              </w:rPr>
              <w:t>24</w:t>
            </w:r>
            <w:r>
              <w:rPr>
                <w:rFonts w:hint="eastAsia" w:cs="Times New Roman"/>
                <w:b/>
                <w:bCs/>
                <w:color w:val="000000"/>
                <w:sz w:val="21"/>
                <w:szCs w:val="21"/>
                <w:highlight w:val="none"/>
                <w:lang w:val="en-US" w:eastAsia="zh-CN"/>
              </w:rPr>
              <w:t xml:space="preserve">    </w:t>
            </w:r>
            <w:r>
              <w:rPr>
                <w:rFonts w:hint="default" w:ascii="Times New Roman" w:hAnsi="Times New Roman" w:cs="Times New Roman"/>
                <w:b/>
                <w:bCs/>
                <w:color w:val="000000"/>
                <w:sz w:val="21"/>
                <w:szCs w:val="21"/>
                <w:highlight w:val="none"/>
                <w:lang w:val="en-US" w:eastAsia="zh-CN"/>
              </w:rPr>
              <w:t>环境风险物质</w:t>
            </w:r>
            <w:r>
              <w:rPr>
                <w:rFonts w:hint="eastAsia" w:ascii="Times New Roman" w:hAnsi="Times New Roman" w:cs="Times New Roman"/>
                <w:b/>
                <w:bCs/>
                <w:color w:val="000000"/>
                <w:sz w:val="21"/>
                <w:szCs w:val="21"/>
                <w:highlight w:val="none"/>
                <w:lang w:val="en-US" w:eastAsia="zh-CN"/>
              </w:rPr>
              <w:t>临界量的</w:t>
            </w:r>
            <w:r>
              <w:rPr>
                <w:rFonts w:hint="default" w:ascii="Times New Roman" w:hAnsi="Times New Roman" w:cs="Times New Roman"/>
                <w:b/>
                <w:bCs/>
                <w:color w:val="000000"/>
                <w:sz w:val="21"/>
                <w:szCs w:val="21"/>
                <w:highlight w:val="none"/>
                <w:lang w:val="en-US" w:eastAsia="zh-CN"/>
              </w:rPr>
              <w:t>确定</w:t>
            </w:r>
          </w:p>
          <w:tbl>
            <w:tblPr>
              <w:tblStyle w:val="13"/>
              <w:tblW w:w="49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61"/>
              <w:gridCol w:w="2749"/>
              <w:gridCol w:w="2352"/>
              <w:gridCol w:w="2352"/>
            </w:tblGrid>
            <w:tr w14:paraId="38A78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07" w:type="pct"/>
                  <w:tcBorders>
                    <w:tl2br w:val="nil"/>
                    <w:tr2bl w:val="nil"/>
                  </w:tcBorders>
                  <w:shd w:val="clear" w:color="auto" w:fill="auto"/>
                  <w:noWrap w:val="0"/>
                  <w:vAlign w:val="center"/>
                </w:tcPr>
                <w:p w14:paraId="6ADC2050">
                  <w:pPr>
                    <w:keepNext w:val="0"/>
                    <w:keepLines w:val="0"/>
                    <w:numPr>
                      <w:ilvl w:val="0"/>
                      <w:numId w:val="0"/>
                    </w:numPr>
                    <w:suppressLineNumbers w:val="0"/>
                    <w:shd w:val="clear" w:color="auto" w:fill="auto"/>
                    <w:spacing w:before="0" w:beforeAutospacing="0" w:after="0" w:afterAutospacing="0" w:line="240" w:lineRule="auto"/>
                    <w:ind w:left="0" w:right="0"/>
                    <w:jc w:val="center"/>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序号</w:t>
                  </w:r>
                </w:p>
              </w:tc>
              <w:tc>
                <w:tcPr>
                  <w:tcW w:w="1693" w:type="pct"/>
                  <w:tcBorders>
                    <w:tl2br w:val="nil"/>
                    <w:tr2bl w:val="nil"/>
                  </w:tcBorders>
                  <w:shd w:val="clear" w:color="auto" w:fill="auto"/>
                  <w:noWrap w:val="0"/>
                  <w:vAlign w:val="center"/>
                </w:tcPr>
                <w:p w14:paraId="2C680035">
                  <w:pPr>
                    <w:keepNext w:val="0"/>
                    <w:keepLines w:val="0"/>
                    <w:numPr>
                      <w:ilvl w:val="0"/>
                      <w:numId w:val="0"/>
                    </w:numPr>
                    <w:suppressLineNumbers w:val="0"/>
                    <w:shd w:val="clear" w:color="auto" w:fill="auto"/>
                    <w:spacing w:before="0" w:beforeAutospacing="0" w:after="0" w:afterAutospacing="0" w:line="240" w:lineRule="auto"/>
                    <w:ind w:left="0" w:right="0"/>
                    <w:jc w:val="center"/>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危险物质</w:t>
                  </w:r>
                </w:p>
              </w:tc>
              <w:tc>
                <w:tcPr>
                  <w:tcW w:w="1449" w:type="pct"/>
                  <w:tcBorders>
                    <w:tl2br w:val="nil"/>
                    <w:tr2bl w:val="nil"/>
                  </w:tcBorders>
                  <w:shd w:val="clear" w:color="auto" w:fill="auto"/>
                  <w:noWrap w:val="0"/>
                  <w:vAlign w:val="center"/>
                </w:tcPr>
                <w:p w14:paraId="5672E80E">
                  <w:pPr>
                    <w:keepNext w:val="0"/>
                    <w:keepLines w:val="0"/>
                    <w:numPr>
                      <w:ilvl w:val="0"/>
                      <w:numId w:val="0"/>
                    </w:numPr>
                    <w:suppressLineNumbers w:val="0"/>
                    <w:shd w:val="clear" w:color="auto" w:fill="auto"/>
                    <w:spacing w:before="0" w:beforeAutospacing="0" w:after="0" w:afterAutospacing="0" w:line="240" w:lineRule="auto"/>
                    <w:ind w:left="0" w:right="0"/>
                    <w:jc w:val="center"/>
                    <w:rPr>
                      <w:rFonts w:hint="default" w:ascii="Times New Roman" w:hAnsi="Times New Roman" w:cs="Times New Roman"/>
                      <w:b/>
                      <w:bCs/>
                      <w:color w:val="000000"/>
                      <w:sz w:val="21"/>
                      <w:szCs w:val="21"/>
                      <w:highlight w:val="none"/>
                      <w:vertAlign w:val="baseline"/>
                      <w:lang w:val="en-US" w:eastAsia="zh-CN"/>
                    </w:rPr>
                  </w:pPr>
                  <w:r>
                    <w:rPr>
                      <w:rFonts w:hint="default" w:ascii="Times New Roman" w:hAnsi="Times New Roman" w:cs="Times New Roman"/>
                      <w:b/>
                      <w:bCs/>
                      <w:color w:val="000000"/>
                      <w:sz w:val="21"/>
                      <w:szCs w:val="21"/>
                      <w:highlight w:val="none"/>
                      <w:vertAlign w:val="baseline"/>
                      <w:lang w:val="en-US" w:eastAsia="zh-CN"/>
                    </w:rPr>
                    <w:t>危险物质成分</w:t>
                  </w:r>
                </w:p>
              </w:tc>
              <w:tc>
                <w:tcPr>
                  <w:tcW w:w="1449" w:type="pct"/>
                  <w:tcBorders>
                    <w:tl2br w:val="nil"/>
                    <w:tr2bl w:val="nil"/>
                  </w:tcBorders>
                  <w:shd w:val="clear" w:color="auto" w:fill="auto"/>
                  <w:noWrap w:val="0"/>
                  <w:vAlign w:val="center"/>
                </w:tcPr>
                <w:p w14:paraId="0B6662B1">
                  <w:pPr>
                    <w:keepNext w:val="0"/>
                    <w:keepLines w:val="0"/>
                    <w:numPr>
                      <w:ilvl w:val="0"/>
                      <w:numId w:val="0"/>
                    </w:numPr>
                    <w:suppressLineNumbers w:val="0"/>
                    <w:shd w:val="clear" w:color="auto" w:fill="auto"/>
                    <w:spacing w:before="0" w:beforeAutospacing="0" w:after="0" w:afterAutospacing="0" w:line="240" w:lineRule="auto"/>
                    <w:ind w:left="0" w:right="0"/>
                    <w:jc w:val="center"/>
                    <w:rPr>
                      <w:rFonts w:hint="default" w:ascii="Times New Roman" w:hAnsi="Times New Roman" w:cs="Times New Roman"/>
                      <w:b/>
                      <w:bCs/>
                      <w:color w:val="000000"/>
                      <w:sz w:val="21"/>
                      <w:szCs w:val="21"/>
                      <w:highlight w:val="none"/>
                      <w:vertAlign w:val="baseline"/>
                      <w:lang w:val="en-US" w:eastAsia="zh-CN"/>
                    </w:rPr>
                  </w:pPr>
                  <w:r>
                    <w:rPr>
                      <w:rFonts w:hint="eastAsia" w:ascii="Times New Roman" w:hAnsi="Times New Roman" w:cs="Times New Roman"/>
                      <w:b/>
                      <w:bCs/>
                      <w:color w:val="000000"/>
                      <w:sz w:val="21"/>
                      <w:szCs w:val="21"/>
                      <w:highlight w:val="none"/>
                      <w:vertAlign w:val="baseline"/>
                      <w:lang w:val="en-US" w:eastAsia="zh-CN"/>
                    </w:rPr>
                    <w:t>临界剂</w:t>
                  </w:r>
                </w:p>
              </w:tc>
            </w:tr>
            <w:tr w14:paraId="6692D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9" w:hRule="atLeast"/>
              </w:trPr>
              <w:tc>
                <w:tcPr>
                  <w:tcW w:w="407" w:type="pct"/>
                  <w:tcBorders>
                    <w:tl2br w:val="nil"/>
                    <w:tr2bl w:val="nil"/>
                  </w:tcBorders>
                  <w:shd w:val="clear" w:color="auto" w:fill="auto"/>
                  <w:noWrap w:val="0"/>
                  <w:vAlign w:val="center"/>
                </w:tcPr>
                <w:p w14:paraId="257C93F2">
                  <w:pPr>
                    <w:keepNext w:val="0"/>
                    <w:keepLines w:val="0"/>
                    <w:numPr>
                      <w:ilvl w:val="0"/>
                      <w:numId w:val="0"/>
                    </w:numPr>
                    <w:suppressLineNumbers w:val="0"/>
                    <w:shd w:val="clear" w:color="auto" w:fill="auto"/>
                    <w:spacing w:before="0" w:beforeAutospacing="0" w:after="0" w:afterAutospacing="0" w:line="240" w:lineRule="auto"/>
                    <w:ind w:left="0" w:right="0"/>
                    <w:jc w:val="center"/>
                    <w:rPr>
                      <w:rFonts w:hint="default" w:ascii="Times New Roman" w:hAnsi="Times New Roman" w:cs="Times New Roman"/>
                      <w:b w:val="0"/>
                      <w:bCs w:val="0"/>
                      <w:color w:val="000000"/>
                      <w:sz w:val="21"/>
                      <w:szCs w:val="21"/>
                      <w:highlight w:val="none"/>
                      <w:vertAlign w:val="baseline"/>
                      <w:lang w:val="en-US" w:eastAsia="zh-CN"/>
                    </w:rPr>
                  </w:pPr>
                  <w:r>
                    <w:rPr>
                      <w:rFonts w:hint="default" w:ascii="Times New Roman" w:hAnsi="Times New Roman" w:cs="Times New Roman"/>
                      <w:b w:val="0"/>
                      <w:bCs w:val="0"/>
                      <w:color w:val="000000"/>
                      <w:sz w:val="21"/>
                      <w:szCs w:val="21"/>
                      <w:highlight w:val="none"/>
                      <w:vertAlign w:val="baseline"/>
                      <w:lang w:val="en-US" w:eastAsia="zh-CN"/>
                    </w:rPr>
                    <w:t>1</w:t>
                  </w:r>
                </w:p>
              </w:tc>
              <w:tc>
                <w:tcPr>
                  <w:tcW w:w="1693" w:type="pct"/>
                  <w:tcBorders>
                    <w:tl2br w:val="nil"/>
                    <w:tr2bl w:val="nil"/>
                  </w:tcBorders>
                  <w:shd w:val="clear" w:color="auto" w:fill="auto"/>
                  <w:noWrap w:val="0"/>
                  <w:vAlign w:val="center"/>
                </w:tcPr>
                <w:p w14:paraId="7B5CC6C6">
                  <w:pPr>
                    <w:keepNext w:val="0"/>
                    <w:keepLines w:val="0"/>
                    <w:numPr>
                      <w:ilvl w:val="0"/>
                      <w:numId w:val="0"/>
                    </w:numPr>
                    <w:suppressLineNumbers w:val="0"/>
                    <w:shd w:val="clear" w:color="auto" w:fill="auto"/>
                    <w:spacing w:before="0" w:beforeAutospacing="0" w:after="0" w:afterAutospacing="0" w:line="240" w:lineRule="auto"/>
                    <w:ind w:left="0" w:right="0"/>
                    <w:jc w:val="center"/>
                    <w:rPr>
                      <w:rFonts w:hint="default" w:ascii="Times New Roman" w:hAnsi="Times New Roman" w:cs="Times New Roman"/>
                      <w:b w:val="0"/>
                      <w:bCs w:val="0"/>
                      <w:color w:val="000000"/>
                      <w:sz w:val="21"/>
                      <w:szCs w:val="21"/>
                      <w:highlight w:val="none"/>
                      <w:vertAlign w:val="baseline"/>
                      <w:lang w:val="en-US" w:eastAsia="zh-CN"/>
                    </w:rPr>
                  </w:pPr>
                  <w:r>
                    <w:rPr>
                      <w:rFonts w:hint="default" w:ascii="Times New Roman" w:hAnsi="Times New Roman" w:cs="Times New Roman"/>
                      <w:color w:val="000000"/>
                      <w:sz w:val="21"/>
                      <w:szCs w:val="21"/>
                      <w:highlight w:val="none"/>
                      <w:lang w:val="en-US" w:eastAsia="zh-CN"/>
                    </w:rPr>
                    <w:t>机油</w:t>
                  </w:r>
                </w:p>
              </w:tc>
              <w:tc>
                <w:tcPr>
                  <w:tcW w:w="1449" w:type="pct"/>
                  <w:tcBorders>
                    <w:tl2br w:val="nil"/>
                    <w:tr2bl w:val="nil"/>
                  </w:tcBorders>
                  <w:shd w:val="clear" w:color="auto" w:fill="auto"/>
                  <w:noWrap w:val="0"/>
                  <w:vAlign w:val="center"/>
                </w:tcPr>
                <w:p w14:paraId="4469FF4A">
                  <w:pPr>
                    <w:keepNext w:val="0"/>
                    <w:keepLines w:val="0"/>
                    <w:numPr>
                      <w:ilvl w:val="0"/>
                      <w:numId w:val="0"/>
                    </w:numPr>
                    <w:suppressLineNumbers w:val="0"/>
                    <w:shd w:val="clear" w:color="auto" w:fill="auto"/>
                    <w:spacing w:before="0" w:beforeAutospacing="0" w:after="0" w:afterAutospacing="0" w:line="240" w:lineRule="auto"/>
                    <w:ind w:left="0" w:right="0"/>
                    <w:jc w:val="center"/>
                    <w:rPr>
                      <w:rFonts w:hint="default" w:ascii="Times New Roman" w:hAnsi="Times New Roman" w:cs="Times New Roman"/>
                      <w:b w:val="0"/>
                      <w:bCs w:val="0"/>
                      <w:color w:val="000000"/>
                      <w:sz w:val="21"/>
                      <w:szCs w:val="21"/>
                      <w:highlight w:val="none"/>
                      <w:vertAlign w:val="baseline"/>
                      <w:lang w:val="en-US" w:eastAsia="zh-CN"/>
                    </w:rPr>
                  </w:pPr>
                  <w:r>
                    <w:rPr>
                      <w:rFonts w:hint="default" w:ascii="Times New Roman" w:hAnsi="Times New Roman" w:cs="Times New Roman"/>
                      <w:b w:val="0"/>
                      <w:bCs w:val="0"/>
                      <w:color w:val="000000"/>
                      <w:sz w:val="21"/>
                      <w:szCs w:val="21"/>
                      <w:highlight w:val="none"/>
                      <w:vertAlign w:val="baseline"/>
                      <w:lang w:val="en-US" w:eastAsia="zh-CN"/>
                    </w:rPr>
                    <w:t>矿物油</w:t>
                  </w:r>
                </w:p>
              </w:tc>
              <w:tc>
                <w:tcPr>
                  <w:tcW w:w="1449" w:type="pct"/>
                  <w:tcBorders>
                    <w:tl2br w:val="nil"/>
                    <w:tr2bl w:val="nil"/>
                  </w:tcBorders>
                  <w:shd w:val="clear" w:color="auto" w:fill="auto"/>
                  <w:noWrap w:val="0"/>
                  <w:vAlign w:val="center"/>
                </w:tcPr>
                <w:p w14:paraId="2A09494D">
                  <w:pPr>
                    <w:keepNext w:val="0"/>
                    <w:keepLines w:val="0"/>
                    <w:numPr>
                      <w:ilvl w:val="0"/>
                      <w:numId w:val="0"/>
                    </w:numPr>
                    <w:suppressLineNumbers w:val="0"/>
                    <w:shd w:val="clear" w:color="auto" w:fill="auto"/>
                    <w:spacing w:before="0" w:beforeAutospacing="0" w:after="0" w:afterAutospacing="0" w:line="240" w:lineRule="auto"/>
                    <w:ind w:left="0" w:right="0"/>
                    <w:jc w:val="center"/>
                    <w:rPr>
                      <w:rFonts w:hint="default" w:ascii="Times New Roman" w:hAnsi="Times New Roman" w:cs="Times New Roman"/>
                      <w:b w:val="0"/>
                      <w:bCs w:val="0"/>
                      <w:color w:val="000000"/>
                      <w:sz w:val="21"/>
                      <w:szCs w:val="21"/>
                      <w:highlight w:val="none"/>
                      <w:vertAlign w:val="baseline"/>
                      <w:lang w:val="en-US" w:eastAsia="zh-CN"/>
                    </w:rPr>
                  </w:pPr>
                  <w:r>
                    <w:rPr>
                      <w:rFonts w:hint="default" w:ascii="Times New Roman" w:hAnsi="Times New Roman" w:cs="Times New Roman"/>
                      <w:b w:val="0"/>
                      <w:bCs w:val="0"/>
                      <w:color w:val="000000"/>
                      <w:sz w:val="21"/>
                      <w:szCs w:val="21"/>
                      <w:highlight w:val="none"/>
                      <w:vertAlign w:val="baseline"/>
                      <w:lang w:val="en-US" w:eastAsia="zh-CN"/>
                    </w:rPr>
                    <w:t>2500</w:t>
                  </w:r>
                  <w:r>
                    <w:rPr>
                      <w:rFonts w:hint="eastAsia" w:ascii="Times New Roman" w:hAnsi="Times New Roman" w:cs="Times New Roman"/>
                      <w:b w:val="0"/>
                      <w:bCs w:val="0"/>
                      <w:color w:val="000000"/>
                      <w:sz w:val="21"/>
                      <w:szCs w:val="21"/>
                      <w:highlight w:val="none"/>
                      <w:vertAlign w:val="baseline"/>
                      <w:lang w:val="en-US" w:eastAsia="zh-CN"/>
                    </w:rPr>
                    <w:t>t</w:t>
                  </w:r>
                </w:p>
              </w:tc>
            </w:tr>
            <w:tr w14:paraId="0A6EC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9" w:hRule="atLeast"/>
              </w:trPr>
              <w:tc>
                <w:tcPr>
                  <w:tcW w:w="407" w:type="pct"/>
                  <w:tcBorders>
                    <w:tl2br w:val="nil"/>
                    <w:tr2bl w:val="nil"/>
                  </w:tcBorders>
                  <w:shd w:val="clear" w:color="auto" w:fill="auto"/>
                  <w:noWrap w:val="0"/>
                  <w:vAlign w:val="center"/>
                </w:tcPr>
                <w:p w14:paraId="4E81C695">
                  <w:pPr>
                    <w:keepNext w:val="0"/>
                    <w:keepLines w:val="0"/>
                    <w:numPr>
                      <w:ilvl w:val="0"/>
                      <w:numId w:val="0"/>
                    </w:numPr>
                    <w:suppressLineNumbers w:val="0"/>
                    <w:shd w:val="clear" w:color="auto" w:fill="auto"/>
                    <w:spacing w:before="0" w:beforeAutospacing="0" w:after="0" w:afterAutospacing="0" w:line="240" w:lineRule="auto"/>
                    <w:ind w:left="0" w:right="0"/>
                    <w:jc w:val="center"/>
                    <w:rPr>
                      <w:rFonts w:hint="default" w:ascii="Times New Roman" w:hAnsi="Times New Roman" w:cs="Times New Roman"/>
                      <w:b w:val="0"/>
                      <w:bCs w:val="0"/>
                      <w:color w:val="000000"/>
                      <w:sz w:val="21"/>
                      <w:szCs w:val="21"/>
                      <w:highlight w:val="none"/>
                      <w:vertAlign w:val="baseline"/>
                      <w:lang w:val="en-US" w:eastAsia="zh-CN"/>
                    </w:rPr>
                  </w:pPr>
                  <w:r>
                    <w:rPr>
                      <w:rFonts w:hint="default" w:ascii="Times New Roman" w:hAnsi="Times New Roman" w:cs="Times New Roman"/>
                      <w:b w:val="0"/>
                      <w:bCs w:val="0"/>
                      <w:color w:val="000000"/>
                      <w:sz w:val="21"/>
                      <w:szCs w:val="21"/>
                      <w:highlight w:val="none"/>
                      <w:vertAlign w:val="baseline"/>
                      <w:lang w:val="en-US" w:eastAsia="zh-CN"/>
                    </w:rPr>
                    <w:t>2</w:t>
                  </w:r>
                </w:p>
              </w:tc>
              <w:tc>
                <w:tcPr>
                  <w:tcW w:w="1693" w:type="pct"/>
                  <w:tcBorders>
                    <w:tl2br w:val="nil"/>
                    <w:tr2bl w:val="nil"/>
                  </w:tcBorders>
                  <w:shd w:val="clear" w:color="auto" w:fill="auto"/>
                  <w:noWrap w:val="0"/>
                  <w:vAlign w:val="center"/>
                </w:tcPr>
                <w:p w14:paraId="5462E69C">
                  <w:pPr>
                    <w:keepNext w:val="0"/>
                    <w:keepLines w:val="0"/>
                    <w:numPr>
                      <w:ilvl w:val="0"/>
                      <w:numId w:val="0"/>
                    </w:numPr>
                    <w:suppressLineNumbers w:val="0"/>
                    <w:shd w:val="clear" w:color="auto" w:fill="auto"/>
                    <w:spacing w:before="0" w:beforeAutospacing="0" w:after="0" w:afterAutospacing="0" w:line="240" w:lineRule="auto"/>
                    <w:ind w:left="0" w:right="0"/>
                    <w:jc w:val="center"/>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b w:val="0"/>
                      <w:bCs w:val="0"/>
                      <w:color w:val="000000"/>
                      <w:sz w:val="21"/>
                      <w:szCs w:val="21"/>
                      <w:highlight w:val="none"/>
                      <w:vertAlign w:val="baseline"/>
                      <w:lang w:val="en-US" w:eastAsia="zh-CN"/>
                    </w:rPr>
                    <w:t>乙醇</w:t>
                  </w:r>
                </w:p>
              </w:tc>
              <w:tc>
                <w:tcPr>
                  <w:tcW w:w="1449" w:type="pct"/>
                  <w:tcBorders>
                    <w:tl2br w:val="nil"/>
                    <w:tr2bl w:val="nil"/>
                  </w:tcBorders>
                  <w:shd w:val="clear" w:color="auto" w:fill="auto"/>
                  <w:noWrap w:val="0"/>
                  <w:vAlign w:val="center"/>
                </w:tcPr>
                <w:p w14:paraId="313034DA">
                  <w:pPr>
                    <w:keepNext w:val="0"/>
                    <w:keepLines w:val="0"/>
                    <w:numPr>
                      <w:ilvl w:val="0"/>
                      <w:numId w:val="0"/>
                    </w:numPr>
                    <w:suppressLineNumbers w:val="0"/>
                    <w:shd w:val="clear" w:color="auto" w:fill="auto"/>
                    <w:spacing w:before="0" w:beforeAutospacing="0" w:after="0" w:afterAutospacing="0" w:line="240" w:lineRule="auto"/>
                    <w:ind w:left="0" w:right="0"/>
                    <w:jc w:val="center"/>
                    <w:rPr>
                      <w:rFonts w:hint="default" w:ascii="Times New Roman" w:hAnsi="Times New Roman" w:cs="Times New Roman"/>
                      <w:b w:val="0"/>
                      <w:bCs w:val="0"/>
                      <w:color w:val="000000"/>
                      <w:sz w:val="21"/>
                      <w:szCs w:val="21"/>
                      <w:highlight w:val="none"/>
                      <w:vertAlign w:val="baseline"/>
                      <w:lang w:val="en-US" w:eastAsia="zh-CN"/>
                    </w:rPr>
                  </w:pPr>
                  <w:r>
                    <w:rPr>
                      <w:rFonts w:hint="eastAsia" w:ascii="Times New Roman" w:hAnsi="Times New Roman" w:cs="Times New Roman"/>
                      <w:b w:val="0"/>
                      <w:bCs w:val="0"/>
                      <w:color w:val="000000"/>
                      <w:sz w:val="21"/>
                      <w:szCs w:val="21"/>
                      <w:highlight w:val="none"/>
                      <w:vertAlign w:val="baseline"/>
                      <w:lang w:val="en-US" w:eastAsia="zh-CN"/>
                    </w:rPr>
                    <w:t>乙醇</w:t>
                  </w:r>
                </w:p>
              </w:tc>
              <w:tc>
                <w:tcPr>
                  <w:tcW w:w="1449" w:type="pct"/>
                  <w:tcBorders>
                    <w:tl2br w:val="nil"/>
                    <w:tr2bl w:val="nil"/>
                  </w:tcBorders>
                  <w:shd w:val="clear" w:color="auto" w:fill="auto"/>
                  <w:noWrap w:val="0"/>
                  <w:vAlign w:val="center"/>
                </w:tcPr>
                <w:p w14:paraId="733A30AD">
                  <w:pPr>
                    <w:keepNext w:val="0"/>
                    <w:keepLines w:val="0"/>
                    <w:numPr>
                      <w:ilvl w:val="0"/>
                      <w:numId w:val="0"/>
                    </w:numPr>
                    <w:suppressLineNumbers w:val="0"/>
                    <w:shd w:val="clear" w:color="auto" w:fill="auto"/>
                    <w:spacing w:before="0" w:beforeAutospacing="0" w:after="0" w:afterAutospacing="0" w:line="240" w:lineRule="auto"/>
                    <w:ind w:left="0" w:right="0"/>
                    <w:jc w:val="center"/>
                    <w:rPr>
                      <w:rFonts w:hint="default" w:ascii="Times New Roman" w:hAnsi="Times New Roman" w:cs="Times New Roman"/>
                      <w:b w:val="0"/>
                      <w:bCs w:val="0"/>
                      <w:color w:val="000000"/>
                      <w:sz w:val="21"/>
                      <w:szCs w:val="21"/>
                      <w:highlight w:val="none"/>
                      <w:vertAlign w:val="baseline"/>
                      <w:lang w:val="en-US" w:eastAsia="zh-CN"/>
                    </w:rPr>
                  </w:pPr>
                  <w:r>
                    <w:rPr>
                      <w:rFonts w:hint="eastAsia" w:ascii="Times New Roman" w:hAnsi="Times New Roman" w:cs="Times New Roman"/>
                      <w:b w:val="0"/>
                      <w:bCs w:val="0"/>
                      <w:color w:val="000000"/>
                      <w:sz w:val="21"/>
                      <w:szCs w:val="21"/>
                      <w:highlight w:val="none"/>
                      <w:vertAlign w:val="baseline"/>
                      <w:lang w:val="en-US" w:eastAsia="zh-CN"/>
                    </w:rPr>
                    <w:t>500t</w:t>
                  </w:r>
                </w:p>
              </w:tc>
            </w:tr>
            <w:tr w14:paraId="4BBD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9" w:hRule="atLeast"/>
              </w:trPr>
              <w:tc>
                <w:tcPr>
                  <w:tcW w:w="407" w:type="pct"/>
                  <w:tcBorders>
                    <w:tl2br w:val="nil"/>
                    <w:tr2bl w:val="nil"/>
                  </w:tcBorders>
                  <w:shd w:val="clear" w:color="auto" w:fill="auto"/>
                  <w:noWrap w:val="0"/>
                  <w:vAlign w:val="center"/>
                </w:tcPr>
                <w:p w14:paraId="25949F5A">
                  <w:pPr>
                    <w:keepNext w:val="0"/>
                    <w:keepLines w:val="0"/>
                    <w:numPr>
                      <w:ilvl w:val="0"/>
                      <w:numId w:val="0"/>
                    </w:numPr>
                    <w:suppressLineNumbers w:val="0"/>
                    <w:shd w:val="clear" w:color="auto" w:fill="auto"/>
                    <w:spacing w:before="0" w:beforeAutospacing="0" w:after="0" w:afterAutospacing="0" w:line="240" w:lineRule="auto"/>
                    <w:ind w:left="0" w:right="0"/>
                    <w:jc w:val="center"/>
                    <w:rPr>
                      <w:rFonts w:hint="default" w:ascii="Times New Roman" w:hAnsi="Times New Roman" w:cs="Times New Roman"/>
                      <w:b w:val="0"/>
                      <w:bCs w:val="0"/>
                      <w:color w:val="000000"/>
                      <w:sz w:val="21"/>
                      <w:szCs w:val="21"/>
                      <w:highlight w:val="none"/>
                      <w:vertAlign w:val="baseline"/>
                      <w:lang w:val="en-US" w:eastAsia="zh-CN"/>
                    </w:rPr>
                  </w:pPr>
                  <w:r>
                    <w:rPr>
                      <w:rFonts w:hint="eastAsia" w:cs="Times New Roman"/>
                      <w:b w:val="0"/>
                      <w:bCs w:val="0"/>
                      <w:color w:val="000000"/>
                      <w:sz w:val="21"/>
                      <w:szCs w:val="21"/>
                      <w:highlight w:val="none"/>
                      <w:vertAlign w:val="baseline"/>
                      <w:lang w:val="en-US" w:eastAsia="zh-CN"/>
                    </w:rPr>
                    <w:t>3</w:t>
                  </w:r>
                </w:p>
              </w:tc>
              <w:tc>
                <w:tcPr>
                  <w:tcW w:w="1693" w:type="pct"/>
                  <w:tcBorders>
                    <w:tl2br w:val="nil"/>
                    <w:tr2bl w:val="nil"/>
                  </w:tcBorders>
                  <w:shd w:val="clear" w:color="auto" w:fill="auto"/>
                  <w:noWrap w:val="0"/>
                  <w:vAlign w:val="center"/>
                </w:tcPr>
                <w:p w14:paraId="0CBEDCEF">
                  <w:pPr>
                    <w:keepNext w:val="0"/>
                    <w:keepLines w:val="0"/>
                    <w:numPr>
                      <w:ilvl w:val="0"/>
                      <w:numId w:val="0"/>
                    </w:numPr>
                    <w:suppressLineNumbers w:val="0"/>
                    <w:shd w:val="clear" w:color="auto" w:fill="auto"/>
                    <w:spacing w:before="0" w:beforeAutospacing="0" w:after="0" w:afterAutospacing="0" w:line="240" w:lineRule="auto"/>
                    <w:ind w:left="0" w:right="0"/>
                    <w:jc w:val="center"/>
                    <w:rPr>
                      <w:rFonts w:hint="eastAsia" w:ascii="Times New Roman" w:hAnsi="Times New Roman" w:eastAsia="宋体" w:cs="Times New Roman"/>
                      <w:b w:val="0"/>
                      <w:bCs w:val="0"/>
                      <w:color w:val="000000"/>
                      <w:sz w:val="21"/>
                      <w:szCs w:val="21"/>
                      <w:highlight w:val="none"/>
                      <w:vertAlign w:val="baseline"/>
                      <w:lang w:val="en-US" w:eastAsia="zh-CN"/>
                    </w:rPr>
                  </w:pPr>
                  <w:r>
                    <w:rPr>
                      <w:rFonts w:hint="eastAsia" w:ascii="Times New Roman" w:hAnsi="Times New Roman" w:cs="Times New Roman"/>
                      <w:b w:val="0"/>
                      <w:color w:val="auto"/>
                      <w:sz w:val="21"/>
                      <w:szCs w:val="21"/>
                      <w:lang w:val="en-US" w:eastAsia="zh-CN"/>
                    </w:rPr>
                    <w:t>天然气</w:t>
                  </w:r>
                </w:p>
              </w:tc>
              <w:tc>
                <w:tcPr>
                  <w:tcW w:w="1449" w:type="pct"/>
                  <w:tcBorders>
                    <w:tl2br w:val="nil"/>
                    <w:tr2bl w:val="nil"/>
                  </w:tcBorders>
                  <w:shd w:val="clear" w:color="auto" w:fill="auto"/>
                  <w:noWrap w:val="0"/>
                  <w:vAlign w:val="center"/>
                </w:tcPr>
                <w:p w14:paraId="6147CCF4">
                  <w:pPr>
                    <w:keepNext w:val="0"/>
                    <w:keepLines w:val="0"/>
                    <w:numPr>
                      <w:ilvl w:val="0"/>
                      <w:numId w:val="0"/>
                    </w:numPr>
                    <w:suppressLineNumbers w:val="0"/>
                    <w:shd w:val="clear" w:color="auto" w:fill="auto"/>
                    <w:spacing w:before="0" w:beforeAutospacing="0" w:after="0" w:afterAutospacing="0" w:line="240" w:lineRule="auto"/>
                    <w:ind w:left="0" w:right="0"/>
                    <w:jc w:val="center"/>
                    <w:rPr>
                      <w:rFonts w:hint="eastAsia" w:ascii="Times New Roman" w:hAnsi="Times New Roman" w:cs="Times New Roman"/>
                      <w:b w:val="0"/>
                      <w:bCs w:val="0"/>
                      <w:color w:val="000000"/>
                      <w:sz w:val="21"/>
                      <w:szCs w:val="21"/>
                      <w:highlight w:val="none"/>
                      <w:vertAlign w:val="baseline"/>
                      <w:lang w:val="en-US" w:eastAsia="zh-CN"/>
                    </w:rPr>
                  </w:pPr>
                  <w:r>
                    <w:rPr>
                      <w:rFonts w:hint="default" w:ascii="Times New Roman" w:hAnsi="Times New Roman" w:cs="Times New Roman"/>
                      <w:b w:val="0"/>
                      <w:color w:val="auto"/>
                      <w:sz w:val="21"/>
                      <w:szCs w:val="21"/>
                    </w:rPr>
                    <w:t>甲烷</w:t>
                  </w:r>
                </w:p>
              </w:tc>
              <w:tc>
                <w:tcPr>
                  <w:tcW w:w="1449" w:type="pct"/>
                  <w:tcBorders>
                    <w:tl2br w:val="nil"/>
                    <w:tr2bl w:val="nil"/>
                  </w:tcBorders>
                  <w:shd w:val="clear" w:color="auto" w:fill="auto"/>
                  <w:noWrap w:val="0"/>
                  <w:vAlign w:val="center"/>
                </w:tcPr>
                <w:p w14:paraId="51730A15">
                  <w:pPr>
                    <w:keepNext w:val="0"/>
                    <w:keepLines w:val="0"/>
                    <w:numPr>
                      <w:ilvl w:val="0"/>
                      <w:numId w:val="0"/>
                    </w:numPr>
                    <w:suppressLineNumbers w:val="0"/>
                    <w:shd w:val="clear" w:color="auto" w:fill="auto"/>
                    <w:spacing w:before="0" w:beforeAutospacing="0" w:after="0" w:afterAutospacing="0" w:line="240" w:lineRule="auto"/>
                    <w:ind w:left="0" w:right="0"/>
                    <w:jc w:val="center"/>
                    <w:rPr>
                      <w:rFonts w:hint="default" w:ascii="Times New Roman" w:hAnsi="Times New Roman" w:cs="Times New Roman"/>
                      <w:b w:val="0"/>
                      <w:bCs w:val="0"/>
                      <w:color w:val="000000"/>
                      <w:sz w:val="21"/>
                      <w:szCs w:val="21"/>
                      <w:highlight w:val="none"/>
                      <w:vertAlign w:val="baseline"/>
                      <w:lang w:val="en-US" w:eastAsia="zh-CN"/>
                    </w:rPr>
                  </w:pPr>
                  <w:r>
                    <w:rPr>
                      <w:rFonts w:hint="eastAsia" w:cs="Times New Roman"/>
                      <w:b w:val="0"/>
                      <w:bCs w:val="0"/>
                      <w:color w:val="000000"/>
                      <w:sz w:val="21"/>
                      <w:szCs w:val="21"/>
                      <w:highlight w:val="none"/>
                      <w:vertAlign w:val="baseline"/>
                      <w:lang w:val="en-US" w:eastAsia="zh-CN"/>
                    </w:rPr>
                    <w:t>10</w:t>
                  </w:r>
                </w:p>
              </w:tc>
            </w:tr>
          </w:tbl>
          <w:p w14:paraId="6A8A9EC7">
            <w:pPr>
              <w:keepNext w:val="0"/>
              <w:keepLines w:val="0"/>
              <w:pageBreakBefore w:val="0"/>
              <w:widowControl w:val="0"/>
              <w:suppressLineNumbers w:val="0"/>
              <w:shd w:val="clear" w:color="auto" w:fill="auto"/>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
                <w:bCs/>
                <w:color w:val="000000"/>
                <w:sz w:val="21"/>
                <w:szCs w:val="21"/>
                <w:highlight w:val="none"/>
                <w:lang w:val="en-US" w:eastAsia="zh-CN"/>
              </w:rPr>
            </w:pPr>
            <w:r>
              <w:rPr>
                <w:rFonts w:hint="eastAsia"/>
                <w:color w:val="000000"/>
                <w:sz w:val="21"/>
                <w:szCs w:val="21"/>
                <w:highlight w:val="none"/>
                <w:lang w:eastAsia="zh-CN"/>
              </w:rPr>
              <w:t>（2）</w:t>
            </w:r>
            <w:r>
              <w:rPr>
                <w:rFonts w:hint="default" w:ascii="Times New Roman" w:hAnsi="Times New Roman" w:cs="Times New Roman"/>
                <w:b/>
                <w:bCs/>
                <w:color w:val="000000"/>
                <w:sz w:val="21"/>
                <w:szCs w:val="21"/>
                <w:highlight w:val="none"/>
                <w:lang w:val="en-US" w:eastAsia="zh-CN"/>
              </w:rPr>
              <w:t>Q值判定</w:t>
            </w:r>
          </w:p>
          <w:p w14:paraId="7EBAB151">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危险物质数量与</w:t>
            </w:r>
            <w:r>
              <w:rPr>
                <w:rFonts w:hint="eastAsia" w:ascii="Times New Roman" w:hAnsi="Times New Roman" w:cs="Times New Roman"/>
                <w:color w:val="000000"/>
                <w:sz w:val="21"/>
                <w:szCs w:val="21"/>
                <w:highlight w:val="none"/>
                <w:lang w:eastAsia="zh-CN"/>
              </w:rPr>
              <w:t>临界剂</w:t>
            </w:r>
            <w:r>
              <w:rPr>
                <w:rFonts w:hint="eastAsia" w:ascii="Times New Roman" w:hAnsi="Times New Roman" w:cs="Times New Roman"/>
                <w:color w:val="000000"/>
                <w:sz w:val="21"/>
                <w:szCs w:val="21"/>
                <w:highlight w:val="none"/>
                <w:lang w:val="en-US" w:eastAsia="zh-CN"/>
              </w:rPr>
              <w:t>的</w:t>
            </w:r>
            <w:r>
              <w:rPr>
                <w:rFonts w:hint="default" w:ascii="Times New Roman" w:hAnsi="Times New Roman" w:cs="Times New Roman"/>
                <w:color w:val="000000"/>
                <w:sz w:val="21"/>
                <w:szCs w:val="21"/>
                <w:highlight w:val="none"/>
              </w:rPr>
              <w:t>比值（Q）</w:t>
            </w:r>
          </w:p>
          <w:p w14:paraId="2EB47FA6">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sz w:val="21"/>
                <w:szCs w:val="21"/>
                <w:highlight w:val="none"/>
                <w:vertAlign w:val="subscript"/>
              </w:rPr>
            </w:pPr>
            <w:r>
              <w:rPr>
                <w:rFonts w:hint="default" w:ascii="Times New Roman" w:hAnsi="Times New Roman" w:cs="Times New Roman"/>
                <w:color w:val="000000"/>
                <w:sz w:val="21"/>
                <w:szCs w:val="21"/>
                <w:highlight w:val="none"/>
              </w:rPr>
              <w:t>Q=q</w:t>
            </w:r>
            <w:r>
              <w:rPr>
                <w:rFonts w:hint="default" w:ascii="Times New Roman" w:hAnsi="Times New Roman" w:cs="Times New Roman"/>
                <w:color w:val="000000"/>
                <w:sz w:val="21"/>
                <w:szCs w:val="21"/>
                <w:highlight w:val="none"/>
                <w:vertAlign w:val="subscript"/>
              </w:rPr>
              <w:t>1</w:t>
            </w:r>
            <w:r>
              <w:rPr>
                <w:rFonts w:hint="default" w:ascii="Times New Roman" w:hAnsi="Times New Roman" w:cs="Times New Roman"/>
                <w:color w:val="000000"/>
                <w:sz w:val="21"/>
                <w:szCs w:val="21"/>
                <w:highlight w:val="none"/>
              </w:rPr>
              <w:t>/Q</w:t>
            </w:r>
            <w:r>
              <w:rPr>
                <w:rFonts w:hint="default" w:ascii="Times New Roman" w:hAnsi="Times New Roman" w:cs="Times New Roman"/>
                <w:color w:val="000000"/>
                <w:sz w:val="21"/>
                <w:szCs w:val="21"/>
                <w:highlight w:val="none"/>
                <w:vertAlign w:val="subscript"/>
              </w:rPr>
              <w:t>1</w:t>
            </w:r>
            <w:r>
              <w:rPr>
                <w:rFonts w:hint="default" w:ascii="Times New Roman" w:hAnsi="Times New Roman" w:cs="Times New Roman"/>
                <w:color w:val="000000"/>
                <w:sz w:val="21"/>
                <w:szCs w:val="21"/>
                <w:highlight w:val="none"/>
              </w:rPr>
              <w:t>+q</w:t>
            </w:r>
            <w:r>
              <w:rPr>
                <w:rFonts w:hint="default" w:ascii="Times New Roman" w:hAnsi="Times New Roman" w:cs="Times New Roman"/>
                <w:color w:val="000000"/>
                <w:sz w:val="21"/>
                <w:szCs w:val="21"/>
                <w:highlight w:val="none"/>
                <w:vertAlign w:val="subscript"/>
              </w:rPr>
              <w:t>2</w:t>
            </w:r>
            <w:r>
              <w:rPr>
                <w:rFonts w:hint="default" w:ascii="Times New Roman" w:hAnsi="Times New Roman" w:cs="Times New Roman"/>
                <w:color w:val="000000"/>
                <w:sz w:val="21"/>
                <w:szCs w:val="21"/>
                <w:highlight w:val="none"/>
              </w:rPr>
              <w:t>/Q</w:t>
            </w:r>
            <w:r>
              <w:rPr>
                <w:rFonts w:hint="default" w:ascii="Times New Roman" w:hAnsi="Times New Roman" w:cs="Times New Roman"/>
                <w:color w:val="000000"/>
                <w:sz w:val="21"/>
                <w:szCs w:val="21"/>
                <w:highlight w:val="none"/>
                <w:vertAlign w:val="subscript"/>
              </w:rPr>
              <w:t>2</w:t>
            </w:r>
            <w:r>
              <w:rPr>
                <w:rFonts w:hint="default" w:ascii="Times New Roman" w:hAnsi="Times New Roman" w:cs="Times New Roman"/>
                <w:color w:val="000000"/>
                <w:sz w:val="21"/>
                <w:szCs w:val="21"/>
                <w:highlight w:val="none"/>
              </w:rPr>
              <w:t>+……q</w:t>
            </w:r>
            <w:r>
              <w:rPr>
                <w:rFonts w:hint="default" w:ascii="Times New Roman" w:hAnsi="Times New Roman" w:cs="Times New Roman"/>
                <w:color w:val="000000"/>
                <w:sz w:val="21"/>
                <w:szCs w:val="21"/>
                <w:highlight w:val="none"/>
                <w:vertAlign w:val="subscript"/>
              </w:rPr>
              <w:t>n</w:t>
            </w:r>
            <w:r>
              <w:rPr>
                <w:rFonts w:hint="default" w:ascii="Times New Roman" w:hAnsi="Times New Roman" w:cs="Times New Roman"/>
                <w:color w:val="000000"/>
                <w:sz w:val="21"/>
                <w:szCs w:val="21"/>
                <w:highlight w:val="none"/>
              </w:rPr>
              <w:t>/Q</w:t>
            </w:r>
            <w:r>
              <w:rPr>
                <w:rFonts w:hint="default" w:ascii="Times New Roman" w:hAnsi="Times New Roman" w:cs="Times New Roman"/>
                <w:color w:val="000000"/>
                <w:sz w:val="21"/>
                <w:szCs w:val="21"/>
                <w:highlight w:val="none"/>
                <w:vertAlign w:val="subscript"/>
              </w:rPr>
              <w:t>n</w:t>
            </w:r>
          </w:p>
          <w:p w14:paraId="5601DD96">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式中：q1</w:t>
            </w:r>
            <w:r>
              <w:rPr>
                <w:rFonts w:hint="eastAsia" w:cs="Times New Roman"/>
                <w:color w:val="000000"/>
                <w:sz w:val="21"/>
                <w:szCs w:val="21"/>
                <w:highlight w:val="none"/>
                <w:lang w:eastAsia="zh-CN"/>
              </w:rPr>
              <w:t>，</w:t>
            </w:r>
            <w:r>
              <w:rPr>
                <w:rFonts w:hint="default" w:ascii="Times New Roman" w:hAnsi="Times New Roman" w:cs="Times New Roman"/>
                <w:color w:val="000000"/>
                <w:sz w:val="21"/>
                <w:szCs w:val="21"/>
                <w:highlight w:val="none"/>
                <w:lang w:eastAsia="zh-CN"/>
              </w:rPr>
              <w:t>q</w:t>
            </w:r>
            <w:r>
              <w:rPr>
                <w:rFonts w:hint="default" w:ascii="Times New Roman" w:hAnsi="Times New Roman" w:cs="Times New Roman"/>
                <w:color w:val="000000"/>
                <w:sz w:val="21"/>
                <w:szCs w:val="21"/>
                <w:highlight w:val="none"/>
              </w:rPr>
              <w:t>2</w:t>
            </w:r>
            <w:r>
              <w:rPr>
                <w:rFonts w:hint="eastAsia" w:cs="Times New Roman"/>
                <w:color w:val="000000"/>
                <w:sz w:val="21"/>
                <w:szCs w:val="21"/>
                <w:highlight w:val="none"/>
                <w:lang w:eastAsia="zh-CN"/>
              </w:rPr>
              <w:t>，</w:t>
            </w:r>
            <w:r>
              <w:rPr>
                <w:rFonts w:hint="default" w:ascii="Times New Roman" w:hAnsi="Times New Roman" w:cs="Times New Roman"/>
                <w:color w:val="000000"/>
                <w:sz w:val="21"/>
                <w:szCs w:val="21"/>
                <w:highlight w:val="none"/>
                <w:lang w:eastAsia="zh-CN"/>
              </w:rPr>
              <w:t>...，qn</w:t>
            </w:r>
            <w:r>
              <w:rPr>
                <w:rFonts w:hint="default" w:ascii="Times New Roman" w:hAnsi="Times New Roman" w:cs="Times New Roman"/>
                <w:color w:val="000000"/>
                <w:sz w:val="21"/>
                <w:szCs w:val="21"/>
                <w:highlight w:val="none"/>
              </w:rPr>
              <w:t>——每种环境风险物质的最大存在总量</w:t>
            </w:r>
            <w:r>
              <w:rPr>
                <w:rFonts w:hint="default"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rPr>
              <w:t>t；</w:t>
            </w:r>
          </w:p>
          <w:p w14:paraId="2903E989">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 xml:space="preserve">     Q1</w:t>
            </w:r>
            <w:r>
              <w:rPr>
                <w:rFonts w:hint="default" w:ascii="Times New Roman" w:hAnsi="Times New Roman" w:cs="Times New Roman"/>
                <w:color w:val="000000"/>
                <w:sz w:val="21"/>
                <w:szCs w:val="21"/>
                <w:highlight w:val="none"/>
                <w:lang w:eastAsia="zh-CN"/>
              </w:rPr>
              <w:t>，Q</w:t>
            </w:r>
            <w:r>
              <w:rPr>
                <w:rFonts w:hint="default" w:ascii="Times New Roman" w:hAnsi="Times New Roman" w:cs="Times New Roman"/>
                <w:color w:val="000000"/>
                <w:sz w:val="21"/>
                <w:szCs w:val="21"/>
                <w:highlight w:val="none"/>
              </w:rPr>
              <w:t>2</w:t>
            </w:r>
            <w:r>
              <w:rPr>
                <w:rFonts w:hint="default" w:ascii="Times New Roman" w:hAnsi="Times New Roman" w:cs="Times New Roman"/>
                <w:color w:val="000000"/>
                <w:sz w:val="21"/>
                <w:szCs w:val="21"/>
                <w:highlight w:val="none"/>
                <w:lang w:eastAsia="zh-CN"/>
              </w:rPr>
              <w:t>，...，Qn</w:t>
            </w:r>
            <w:r>
              <w:rPr>
                <w:rFonts w:hint="default" w:ascii="Times New Roman" w:hAnsi="Times New Roman" w:cs="Times New Roman"/>
                <w:color w:val="000000"/>
                <w:sz w:val="21"/>
                <w:szCs w:val="21"/>
                <w:highlight w:val="none"/>
              </w:rPr>
              <w:t>——每种环境风险物质的</w:t>
            </w:r>
            <w:r>
              <w:rPr>
                <w:rFonts w:hint="eastAsia" w:ascii="Times New Roman" w:hAnsi="Times New Roman" w:cs="Times New Roman"/>
                <w:color w:val="000000"/>
                <w:sz w:val="21"/>
                <w:szCs w:val="21"/>
                <w:highlight w:val="none"/>
                <w:lang w:eastAsia="zh-CN"/>
              </w:rPr>
              <w:t>临界</w:t>
            </w:r>
            <w:r>
              <w:rPr>
                <w:rFonts w:hint="eastAsia" w:cs="Times New Roman"/>
                <w:color w:val="000000"/>
                <w:sz w:val="21"/>
                <w:szCs w:val="21"/>
                <w:highlight w:val="none"/>
                <w:lang w:val="en-US" w:eastAsia="zh-CN"/>
              </w:rPr>
              <w:t>值</w:t>
            </w:r>
            <w:r>
              <w:rPr>
                <w:rFonts w:hint="default"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rPr>
              <w:t>t。</w:t>
            </w:r>
          </w:p>
          <w:p w14:paraId="5D45A582">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当Q＜1时</w:t>
            </w:r>
            <w:r>
              <w:rPr>
                <w:rFonts w:hint="default"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rPr>
              <w:t>该项目环境风险潜势为Ⅰ。</w:t>
            </w:r>
          </w:p>
          <w:p w14:paraId="06A05979">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textAlignment w:val="auto"/>
              <w:outlineLvl w:val="2"/>
              <w:rPr>
                <w:rFonts w:hint="eastAsia" w:eastAsia="宋体"/>
                <w:color w:val="000000"/>
                <w:sz w:val="21"/>
                <w:szCs w:val="21"/>
                <w:highlight w:val="none"/>
                <w:lang w:eastAsia="zh-CN"/>
              </w:rPr>
            </w:pPr>
            <w:r>
              <w:rPr>
                <w:rFonts w:hint="default" w:ascii="Times New Roman" w:hAnsi="Times New Roman" w:cs="Times New Roman"/>
                <w:color w:val="000000"/>
                <w:sz w:val="21"/>
                <w:szCs w:val="21"/>
                <w:highlight w:val="none"/>
              </w:rPr>
              <w:t>当Q≥1时</w:t>
            </w:r>
            <w:r>
              <w:rPr>
                <w:rFonts w:hint="default"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rPr>
              <w:t>将Q值划分为：</w:t>
            </w:r>
            <w:r>
              <w:rPr>
                <w:rFonts w:hint="eastAsia" w:cs="Times New Roman"/>
                <w:color w:val="000000"/>
                <w:sz w:val="21"/>
                <w:szCs w:val="21"/>
                <w:highlight w:val="none"/>
                <w:lang w:eastAsia="zh-CN"/>
              </w:rPr>
              <w:t>①</w:t>
            </w:r>
            <w:r>
              <w:rPr>
                <w:rFonts w:hint="default" w:ascii="Times New Roman" w:hAnsi="Times New Roman" w:cs="Times New Roman"/>
                <w:color w:val="000000"/>
                <w:sz w:val="21"/>
                <w:szCs w:val="21"/>
                <w:highlight w:val="none"/>
              </w:rPr>
              <w:t>1≤Q＜10；</w:t>
            </w:r>
            <w:r>
              <w:rPr>
                <w:rFonts w:hint="eastAsia" w:cs="Times New Roman"/>
                <w:color w:val="000000"/>
                <w:sz w:val="21"/>
                <w:szCs w:val="21"/>
                <w:highlight w:val="none"/>
                <w:lang w:eastAsia="zh-CN"/>
              </w:rPr>
              <w:t>②</w:t>
            </w:r>
            <w:r>
              <w:rPr>
                <w:rFonts w:hint="default" w:ascii="Times New Roman" w:hAnsi="Times New Roman" w:cs="Times New Roman"/>
                <w:color w:val="000000"/>
                <w:sz w:val="21"/>
                <w:szCs w:val="21"/>
                <w:highlight w:val="none"/>
              </w:rPr>
              <w:t>10≤Q＜100；</w:t>
            </w:r>
            <w:r>
              <w:rPr>
                <w:rFonts w:hint="eastAsia" w:cs="Times New Roman"/>
                <w:color w:val="000000"/>
                <w:sz w:val="21"/>
                <w:szCs w:val="21"/>
                <w:highlight w:val="none"/>
                <w:lang w:eastAsia="zh-CN"/>
              </w:rPr>
              <w:t>③</w:t>
            </w:r>
            <w:r>
              <w:rPr>
                <w:rFonts w:hint="default" w:ascii="Times New Roman" w:hAnsi="Times New Roman" w:cs="Times New Roman"/>
                <w:color w:val="000000"/>
                <w:sz w:val="21"/>
                <w:szCs w:val="21"/>
                <w:highlight w:val="none"/>
              </w:rPr>
              <w:t>Q≥100。</w:t>
            </w:r>
          </w:p>
          <w:p w14:paraId="22836D68">
            <w:pPr>
              <w:keepNext w:val="0"/>
              <w:keepLines w:val="0"/>
              <w:pageBreakBefore w:val="0"/>
              <w:widowControl/>
              <w:shd w:val="clear" w:color="auto" w:fill="auto"/>
              <w:kinsoku/>
              <w:wordWrap/>
              <w:overflowPunct/>
              <w:topLinePunct w:val="0"/>
              <w:autoSpaceDE/>
              <w:autoSpaceDN/>
              <w:bidi w:val="0"/>
              <w:adjustRightInd w:val="0"/>
              <w:snapToGrid w:val="0"/>
              <w:spacing w:line="240" w:lineRule="auto"/>
              <w:jc w:val="center"/>
              <w:textAlignment w:val="auto"/>
              <w:rPr>
                <w:rFonts w:hint="eastAsia" w:eastAsia="宋体"/>
                <w:b/>
                <w:color w:val="000000"/>
                <w:sz w:val="21"/>
                <w:szCs w:val="21"/>
                <w:highlight w:val="none"/>
                <w:lang w:eastAsia="zh-CN"/>
              </w:rPr>
            </w:pPr>
            <w:r>
              <w:rPr>
                <w:b/>
                <w:color w:val="000000"/>
                <w:sz w:val="21"/>
                <w:szCs w:val="21"/>
                <w:highlight w:val="none"/>
              </w:rPr>
              <w:t>表4-</w:t>
            </w:r>
            <w:r>
              <w:rPr>
                <w:rFonts w:hint="eastAsia"/>
                <w:b/>
                <w:color w:val="000000"/>
                <w:sz w:val="21"/>
                <w:szCs w:val="21"/>
                <w:highlight w:val="none"/>
                <w:lang w:val="en-US" w:eastAsia="zh-CN"/>
              </w:rPr>
              <w:t>25</w:t>
            </w:r>
            <w:r>
              <w:rPr>
                <w:b/>
                <w:color w:val="000000"/>
                <w:sz w:val="21"/>
                <w:szCs w:val="21"/>
                <w:highlight w:val="none"/>
              </w:rPr>
              <w:t xml:space="preserve">  </w:t>
            </w:r>
            <w:r>
              <w:rPr>
                <w:rFonts w:hint="eastAsia"/>
                <w:b/>
                <w:color w:val="000000"/>
                <w:sz w:val="21"/>
                <w:szCs w:val="21"/>
                <w:highlight w:val="none"/>
                <w:lang w:val="en-US" w:eastAsia="zh-CN"/>
              </w:rPr>
              <w:t>本项目环境风险</w:t>
            </w:r>
            <w:r>
              <w:rPr>
                <w:b/>
                <w:color w:val="000000"/>
                <w:sz w:val="21"/>
                <w:szCs w:val="21"/>
                <w:highlight w:val="none"/>
              </w:rPr>
              <w:t>物质的最大储存量和</w:t>
            </w:r>
            <w:r>
              <w:rPr>
                <w:rFonts w:hint="eastAsia"/>
                <w:b/>
                <w:color w:val="000000"/>
                <w:sz w:val="21"/>
                <w:szCs w:val="21"/>
                <w:highlight w:val="none"/>
                <w:lang w:eastAsia="zh-CN"/>
              </w:rPr>
              <w:t>临界剂</w:t>
            </w:r>
          </w:p>
          <w:tbl>
            <w:tblPr>
              <w:tblStyle w:val="21"/>
              <w:tblW w:w="49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90"/>
              <w:gridCol w:w="1781"/>
              <w:gridCol w:w="1582"/>
              <w:gridCol w:w="1314"/>
              <w:gridCol w:w="2021"/>
            </w:tblGrid>
            <w:tr w14:paraId="44011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859" w:type="pct"/>
                  <w:tcBorders>
                    <w:tl2br w:val="nil"/>
                    <w:tr2bl w:val="nil"/>
                  </w:tcBorders>
                  <w:shd w:val="clear" w:color="auto" w:fill="auto"/>
                  <w:noWrap w:val="0"/>
                  <w:vAlign w:val="center"/>
                </w:tcPr>
                <w:p w14:paraId="1CA196AA">
                  <w:pPr>
                    <w:pStyle w:val="112"/>
                    <w:shd w:val="clear" w:color="auto" w:fill="auto"/>
                    <w:rPr>
                      <w:b/>
                      <w:bCs/>
                      <w:color w:val="000000"/>
                      <w:sz w:val="21"/>
                      <w:szCs w:val="21"/>
                      <w:highlight w:val="none"/>
                    </w:rPr>
                  </w:pPr>
                  <w:r>
                    <w:rPr>
                      <w:b/>
                      <w:bCs/>
                      <w:color w:val="000000"/>
                      <w:sz w:val="21"/>
                      <w:szCs w:val="21"/>
                      <w:highlight w:val="none"/>
                    </w:rPr>
                    <w:t>名称</w:t>
                  </w:r>
                </w:p>
              </w:tc>
              <w:tc>
                <w:tcPr>
                  <w:tcW w:w="1100" w:type="pct"/>
                  <w:tcBorders>
                    <w:tl2br w:val="nil"/>
                    <w:tr2bl w:val="nil"/>
                  </w:tcBorders>
                  <w:shd w:val="clear" w:color="auto" w:fill="auto"/>
                  <w:noWrap w:val="0"/>
                  <w:vAlign w:val="center"/>
                </w:tcPr>
                <w:p w14:paraId="64D0050F">
                  <w:pPr>
                    <w:pStyle w:val="112"/>
                    <w:shd w:val="clear" w:color="auto" w:fill="auto"/>
                    <w:rPr>
                      <w:b/>
                      <w:bCs/>
                      <w:color w:val="000000"/>
                      <w:sz w:val="21"/>
                      <w:szCs w:val="21"/>
                      <w:highlight w:val="none"/>
                    </w:rPr>
                  </w:pPr>
                  <w:r>
                    <w:rPr>
                      <w:b/>
                      <w:bCs/>
                      <w:color w:val="000000"/>
                      <w:sz w:val="21"/>
                      <w:szCs w:val="21"/>
                      <w:highlight w:val="none"/>
                    </w:rPr>
                    <w:t>最大储量qn（t）</w:t>
                  </w:r>
                </w:p>
              </w:tc>
              <w:tc>
                <w:tcPr>
                  <w:tcW w:w="977" w:type="pct"/>
                  <w:tcBorders>
                    <w:tl2br w:val="nil"/>
                    <w:tr2bl w:val="nil"/>
                  </w:tcBorders>
                  <w:shd w:val="clear" w:color="auto" w:fill="auto"/>
                  <w:noWrap w:val="0"/>
                  <w:vAlign w:val="center"/>
                </w:tcPr>
                <w:p w14:paraId="3265A3EE">
                  <w:pPr>
                    <w:pStyle w:val="112"/>
                    <w:shd w:val="clear" w:color="auto" w:fill="auto"/>
                    <w:rPr>
                      <w:b/>
                      <w:bCs/>
                      <w:color w:val="000000"/>
                      <w:sz w:val="21"/>
                      <w:szCs w:val="21"/>
                      <w:highlight w:val="none"/>
                    </w:rPr>
                  </w:pPr>
                  <w:r>
                    <w:rPr>
                      <w:rFonts w:hint="eastAsia"/>
                      <w:b/>
                      <w:bCs/>
                      <w:color w:val="000000"/>
                      <w:sz w:val="21"/>
                      <w:szCs w:val="21"/>
                      <w:highlight w:val="none"/>
                      <w:lang w:eastAsia="zh-CN"/>
                    </w:rPr>
                    <w:t>临界剂</w:t>
                  </w:r>
                  <w:r>
                    <w:rPr>
                      <w:b/>
                      <w:bCs/>
                      <w:color w:val="000000"/>
                      <w:sz w:val="21"/>
                      <w:szCs w:val="21"/>
                      <w:highlight w:val="none"/>
                    </w:rPr>
                    <w:t>Qn（t）</w:t>
                  </w:r>
                </w:p>
              </w:tc>
              <w:tc>
                <w:tcPr>
                  <w:tcW w:w="812" w:type="pct"/>
                  <w:tcBorders>
                    <w:tl2br w:val="nil"/>
                    <w:tr2bl w:val="nil"/>
                  </w:tcBorders>
                  <w:shd w:val="clear" w:color="auto" w:fill="auto"/>
                  <w:noWrap w:val="0"/>
                  <w:vAlign w:val="center"/>
                </w:tcPr>
                <w:p w14:paraId="722213C8">
                  <w:pPr>
                    <w:pStyle w:val="112"/>
                    <w:shd w:val="clear" w:color="auto" w:fill="auto"/>
                    <w:rPr>
                      <w:b/>
                      <w:bCs/>
                      <w:color w:val="000000"/>
                      <w:sz w:val="21"/>
                      <w:szCs w:val="21"/>
                      <w:highlight w:val="none"/>
                    </w:rPr>
                  </w:pPr>
                  <w:r>
                    <w:rPr>
                      <w:b/>
                      <w:bCs/>
                      <w:color w:val="000000"/>
                      <w:sz w:val="21"/>
                      <w:szCs w:val="21"/>
                      <w:highlight w:val="none"/>
                    </w:rPr>
                    <w:t>qn/Qn</w:t>
                  </w:r>
                </w:p>
              </w:tc>
              <w:tc>
                <w:tcPr>
                  <w:tcW w:w="1249" w:type="pct"/>
                  <w:tcBorders>
                    <w:tl2br w:val="nil"/>
                    <w:tr2bl w:val="nil"/>
                  </w:tcBorders>
                  <w:shd w:val="clear" w:color="auto" w:fill="auto"/>
                  <w:noWrap w:val="0"/>
                  <w:vAlign w:val="center"/>
                </w:tcPr>
                <w:p w14:paraId="73C737D1">
                  <w:pPr>
                    <w:pStyle w:val="112"/>
                    <w:shd w:val="clear" w:color="auto" w:fill="auto"/>
                    <w:rPr>
                      <w:rFonts w:hint="default" w:eastAsia="宋体"/>
                      <w:b/>
                      <w:bCs/>
                      <w:color w:val="000000"/>
                      <w:sz w:val="21"/>
                      <w:szCs w:val="21"/>
                      <w:highlight w:val="none"/>
                      <w:lang w:val="en-US" w:eastAsia="zh-CN"/>
                    </w:rPr>
                  </w:pPr>
                  <w:r>
                    <w:rPr>
                      <w:rFonts w:hint="eastAsia"/>
                      <w:b/>
                      <w:bCs/>
                      <w:color w:val="000000"/>
                      <w:sz w:val="21"/>
                      <w:szCs w:val="21"/>
                      <w:highlight w:val="none"/>
                      <w:lang w:val="en-US" w:eastAsia="zh-CN"/>
                    </w:rPr>
                    <w:t>是否为重大风险源</w:t>
                  </w:r>
                </w:p>
              </w:tc>
            </w:tr>
            <w:tr w14:paraId="2DEC0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859" w:type="pct"/>
                  <w:tcBorders>
                    <w:tl2br w:val="nil"/>
                    <w:tr2bl w:val="nil"/>
                  </w:tcBorders>
                  <w:shd w:val="clear" w:color="auto" w:fill="auto"/>
                  <w:noWrap w:val="0"/>
                  <w:vAlign w:val="center"/>
                </w:tcPr>
                <w:p w14:paraId="66FFDCCF">
                  <w:pPr>
                    <w:pStyle w:val="112"/>
                    <w:shd w:val="clear" w:color="auto" w:fil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乙醇</w:t>
                  </w:r>
                </w:p>
              </w:tc>
              <w:tc>
                <w:tcPr>
                  <w:tcW w:w="1100" w:type="pct"/>
                  <w:tcBorders>
                    <w:tl2br w:val="nil"/>
                    <w:tr2bl w:val="nil"/>
                  </w:tcBorders>
                  <w:shd w:val="clear" w:color="auto" w:fill="auto"/>
                  <w:noWrap w:val="0"/>
                  <w:vAlign w:val="center"/>
                </w:tcPr>
                <w:p w14:paraId="7816ADE5">
                  <w:pPr>
                    <w:pStyle w:val="112"/>
                    <w:shd w:val="clear" w:color="auto" w:fil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289.86</w:t>
                  </w:r>
                </w:p>
              </w:tc>
              <w:tc>
                <w:tcPr>
                  <w:tcW w:w="977" w:type="pct"/>
                  <w:tcBorders>
                    <w:tl2br w:val="nil"/>
                    <w:tr2bl w:val="nil"/>
                  </w:tcBorders>
                  <w:shd w:val="clear" w:color="auto" w:fill="auto"/>
                  <w:noWrap w:val="0"/>
                  <w:vAlign w:val="center"/>
                </w:tcPr>
                <w:p w14:paraId="550D2467">
                  <w:pPr>
                    <w:pStyle w:val="112"/>
                    <w:shd w:val="clear" w:color="auto" w:fill="auto"/>
                    <w:rPr>
                      <w:rFonts w:hint="default" w:eastAsia="宋体"/>
                      <w:color w:val="000000"/>
                      <w:sz w:val="21"/>
                      <w:szCs w:val="21"/>
                      <w:highlight w:val="none"/>
                      <w:lang w:val="en-US" w:eastAsia="zh-CN"/>
                    </w:rPr>
                  </w:pPr>
                  <w:r>
                    <w:rPr>
                      <w:rFonts w:hint="eastAsia"/>
                      <w:color w:val="000000"/>
                      <w:sz w:val="21"/>
                      <w:szCs w:val="21"/>
                      <w:highlight w:val="none"/>
                      <w:lang w:val="en-US" w:eastAsia="zh-CN"/>
                    </w:rPr>
                    <w:t>500</w:t>
                  </w:r>
                </w:p>
              </w:tc>
              <w:tc>
                <w:tcPr>
                  <w:tcW w:w="812" w:type="pct"/>
                  <w:tcBorders>
                    <w:tl2br w:val="nil"/>
                    <w:tr2bl w:val="nil"/>
                  </w:tcBorders>
                  <w:shd w:val="clear" w:color="auto" w:fill="auto"/>
                  <w:noWrap w:val="0"/>
                  <w:vAlign w:val="center"/>
                </w:tcPr>
                <w:p w14:paraId="77AC0068">
                  <w:pPr>
                    <w:pStyle w:val="112"/>
                    <w:shd w:val="clear" w:color="auto" w:fil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0.57972</w:t>
                  </w:r>
                </w:p>
              </w:tc>
              <w:tc>
                <w:tcPr>
                  <w:tcW w:w="1249" w:type="pct"/>
                  <w:tcBorders>
                    <w:tl2br w:val="nil"/>
                    <w:tr2bl w:val="nil"/>
                  </w:tcBorders>
                  <w:shd w:val="clear" w:color="auto" w:fill="auto"/>
                  <w:noWrap w:val="0"/>
                  <w:vAlign w:val="center"/>
                </w:tcPr>
                <w:p w14:paraId="17F22A91">
                  <w:pPr>
                    <w:pStyle w:val="112"/>
                    <w:shd w:val="clear" w:color="auto" w:fil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否</w:t>
                  </w:r>
                </w:p>
              </w:tc>
            </w:tr>
            <w:tr w14:paraId="78BC9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859" w:type="pct"/>
                  <w:tcBorders>
                    <w:tl2br w:val="nil"/>
                    <w:tr2bl w:val="nil"/>
                  </w:tcBorders>
                  <w:shd w:val="clear" w:color="auto" w:fill="auto"/>
                  <w:noWrap w:val="0"/>
                  <w:vAlign w:val="center"/>
                </w:tcPr>
                <w:p w14:paraId="35BDE496">
                  <w:pPr>
                    <w:pStyle w:val="112"/>
                    <w:shd w:val="clear" w:color="auto" w:fill="auto"/>
                    <w:rPr>
                      <w:rFonts w:hint="eastAsia" w:eastAsia="宋体"/>
                      <w:color w:val="000000"/>
                      <w:sz w:val="21"/>
                      <w:szCs w:val="21"/>
                      <w:highlight w:val="none"/>
                      <w:lang w:eastAsia="zh-CN"/>
                    </w:rPr>
                  </w:pPr>
                  <w:r>
                    <w:rPr>
                      <w:rFonts w:hint="eastAsia"/>
                      <w:color w:val="000000"/>
                      <w:sz w:val="21"/>
                      <w:szCs w:val="21"/>
                      <w:highlight w:val="none"/>
                      <w:lang w:val="en-US" w:eastAsia="zh-CN"/>
                    </w:rPr>
                    <w:t>废机油</w:t>
                  </w:r>
                </w:p>
              </w:tc>
              <w:tc>
                <w:tcPr>
                  <w:tcW w:w="1100" w:type="pct"/>
                  <w:tcBorders>
                    <w:tl2br w:val="nil"/>
                    <w:tr2bl w:val="nil"/>
                  </w:tcBorders>
                  <w:shd w:val="clear" w:color="auto" w:fill="auto"/>
                  <w:noWrap w:val="0"/>
                  <w:vAlign w:val="center"/>
                </w:tcPr>
                <w:p w14:paraId="5BF34AEA">
                  <w:pPr>
                    <w:pStyle w:val="112"/>
                    <w:shd w:val="clear" w:color="auto" w:fill="auto"/>
                    <w:rPr>
                      <w:rFonts w:hint="default" w:eastAsia="宋体"/>
                      <w:color w:val="000000"/>
                      <w:sz w:val="21"/>
                      <w:szCs w:val="21"/>
                      <w:highlight w:val="none"/>
                      <w:lang w:val="en-US" w:eastAsia="zh-CN"/>
                    </w:rPr>
                  </w:pPr>
                  <w:r>
                    <w:rPr>
                      <w:rFonts w:hint="eastAsia"/>
                      <w:color w:val="000000"/>
                      <w:sz w:val="21"/>
                      <w:szCs w:val="21"/>
                      <w:highlight w:val="none"/>
                      <w:lang w:val="en-US" w:eastAsia="zh-CN"/>
                    </w:rPr>
                    <w:t>0.02</w:t>
                  </w:r>
                </w:p>
              </w:tc>
              <w:tc>
                <w:tcPr>
                  <w:tcW w:w="977" w:type="pct"/>
                  <w:tcBorders>
                    <w:tl2br w:val="nil"/>
                    <w:tr2bl w:val="nil"/>
                  </w:tcBorders>
                  <w:shd w:val="clear" w:color="auto" w:fill="auto"/>
                  <w:noWrap w:val="0"/>
                  <w:vAlign w:val="center"/>
                </w:tcPr>
                <w:p w14:paraId="0EB1858A">
                  <w:pPr>
                    <w:pStyle w:val="112"/>
                    <w:shd w:val="clear" w:color="auto" w:fill="auto"/>
                    <w:rPr>
                      <w:color w:val="000000"/>
                      <w:sz w:val="21"/>
                      <w:szCs w:val="21"/>
                      <w:highlight w:val="none"/>
                    </w:rPr>
                  </w:pPr>
                  <w:r>
                    <w:rPr>
                      <w:color w:val="000000"/>
                      <w:sz w:val="21"/>
                      <w:szCs w:val="21"/>
                      <w:highlight w:val="none"/>
                    </w:rPr>
                    <w:t>2500</w:t>
                  </w:r>
                </w:p>
              </w:tc>
              <w:tc>
                <w:tcPr>
                  <w:tcW w:w="812" w:type="pct"/>
                  <w:tcBorders>
                    <w:tl2br w:val="nil"/>
                    <w:tr2bl w:val="nil"/>
                  </w:tcBorders>
                  <w:shd w:val="clear" w:color="auto" w:fill="auto"/>
                  <w:noWrap w:val="0"/>
                  <w:vAlign w:val="center"/>
                </w:tcPr>
                <w:p w14:paraId="58285D90">
                  <w:pPr>
                    <w:pStyle w:val="112"/>
                    <w:shd w:val="clear" w:color="auto" w:fill="auto"/>
                    <w:rPr>
                      <w:rFonts w:hint="default" w:eastAsia="宋体"/>
                      <w:color w:val="000000"/>
                      <w:sz w:val="21"/>
                      <w:szCs w:val="21"/>
                      <w:highlight w:val="none"/>
                      <w:lang w:val="en-US" w:eastAsia="zh-CN"/>
                    </w:rPr>
                  </w:pPr>
                  <w:r>
                    <w:rPr>
                      <w:rFonts w:hint="default" w:eastAsia="宋体"/>
                      <w:color w:val="000000"/>
                      <w:sz w:val="21"/>
                      <w:szCs w:val="21"/>
                      <w:highlight w:val="none"/>
                      <w:lang w:val="en-US" w:eastAsia="zh-CN"/>
                    </w:rPr>
                    <w:t>0.000008</w:t>
                  </w:r>
                </w:p>
              </w:tc>
              <w:tc>
                <w:tcPr>
                  <w:tcW w:w="1249" w:type="pct"/>
                  <w:tcBorders>
                    <w:tl2br w:val="nil"/>
                    <w:tr2bl w:val="nil"/>
                  </w:tcBorders>
                  <w:shd w:val="clear" w:color="auto" w:fill="auto"/>
                  <w:noWrap w:val="0"/>
                  <w:vAlign w:val="center"/>
                </w:tcPr>
                <w:p w14:paraId="46B9FAA0">
                  <w:pPr>
                    <w:pStyle w:val="112"/>
                    <w:shd w:val="clear" w:color="auto" w:fil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否</w:t>
                  </w:r>
                </w:p>
              </w:tc>
            </w:tr>
            <w:tr w14:paraId="19540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1390" w:type="dxa"/>
                  <w:tcBorders>
                    <w:tl2br w:val="nil"/>
                    <w:tr2bl w:val="nil"/>
                  </w:tcBorders>
                  <w:shd w:val="clear" w:color="auto" w:fill="auto"/>
                  <w:noWrap w:val="0"/>
                  <w:vAlign w:val="center"/>
                </w:tcPr>
                <w:p w14:paraId="3854AABE">
                  <w:pPr>
                    <w:pStyle w:val="112"/>
                    <w:shd w:val="clear" w:color="auto" w:fill="auto"/>
                    <w:rPr>
                      <w:rFonts w:hint="eastAsia"/>
                      <w:color w:val="000000"/>
                      <w:sz w:val="21"/>
                      <w:szCs w:val="21"/>
                      <w:highlight w:val="none"/>
                      <w:lang w:val="en-US" w:eastAsia="zh-CN"/>
                    </w:rPr>
                  </w:pPr>
                  <w:r>
                    <w:rPr>
                      <w:rFonts w:hint="eastAsia"/>
                      <w:color w:val="000000"/>
                      <w:sz w:val="21"/>
                      <w:szCs w:val="21"/>
                      <w:highlight w:val="none"/>
                      <w:lang w:val="en-US" w:eastAsia="zh-CN"/>
                    </w:rPr>
                    <w:t>天然气（以甲烷计）</w:t>
                  </w:r>
                </w:p>
              </w:tc>
              <w:tc>
                <w:tcPr>
                  <w:tcW w:w="1781" w:type="dxa"/>
                  <w:tcBorders>
                    <w:tl2br w:val="nil"/>
                    <w:tr2bl w:val="nil"/>
                  </w:tcBorders>
                  <w:shd w:val="clear" w:color="auto" w:fill="auto"/>
                  <w:noWrap w:val="0"/>
                  <w:vAlign w:val="center"/>
                </w:tcPr>
                <w:p w14:paraId="419BA349">
                  <w:pPr>
                    <w:pStyle w:val="112"/>
                    <w:shd w:val="clear" w:color="auto" w:fill="auto"/>
                    <w:rPr>
                      <w:rFonts w:hint="default" w:ascii="Times New Roman" w:hAnsi="Times New Roman" w:eastAsia="宋体" w:cs="Times New Roman"/>
                      <w:color w:val="000000"/>
                      <w:sz w:val="21"/>
                      <w:szCs w:val="21"/>
                      <w:highlight w:val="none"/>
                      <w:lang w:val="en-US" w:eastAsia="zh-CN"/>
                    </w:rPr>
                  </w:pPr>
                  <w:r>
                    <w:rPr>
                      <w:rFonts w:hint="eastAsia"/>
                      <w:color w:val="000000"/>
                      <w:sz w:val="21"/>
                      <w:szCs w:val="21"/>
                      <w:highlight w:val="none"/>
                      <w:lang w:val="en-US" w:eastAsia="zh-CN"/>
                    </w:rPr>
                    <w:t>0.000863</w:t>
                  </w:r>
                </w:p>
              </w:tc>
              <w:tc>
                <w:tcPr>
                  <w:tcW w:w="1582" w:type="dxa"/>
                  <w:tcBorders>
                    <w:tl2br w:val="nil"/>
                    <w:tr2bl w:val="nil"/>
                  </w:tcBorders>
                  <w:shd w:val="clear" w:color="auto" w:fill="auto"/>
                  <w:noWrap w:val="0"/>
                  <w:vAlign w:val="center"/>
                </w:tcPr>
                <w:p w14:paraId="1F84F591">
                  <w:pPr>
                    <w:pStyle w:val="112"/>
                    <w:shd w:val="clear" w:color="auto" w:fill="auto"/>
                    <w:rPr>
                      <w:rFonts w:hint="default" w:ascii="Times New Roman" w:hAnsi="Times New Roman" w:eastAsia="宋体" w:cs="Times New Roman"/>
                      <w:color w:val="000000"/>
                      <w:sz w:val="21"/>
                      <w:szCs w:val="21"/>
                      <w:highlight w:val="none"/>
                      <w:lang w:val="en-US" w:eastAsia="zh-CN"/>
                    </w:rPr>
                  </w:pPr>
                  <w:r>
                    <w:rPr>
                      <w:rFonts w:hint="eastAsia"/>
                      <w:color w:val="000000"/>
                      <w:sz w:val="21"/>
                      <w:szCs w:val="21"/>
                      <w:highlight w:val="none"/>
                      <w:lang w:val="en-US" w:eastAsia="zh-CN"/>
                    </w:rPr>
                    <w:t>10</w:t>
                  </w:r>
                </w:p>
              </w:tc>
              <w:tc>
                <w:tcPr>
                  <w:tcW w:w="1314" w:type="dxa"/>
                  <w:tcBorders>
                    <w:tl2br w:val="nil"/>
                    <w:tr2bl w:val="nil"/>
                  </w:tcBorders>
                  <w:shd w:val="clear" w:color="auto" w:fill="auto"/>
                  <w:noWrap w:val="0"/>
                  <w:vAlign w:val="center"/>
                </w:tcPr>
                <w:p w14:paraId="303C715B">
                  <w:pPr>
                    <w:pStyle w:val="112"/>
                    <w:shd w:val="clear" w:color="auto" w:fill="auto"/>
                    <w:rPr>
                      <w:rFonts w:hint="default" w:ascii="Times New Roman" w:hAnsi="Times New Roman" w:eastAsia="宋体" w:cs="Times New Roman"/>
                      <w:color w:val="000000"/>
                      <w:sz w:val="21"/>
                      <w:szCs w:val="21"/>
                      <w:highlight w:val="none"/>
                      <w:lang w:val="en-US" w:eastAsia="zh-CN"/>
                    </w:rPr>
                  </w:pPr>
                  <w:r>
                    <w:rPr>
                      <w:rFonts w:hint="eastAsia" w:eastAsia="宋体"/>
                      <w:color w:val="000000"/>
                      <w:sz w:val="21"/>
                      <w:szCs w:val="21"/>
                      <w:highlight w:val="none"/>
                      <w:lang w:val="en-US" w:eastAsia="zh-CN"/>
                    </w:rPr>
                    <w:t>0.0000863</w:t>
                  </w:r>
                </w:p>
              </w:tc>
              <w:tc>
                <w:tcPr>
                  <w:tcW w:w="2021" w:type="dxa"/>
                  <w:tcBorders>
                    <w:tl2br w:val="nil"/>
                    <w:tr2bl w:val="nil"/>
                  </w:tcBorders>
                  <w:shd w:val="clear" w:color="auto" w:fill="auto"/>
                  <w:noWrap w:val="0"/>
                  <w:vAlign w:val="center"/>
                </w:tcPr>
                <w:p w14:paraId="2ADDB27B">
                  <w:pPr>
                    <w:pStyle w:val="112"/>
                    <w:shd w:val="clear" w:color="auto" w:fill="auto"/>
                    <w:rPr>
                      <w:rFonts w:hint="eastAsia" w:eastAsia="宋体"/>
                      <w:color w:val="000000"/>
                      <w:sz w:val="21"/>
                      <w:szCs w:val="21"/>
                      <w:highlight w:val="none"/>
                      <w:lang w:val="en-US" w:eastAsia="zh-CN"/>
                    </w:rPr>
                  </w:pPr>
                  <w:r>
                    <w:rPr>
                      <w:rFonts w:hint="eastAsia" w:eastAsia="宋体"/>
                      <w:color w:val="000000"/>
                      <w:sz w:val="21"/>
                      <w:szCs w:val="21"/>
                      <w:highlight w:val="none"/>
                      <w:lang w:val="en-US" w:eastAsia="zh-CN"/>
                    </w:rPr>
                    <w:t>否</w:t>
                  </w:r>
                </w:p>
              </w:tc>
            </w:tr>
            <w:tr w14:paraId="2F397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2937" w:type="pct"/>
                  <w:gridSpan w:val="3"/>
                  <w:tcBorders>
                    <w:tl2br w:val="nil"/>
                    <w:tr2bl w:val="nil"/>
                  </w:tcBorders>
                  <w:shd w:val="clear" w:color="auto" w:fill="auto"/>
                  <w:noWrap w:val="0"/>
                  <w:vAlign w:val="center"/>
                </w:tcPr>
                <w:p w14:paraId="0EAAEE86">
                  <w:pPr>
                    <w:pStyle w:val="112"/>
                    <w:shd w:val="clear" w:color="auto" w:fil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合计</w:t>
                  </w:r>
                </w:p>
              </w:tc>
              <w:tc>
                <w:tcPr>
                  <w:tcW w:w="1314" w:type="dxa"/>
                  <w:tcBorders>
                    <w:tl2br w:val="nil"/>
                    <w:tr2bl w:val="nil"/>
                  </w:tcBorders>
                  <w:shd w:val="clear" w:color="auto" w:fill="auto"/>
                  <w:noWrap w:val="0"/>
                  <w:vAlign w:val="center"/>
                </w:tcPr>
                <w:p w14:paraId="5923E7FE">
                  <w:pPr>
                    <w:pStyle w:val="112"/>
                    <w:shd w:val="clear" w:color="auto" w:fil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0.5798343</w:t>
                  </w:r>
                </w:p>
              </w:tc>
              <w:tc>
                <w:tcPr>
                  <w:tcW w:w="2021" w:type="dxa"/>
                  <w:tcBorders>
                    <w:tl2br w:val="nil"/>
                    <w:tr2bl w:val="nil"/>
                  </w:tcBorders>
                  <w:shd w:val="clear" w:color="auto" w:fill="auto"/>
                  <w:noWrap w:val="0"/>
                  <w:vAlign w:val="center"/>
                </w:tcPr>
                <w:p w14:paraId="55BE47F1">
                  <w:pPr>
                    <w:pStyle w:val="112"/>
                    <w:shd w:val="clear" w:color="auto" w:fill="auto"/>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否</w:t>
                  </w:r>
                </w:p>
              </w:tc>
            </w:tr>
          </w:tbl>
          <w:p w14:paraId="4DBE6DCB">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textAlignment w:val="auto"/>
              <w:outlineLvl w:val="2"/>
              <w:rPr>
                <w:rFonts w:hint="eastAsia"/>
                <w:color w:val="000000"/>
                <w:sz w:val="21"/>
                <w:szCs w:val="21"/>
                <w:highlight w:val="none"/>
                <w:lang w:val="en-US" w:eastAsia="zh-CN"/>
              </w:rPr>
            </w:pPr>
            <w:r>
              <w:rPr>
                <w:rFonts w:hint="eastAsia"/>
                <w:color w:val="000000"/>
                <w:sz w:val="21"/>
                <w:szCs w:val="21"/>
                <w:highlight w:val="none"/>
                <w:lang w:val="en-US" w:eastAsia="zh-CN"/>
              </w:rPr>
              <w:t>本项目建设白酒储罐总容量为500t，储罐存酒度数以65℃计，密度为0.897，1吨65℃白酒的容积约为1114.83升。乙醇占白酒的体积为0.65，乙醇的密度为0.8，经计算，500吨白酒中乙醇含量约为289.86吨。</w:t>
            </w:r>
          </w:p>
          <w:p w14:paraId="3786B308">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textAlignment w:val="auto"/>
              <w:outlineLvl w:val="2"/>
              <w:rPr>
                <w:color w:val="000000"/>
                <w:sz w:val="21"/>
                <w:szCs w:val="21"/>
                <w:highlight w:val="none"/>
              </w:rPr>
            </w:pPr>
            <w:r>
              <w:rPr>
                <w:rFonts w:hint="eastAsia"/>
                <w:color w:val="000000"/>
                <w:sz w:val="21"/>
                <w:szCs w:val="21"/>
                <w:highlight w:val="none"/>
                <w:lang w:val="en-US" w:eastAsia="zh-CN"/>
              </w:rPr>
              <w:t>锅炉采用天然气管道接入厂内，天然气不在厂区内储存。</w:t>
            </w:r>
            <w:r>
              <w:rPr>
                <w:rFonts w:hint="default" w:ascii="Times New Roman" w:hAnsi="Times New Roman" w:cs="Times New Roman"/>
                <w:color w:val="000000"/>
                <w:sz w:val="21"/>
                <w:szCs w:val="21"/>
                <w:highlight w:val="none"/>
              </w:rPr>
              <w:t>天然气管道为</w:t>
            </w:r>
            <w:r>
              <w:rPr>
                <w:rFonts w:hint="eastAsia" w:ascii="Times New Roman" w:hAnsi="Times New Roman" w:cs="Times New Roman"/>
                <w:color w:val="000000"/>
                <w:sz w:val="21"/>
                <w:szCs w:val="21"/>
                <w:highlight w:val="none"/>
                <w:lang w:val="en-US" w:eastAsia="zh-CN"/>
              </w:rPr>
              <w:t>长度为</w:t>
            </w:r>
            <w:r>
              <w:rPr>
                <w:rFonts w:hint="default" w:ascii="Times New Roman" w:hAnsi="Times New Roman" w:cs="Times New Roman"/>
                <w:color w:val="000000"/>
                <w:sz w:val="21"/>
                <w:szCs w:val="21"/>
                <w:highlight w:val="none"/>
                <w:lang w:val="en-US" w:eastAsia="zh-CN"/>
              </w:rPr>
              <w:t>6</w:t>
            </w:r>
            <w:r>
              <w:rPr>
                <w:rFonts w:hint="default" w:ascii="Times New Roman" w:hAnsi="Times New Roman" w:cs="Times New Roman"/>
                <w:color w:val="000000"/>
                <w:sz w:val="21"/>
                <w:szCs w:val="21"/>
                <w:highlight w:val="none"/>
              </w:rPr>
              <w:t>0m（市政管道连接口至锅炉房管道），管径为DN</w:t>
            </w:r>
            <w:r>
              <w:rPr>
                <w:rFonts w:hint="default" w:ascii="Times New Roman" w:hAnsi="Times New Roman" w:cs="Times New Roman"/>
                <w:color w:val="000000"/>
                <w:sz w:val="21"/>
                <w:szCs w:val="21"/>
                <w:highlight w:val="none"/>
                <w:lang w:val="en-US" w:eastAsia="zh-CN"/>
              </w:rPr>
              <w:t>160</w:t>
            </w:r>
            <w:r>
              <w:rPr>
                <w:rFonts w:hint="eastAsia" w:cs="Times New Roman"/>
                <w:color w:val="000000"/>
                <w:sz w:val="21"/>
                <w:szCs w:val="21"/>
                <w:highlight w:val="none"/>
                <w:lang w:eastAsia="zh-CN"/>
              </w:rPr>
              <w:t>。</w:t>
            </w:r>
            <w:r>
              <w:rPr>
                <w:rFonts w:hint="default" w:ascii="Times New Roman" w:hAnsi="Times New Roman" w:cs="Times New Roman"/>
                <w:color w:val="000000"/>
                <w:sz w:val="21"/>
                <w:szCs w:val="21"/>
                <w:highlight w:val="none"/>
              </w:rPr>
              <w:t>每吨天然气的体积为1390立方米，每立方米天然气的质量为0.7192kg。经计算本项目的天然气最大储存量容积为</w:t>
            </w:r>
            <w:r>
              <w:rPr>
                <w:rFonts w:hint="default" w:ascii="Times New Roman" w:hAnsi="Times New Roman" w:cs="Times New Roman"/>
                <w:color w:val="000000"/>
                <w:sz w:val="21"/>
                <w:szCs w:val="21"/>
                <w:highlight w:val="none"/>
                <w:lang w:val="en-US" w:eastAsia="zh-CN"/>
              </w:rPr>
              <w:t>1.2</w:t>
            </w:r>
            <w:r>
              <w:rPr>
                <w:rFonts w:hint="default" w:ascii="Times New Roman" w:hAnsi="Times New Roman" w:cs="Times New Roman"/>
                <w:color w:val="000000"/>
                <w:sz w:val="21"/>
                <w:szCs w:val="21"/>
                <w:highlight w:val="none"/>
              </w:rPr>
              <w:t>m</w:t>
            </w:r>
            <w:r>
              <w:rPr>
                <w:rFonts w:hint="default" w:ascii="Times New Roman" w:hAnsi="Times New Roman" w:cs="Times New Roman"/>
                <w:color w:val="000000"/>
                <w:sz w:val="21"/>
                <w:szCs w:val="21"/>
                <w:highlight w:val="none"/>
                <w:vertAlign w:val="superscript"/>
              </w:rPr>
              <w:t>3</w:t>
            </w:r>
            <w:r>
              <w:rPr>
                <w:rFonts w:hint="default" w:ascii="Times New Roman" w:hAnsi="Times New Roman" w:cs="Times New Roman"/>
                <w:color w:val="000000"/>
                <w:sz w:val="21"/>
                <w:szCs w:val="21"/>
                <w:highlight w:val="none"/>
              </w:rPr>
              <w:t>，天然气最大储量为</w:t>
            </w:r>
            <w:r>
              <w:rPr>
                <w:rFonts w:hint="eastAsia" w:ascii="Times New Roman" w:hAnsi="Times New Roman" w:cs="Times New Roman"/>
                <w:b w:val="0"/>
                <w:color w:val="000000"/>
                <w:sz w:val="21"/>
                <w:szCs w:val="21"/>
                <w:highlight w:val="none"/>
                <w:lang w:val="en-US" w:eastAsia="zh-CN"/>
              </w:rPr>
              <w:t>0.000863t</w:t>
            </w:r>
            <w:r>
              <w:rPr>
                <w:rFonts w:hint="default" w:ascii="Times New Roman" w:hAnsi="Times New Roman" w:cs="Times New Roman"/>
                <w:color w:val="000000"/>
                <w:sz w:val="21"/>
                <w:szCs w:val="21"/>
                <w:highlight w:val="none"/>
              </w:rPr>
              <w:t>。</w:t>
            </w:r>
          </w:p>
          <w:p w14:paraId="31208425">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textAlignment w:val="auto"/>
              <w:outlineLvl w:val="2"/>
              <w:rPr>
                <w:color w:val="000000"/>
                <w:sz w:val="21"/>
                <w:szCs w:val="21"/>
                <w:highlight w:val="none"/>
              </w:rPr>
            </w:pPr>
            <w:r>
              <w:rPr>
                <w:color w:val="000000"/>
                <w:sz w:val="21"/>
                <w:szCs w:val="21"/>
                <w:highlight w:val="none"/>
              </w:rPr>
              <w:t>本项目Q=</w:t>
            </w:r>
            <w:r>
              <w:rPr>
                <w:rFonts w:hint="eastAsia" w:ascii="Times New Roman" w:hAnsi="Times New Roman" w:eastAsia="宋体" w:cs="Times New Roman"/>
                <w:color w:val="000000"/>
                <w:sz w:val="21"/>
                <w:szCs w:val="21"/>
                <w:highlight w:val="none"/>
                <w:lang w:val="en-US" w:eastAsia="zh-CN"/>
              </w:rPr>
              <w:t>0.5798343</w:t>
            </w:r>
            <w:r>
              <w:rPr>
                <w:color w:val="000000"/>
                <w:sz w:val="21"/>
                <w:szCs w:val="21"/>
                <w:highlight w:val="none"/>
              </w:rPr>
              <w:t>＜1，则本项目环境风险潜势为Ⅰ，因此环境风险评价等级为简单分析。</w:t>
            </w:r>
          </w:p>
          <w:p w14:paraId="486B41BB">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textAlignment w:val="auto"/>
              <w:outlineLvl w:val="2"/>
              <w:rPr>
                <w:color w:val="000000"/>
                <w:sz w:val="21"/>
                <w:szCs w:val="21"/>
                <w:highlight w:val="none"/>
              </w:rPr>
            </w:pPr>
            <w:r>
              <w:rPr>
                <w:color w:val="000000"/>
                <w:sz w:val="21"/>
                <w:szCs w:val="21"/>
                <w:highlight w:val="none"/>
              </w:rPr>
              <w:t>（3）危险物质和风险源分布情况及影响途径</w:t>
            </w:r>
          </w:p>
          <w:p w14:paraId="6BF591E2">
            <w:pPr>
              <w:pStyle w:val="149"/>
              <w:keepNext w:val="0"/>
              <w:keepLines w:val="0"/>
              <w:pageBreakBefore w:val="0"/>
              <w:shd w:val="clear" w:color="auto" w:fill="auto"/>
              <w:kinsoku/>
              <w:wordWrap/>
              <w:overflowPunct/>
              <w:topLinePunct w:val="0"/>
              <w:autoSpaceDE/>
              <w:autoSpaceDN/>
              <w:bidi w:val="0"/>
              <w:adjustRightInd w:val="0"/>
              <w:snapToGrid w:val="0"/>
              <w:spacing w:line="360" w:lineRule="auto"/>
              <w:ind w:firstLine="480"/>
              <w:jc w:val="both"/>
              <w:textAlignment w:val="auto"/>
              <w:rPr>
                <w:color w:val="000000"/>
                <w:sz w:val="21"/>
                <w:szCs w:val="21"/>
                <w:highlight w:val="none"/>
              </w:rPr>
            </w:pPr>
            <w:r>
              <w:rPr>
                <w:rFonts w:hint="eastAsia" w:cs="Times New Roman"/>
                <w:color w:val="000000"/>
                <w:sz w:val="21"/>
                <w:szCs w:val="21"/>
                <w:highlight w:val="none"/>
                <w:lang w:val="en-US" w:eastAsia="zh-CN"/>
              </w:rPr>
              <w:t>本项目</w:t>
            </w:r>
            <w:r>
              <w:rPr>
                <w:color w:val="000000"/>
                <w:sz w:val="21"/>
                <w:szCs w:val="21"/>
                <w:highlight w:val="none"/>
              </w:rPr>
              <w:t>危险物质和风险源分布情况及影响途径</w:t>
            </w:r>
            <w:r>
              <w:rPr>
                <w:rFonts w:hint="eastAsia"/>
                <w:color w:val="000000"/>
                <w:sz w:val="21"/>
                <w:szCs w:val="21"/>
                <w:highlight w:val="none"/>
                <w:lang w:val="en-US" w:eastAsia="zh-CN"/>
              </w:rPr>
              <w:t>具体情况见下表</w:t>
            </w:r>
            <w:r>
              <w:rPr>
                <w:color w:val="000000"/>
                <w:sz w:val="21"/>
                <w:szCs w:val="21"/>
                <w:highlight w:val="none"/>
              </w:rPr>
              <w:t>。</w:t>
            </w:r>
          </w:p>
          <w:p w14:paraId="3B4B42A8">
            <w:pPr>
              <w:keepNext w:val="0"/>
              <w:keepLines w:val="0"/>
              <w:pageBreakBefore w:val="0"/>
              <w:widowControl/>
              <w:shd w:val="clear" w:color="auto" w:fill="auto"/>
              <w:kinsoku/>
              <w:wordWrap/>
              <w:overflowPunct/>
              <w:topLinePunct w:val="0"/>
              <w:autoSpaceDE/>
              <w:autoSpaceDN/>
              <w:bidi w:val="0"/>
              <w:adjustRightInd w:val="0"/>
              <w:snapToGrid w:val="0"/>
              <w:spacing w:line="240" w:lineRule="auto"/>
              <w:jc w:val="center"/>
              <w:textAlignment w:val="auto"/>
              <w:rPr>
                <w:b/>
                <w:color w:val="000000"/>
                <w:sz w:val="21"/>
                <w:szCs w:val="21"/>
                <w:highlight w:val="none"/>
              </w:rPr>
            </w:pPr>
            <w:r>
              <w:rPr>
                <w:b/>
                <w:color w:val="000000"/>
                <w:sz w:val="21"/>
                <w:szCs w:val="21"/>
                <w:highlight w:val="none"/>
              </w:rPr>
              <w:t>表4-</w:t>
            </w:r>
            <w:r>
              <w:rPr>
                <w:rFonts w:hint="eastAsia"/>
                <w:b/>
                <w:color w:val="000000"/>
                <w:sz w:val="21"/>
                <w:szCs w:val="21"/>
                <w:highlight w:val="none"/>
                <w:lang w:val="en-US" w:eastAsia="zh-CN"/>
              </w:rPr>
              <w:t>26</w:t>
            </w:r>
            <w:r>
              <w:rPr>
                <w:b/>
                <w:color w:val="000000"/>
                <w:sz w:val="21"/>
                <w:szCs w:val="21"/>
                <w:highlight w:val="none"/>
              </w:rPr>
              <w:t xml:space="preserve">   危险物质分布及影响途径</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48"/>
              <w:gridCol w:w="1328"/>
              <w:gridCol w:w="863"/>
              <w:gridCol w:w="1770"/>
              <w:gridCol w:w="3427"/>
            </w:tblGrid>
            <w:tr w14:paraId="78941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60" w:type="pct"/>
                  <w:tcBorders>
                    <w:tl2br w:val="nil"/>
                    <w:tr2bl w:val="nil"/>
                  </w:tcBorders>
                  <w:shd w:val="clear" w:color="auto" w:fill="auto"/>
                  <w:noWrap w:val="0"/>
                  <w:vAlign w:val="center"/>
                </w:tcPr>
                <w:p w14:paraId="65571AE6">
                  <w:pPr>
                    <w:shd w:val="clear" w:color="auto" w:fill="auto"/>
                    <w:jc w:val="center"/>
                    <w:outlineLvl w:val="2"/>
                    <w:rPr>
                      <w:rFonts w:hint="eastAsia" w:eastAsia="宋体"/>
                      <w:b/>
                      <w:bCs/>
                      <w:color w:val="000000"/>
                      <w:sz w:val="21"/>
                      <w:szCs w:val="21"/>
                      <w:highlight w:val="none"/>
                      <w:lang w:eastAsia="zh-CN"/>
                    </w:rPr>
                  </w:pPr>
                  <w:r>
                    <w:rPr>
                      <w:rFonts w:hint="eastAsia"/>
                      <w:b/>
                      <w:bCs/>
                      <w:color w:val="000000"/>
                      <w:sz w:val="21"/>
                      <w:szCs w:val="21"/>
                      <w:highlight w:val="none"/>
                      <w:lang w:val="en-US" w:eastAsia="zh-CN"/>
                    </w:rPr>
                    <w:t>序号</w:t>
                  </w:r>
                </w:p>
              </w:tc>
              <w:tc>
                <w:tcPr>
                  <w:tcW w:w="816" w:type="pct"/>
                  <w:tcBorders>
                    <w:tl2br w:val="nil"/>
                    <w:tr2bl w:val="nil"/>
                  </w:tcBorders>
                  <w:shd w:val="clear" w:color="auto" w:fill="auto"/>
                  <w:noWrap w:val="0"/>
                  <w:vAlign w:val="center"/>
                </w:tcPr>
                <w:p w14:paraId="42AF12FF">
                  <w:pPr>
                    <w:shd w:val="clear" w:color="auto" w:fill="auto"/>
                    <w:jc w:val="center"/>
                    <w:outlineLvl w:val="2"/>
                    <w:rPr>
                      <w:b/>
                      <w:bCs/>
                      <w:color w:val="000000"/>
                      <w:sz w:val="21"/>
                      <w:szCs w:val="21"/>
                      <w:highlight w:val="none"/>
                    </w:rPr>
                  </w:pPr>
                  <w:r>
                    <w:rPr>
                      <w:b/>
                      <w:bCs/>
                      <w:color w:val="000000"/>
                      <w:sz w:val="21"/>
                      <w:szCs w:val="21"/>
                      <w:highlight w:val="none"/>
                    </w:rPr>
                    <w:t>物质名称</w:t>
                  </w:r>
                </w:p>
              </w:tc>
              <w:tc>
                <w:tcPr>
                  <w:tcW w:w="530" w:type="pct"/>
                  <w:tcBorders>
                    <w:tl2br w:val="nil"/>
                    <w:tr2bl w:val="nil"/>
                  </w:tcBorders>
                  <w:shd w:val="clear" w:color="auto" w:fill="auto"/>
                  <w:noWrap w:val="0"/>
                  <w:vAlign w:val="center"/>
                </w:tcPr>
                <w:p w14:paraId="64C38FE9">
                  <w:pPr>
                    <w:shd w:val="clear" w:color="auto" w:fill="auto"/>
                    <w:jc w:val="center"/>
                    <w:outlineLvl w:val="2"/>
                    <w:rPr>
                      <w:b/>
                      <w:bCs/>
                      <w:color w:val="000000"/>
                      <w:sz w:val="21"/>
                      <w:szCs w:val="21"/>
                      <w:highlight w:val="none"/>
                    </w:rPr>
                  </w:pPr>
                  <w:r>
                    <w:rPr>
                      <w:b/>
                      <w:bCs/>
                      <w:color w:val="000000"/>
                      <w:sz w:val="21"/>
                      <w:szCs w:val="21"/>
                      <w:highlight w:val="none"/>
                    </w:rPr>
                    <w:t>形态</w:t>
                  </w:r>
                </w:p>
              </w:tc>
              <w:tc>
                <w:tcPr>
                  <w:tcW w:w="1087" w:type="pct"/>
                  <w:tcBorders>
                    <w:tl2br w:val="nil"/>
                    <w:tr2bl w:val="nil"/>
                  </w:tcBorders>
                  <w:shd w:val="clear" w:color="auto" w:fill="auto"/>
                  <w:noWrap w:val="0"/>
                  <w:vAlign w:val="center"/>
                </w:tcPr>
                <w:p w14:paraId="268BDBA7">
                  <w:pPr>
                    <w:shd w:val="clear" w:color="auto" w:fill="auto"/>
                    <w:jc w:val="center"/>
                    <w:outlineLvl w:val="2"/>
                    <w:rPr>
                      <w:b/>
                      <w:bCs/>
                      <w:color w:val="000000"/>
                      <w:sz w:val="21"/>
                      <w:szCs w:val="21"/>
                      <w:highlight w:val="none"/>
                    </w:rPr>
                  </w:pPr>
                  <w:r>
                    <w:rPr>
                      <w:b/>
                      <w:bCs/>
                      <w:color w:val="000000"/>
                      <w:sz w:val="21"/>
                      <w:szCs w:val="21"/>
                      <w:highlight w:val="none"/>
                    </w:rPr>
                    <w:t>分布位置</w:t>
                  </w:r>
                </w:p>
              </w:tc>
              <w:tc>
                <w:tcPr>
                  <w:tcW w:w="2105" w:type="pct"/>
                  <w:tcBorders>
                    <w:tl2br w:val="nil"/>
                    <w:tr2bl w:val="nil"/>
                  </w:tcBorders>
                  <w:shd w:val="clear" w:color="auto" w:fill="auto"/>
                  <w:noWrap w:val="0"/>
                  <w:vAlign w:val="center"/>
                </w:tcPr>
                <w:p w14:paraId="7811029E">
                  <w:pPr>
                    <w:shd w:val="clear" w:color="auto" w:fill="auto"/>
                    <w:jc w:val="center"/>
                    <w:outlineLvl w:val="2"/>
                    <w:rPr>
                      <w:b/>
                      <w:bCs/>
                      <w:color w:val="000000"/>
                      <w:sz w:val="21"/>
                      <w:szCs w:val="21"/>
                      <w:highlight w:val="none"/>
                    </w:rPr>
                  </w:pPr>
                  <w:r>
                    <w:rPr>
                      <w:b/>
                      <w:bCs/>
                      <w:color w:val="000000"/>
                      <w:sz w:val="21"/>
                      <w:szCs w:val="21"/>
                      <w:highlight w:val="none"/>
                    </w:rPr>
                    <w:t>影响途径</w:t>
                  </w:r>
                </w:p>
              </w:tc>
            </w:tr>
            <w:tr w14:paraId="08FF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pct"/>
                  <w:tcBorders>
                    <w:tl2br w:val="nil"/>
                    <w:tr2bl w:val="nil"/>
                  </w:tcBorders>
                  <w:shd w:val="clear" w:color="auto" w:fill="auto"/>
                  <w:noWrap w:val="0"/>
                  <w:vAlign w:val="center"/>
                </w:tcPr>
                <w:p w14:paraId="20047F39">
                  <w:pPr>
                    <w:shd w:val="clear" w:color="auto" w:fill="auto"/>
                    <w:jc w:val="center"/>
                    <w:rPr>
                      <w:rFonts w:hint="eastAsia" w:eastAsia="宋体"/>
                      <w:color w:val="000000"/>
                      <w:sz w:val="21"/>
                      <w:szCs w:val="21"/>
                      <w:highlight w:val="none"/>
                      <w:lang w:val="en-US" w:eastAsia="zh-CN"/>
                    </w:rPr>
                  </w:pPr>
                  <w:r>
                    <w:rPr>
                      <w:rFonts w:hint="eastAsia"/>
                      <w:color w:val="000000"/>
                      <w:sz w:val="21"/>
                      <w:szCs w:val="21"/>
                      <w:highlight w:val="none"/>
                      <w:lang w:val="en-US" w:eastAsia="zh-CN"/>
                    </w:rPr>
                    <w:t>1</w:t>
                  </w:r>
                </w:p>
              </w:tc>
              <w:tc>
                <w:tcPr>
                  <w:tcW w:w="816" w:type="pct"/>
                  <w:tcBorders>
                    <w:tl2br w:val="nil"/>
                    <w:tr2bl w:val="nil"/>
                  </w:tcBorders>
                  <w:shd w:val="clear" w:color="auto" w:fill="auto"/>
                  <w:noWrap w:val="0"/>
                  <w:vAlign w:val="center"/>
                </w:tcPr>
                <w:p w14:paraId="594B00C1">
                  <w:pPr>
                    <w:shd w:val="clear" w:color="auto" w:fill="auto"/>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废机油</w:t>
                  </w:r>
                </w:p>
              </w:tc>
              <w:tc>
                <w:tcPr>
                  <w:tcW w:w="530" w:type="pct"/>
                  <w:tcBorders>
                    <w:tl2br w:val="nil"/>
                    <w:tr2bl w:val="nil"/>
                  </w:tcBorders>
                  <w:shd w:val="clear" w:color="auto" w:fill="auto"/>
                  <w:noWrap w:val="0"/>
                  <w:vAlign w:val="center"/>
                </w:tcPr>
                <w:p w14:paraId="5F3EACB4">
                  <w:pPr>
                    <w:shd w:val="clear" w:color="auto" w:fill="auto"/>
                    <w:jc w:val="center"/>
                    <w:rPr>
                      <w:rFonts w:hint="eastAsia"/>
                      <w:color w:val="000000"/>
                      <w:sz w:val="21"/>
                      <w:szCs w:val="21"/>
                      <w:highlight w:val="none"/>
                    </w:rPr>
                  </w:pPr>
                  <w:r>
                    <w:rPr>
                      <w:color w:val="000000"/>
                      <w:sz w:val="21"/>
                      <w:szCs w:val="21"/>
                      <w:highlight w:val="none"/>
                    </w:rPr>
                    <w:t>液态</w:t>
                  </w:r>
                </w:p>
              </w:tc>
              <w:tc>
                <w:tcPr>
                  <w:tcW w:w="1087" w:type="pct"/>
                  <w:tcBorders>
                    <w:tl2br w:val="nil"/>
                    <w:tr2bl w:val="nil"/>
                  </w:tcBorders>
                  <w:shd w:val="clear" w:color="auto" w:fill="auto"/>
                  <w:noWrap w:val="0"/>
                  <w:vAlign w:val="center"/>
                </w:tcPr>
                <w:p w14:paraId="3088AAF8">
                  <w:pPr>
                    <w:shd w:val="clear" w:color="auto" w:fill="auto"/>
                    <w:jc w:val="center"/>
                    <w:outlineLvl w:val="2"/>
                    <w:rPr>
                      <w:rFonts w:hint="default" w:eastAsia="宋体"/>
                      <w:color w:val="000000"/>
                      <w:sz w:val="21"/>
                      <w:szCs w:val="21"/>
                      <w:highlight w:val="none"/>
                      <w:lang w:val="en-US" w:eastAsia="zh-CN"/>
                    </w:rPr>
                  </w:pPr>
                  <w:r>
                    <w:rPr>
                      <w:rFonts w:hint="eastAsia"/>
                      <w:color w:val="000000"/>
                      <w:sz w:val="21"/>
                      <w:szCs w:val="21"/>
                      <w:highlight w:val="none"/>
                      <w:lang w:val="en-US" w:eastAsia="zh-CN"/>
                    </w:rPr>
                    <w:t>危险废物贮存间</w:t>
                  </w:r>
                </w:p>
              </w:tc>
              <w:tc>
                <w:tcPr>
                  <w:tcW w:w="2105" w:type="pct"/>
                  <w:tcBorders>
                    <w:tl2br w:val="nil"/>
                    <w:tr2bl w:val="nil"/>
                  </w:tcBorders>
                  <w:shd w:val="clear" w:color="auto" w:fill="auto"/>
                  <w:noWrap w:val="0"/>
                  <w:vAlign w:val="center"/>
                </w:tcPr>
                <w:p w14:paraId="50E6F22A">
                  <w:pPr>
                    <w:shd w:val="clear" w:color="auto" w:fill="auto"/>
                    <w:jc w:val="center"/>
                    <w:outlineLvl w:val="2"/>
                    <w:rPr>
                      <w:rFonts w:hint="default" w:eastAsia="宋体"/>
                      <w:color w:val="000000"/>
                      <w:sz w:val="21"/>
                      <w:szCs w:val="21"/>
                      <w:highlight w:val="none"/>
                      <w:lang w:val="en-US" w:eastAsia="zh-CN"/>
                    </w:rPr>
                  </w:pPr>
                  <w:r>
                    <w:rPr>
                      <w:rFonts w:hint="eastAsia"/>
                      <w:color w:val="000000"/>
                      <w:sz w:val="21"/>
                      <w:szCs w:val="21"/>
                      <w:highlight w:val="none"/>
                      <w:lang w:val="en-US" w:eastAsia="zh-CN"/>
                    </w:rPr>
                    <w:t>非正常情况下，通过垂直入渗的方式污染土壤和地下水。</w:t>
                  </w:r>
                </w:p>
              </w:tc>
            </w:tr>
            <w:tr w14:paraId="6E94D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460" w:type="pct"/>
                  <w:tcBorders>
                    <w:tl2br w:val="nil"/>
                    <w:tr2bl w:val="nil"/>
                  </w:tcBorders>
                  <w:shd w:val="clear" w:color="auto" w:fill="auto"/>
                  <w:noWrap w:val="0"/>
                  <w:vAlign w:val="center"/>
                </w:tcPr>
                <w:p w14:paraId="354935A5">
                  <w:pPr>
                    <w:shd w:val="clear" w:color="auto" w:fill="auto"/>
                    <w:jc w:val="center"/>
                    <w:rPr>
                      <w:rFonts w:hint="eastAsia" w:eastAsia="宋体"/>
                      <w:color w:val="000000"/>
                      <w:sz w:val="21"/>
                      <w:szCs w:val="21"/>
                      <w:highlight w:val="none"/>
                      <w:lang w:val="en-US" w:eastAsia="zh-CN"/>
                    </w:rPr>
                  </w:pPr>
                  <w:r>
                    <w:rPr>
                      <w:rFonts w:hint="eastAsia"/>
                      <w:color w:val="000000"/>
                      <w:sz w:val="21"/>
                      <w:szCs w:val="21"/>
                      <w:highlight w:val="none"/>
                      <w:lang w:val="en-US" w:eastAsia="zh-CN"/>
                    </w:rPr>
                    <w:t>2</w:t>
                  </w:r>
                </w:p>
              </w:tc>
              <w:tc>
                <w:tcPr>
                  <w:tcW w:w="816" w:type="pct"/>
                  <w:tcBorders>
                    <w:tl2br w:val="nil"/>
                    <w:tr2bl w:val="nil"/>
                  </w:tcBorders>
                  <w:shd w:val="clear" w:color="auto" w:fill="auto"/>
                  <w:noWrap w:val="0"/>
                  <w:vAlign w:val="center"/>
                </w:tcPr>
                <w:p w14:paraId="512A758D">
                  <w:pPr>
                    <w:shd w:val="clear" w:color="auto" w:fill="auto"/>
                    <w:jc w:val="center"/>
                    <w:rPr>
                      <w:rFonts w:hint="eastAsia" w:eastAsia="宋体"/>
                      <w:color w:val="000000"/>
                      <w:sz w:val="21"/>
                      <w:szCs w:val="21"/>
                      <w:highlight w:val="none"/>
                      <w:lang w:val="en-US" w:eastAsia="zh-CN"/>
                    </w:rPr>
                  </w:pPr>
                  <w:r>
                    <w:rPr>
                      <w:rFonts w:hint="eastAsia"/>
                      <w:color w:val="000000"/>
                      <w:sz w:val="21"/>
                      <w:szCs w:val="21"/>
                      <w:highlight w:val="none"/>
                      <w:lang w:val="en-US" w:eastAsia="zh-CN"/>
                    </w:rPr>
                    <w:t>乙醇</w:t>
                  </w:r>
                </w:p>
              </w:tc>
              <w:tc>
                <w:tcPr>
                  <w:tcW w:w="530" w:type="pct"/>
                  <w:tcBorders>
                    <w:tl2br w:val="nil"/>
                    <w:tr2bl w:val="nil"/>
                  </w:tcBorders>
                  <w:shd w:val="clear" w:color="auto" w:fill="auto"/>
                  <w:noWrap w:val="0"/>
                  <w:vAlign w:val="center"/>
                </w:tcPr>
                <w:p w14:paraId="0D75AB22">
                  <w:pPr>
                    <w:shd w:val="clear" w:color="auto" w:fill="auto"/>
                    <w:jc w:val="center"/>
                    <w:rPr>
                      <w:color w:val="000000"/>
                      <w:sz w:val="21"/>
                      <w:szCs w:val="21"/>
                      <w:highlight w:val="none"/>
                    </w:rPr>
                  </w:pPr>
                  <w:r>
                    <w:rPr>
                      <w:color w:val="000000"/>
                      <w:sz w:val="21"/>
                      <w:szCs w:val="21"/>
                      <w:highlight w:val="none"/>
                    </w:rPr>
                    <w:t>液态</w:t>
                  </w:r>
                </w:p>
              </w:tc>
              <w:tc>
                <w:tcPr>
                  <w:tcW w:w="1087" w:type="pct"/>
                  <w:tcBorders>
                    <w:tl2br w:val="nil"/>
                    <w:tr2bl w:val="nil"/>
                  </w:tcBorders>
                  <w:shd w:val="clear" w:color="auto" w:fill="auto"/>
                  <w:noWrap w:val="0"/>
                  <w:vAlign w:val="center"/>
                </w:tcPr>
                <w:p w14:paraId="54702CF2">
                  <w:pPr>
                    <w:shd w:val="clear" w:color="auto" w:fill="auto"/>
                    <w:jc w:val="center"/>
                    <w:outlineLvl w:val="2"/>
                    <w:rPr>
                      <w:rFonts w:hint="default" w:eastAsia="宋体"/>
                      <w:color w:val="000000"/>
                      <w:sz w:val="21"/>
                      <w:szCs w:val="21"/>
                      <w:highlight w:val="none"/>
                      <w:lang w:val="en-US" w:eastAsia="zh-CN"/>
                    </w:rPr>
                  </w:pPr>
                  <w:r>
                    <w:rPr>
                      <w:rFonts w:hint="eastAsia"/>
                      <w:color w:val="000000"/>
                      <w:sz w:val="21"/>
                      <w:szCs w:val="21"/>
                      <w:highlight w:val="none"/>
                      <w:lang w:val="en-US" w:eastAsia="zh-CN"/>
                    </w:rPr>
                    <w:t>酒罐区</w:t>
                  </w:r>
                </w:p>
              </w:tc>
              <w:tc>
                <w:tcPr>
                  <w:tcW w:w="2105" w:type="pct"/>
                  <w:tcBorders>
                    <w:tl2br w:val="nil"/>
                    <w:tr2bl w:val="nil"/>
                  </w:tcBorders>
                  <w:shd w:val="clear" w:color="auto" w:fill="auto"/>
                  <w:noWrap w:val="0"/>
                  <w:vAlign w:val="center"/>
                </w:tcPr>
                <w:p w14:paraId="6E7820F8">
                  <w:pPr>
                    <w:shd w:val="clear" w:color="auto" w:fill="auto"/>
                    <w:jc w:val="center"/>
                    <w:outlineLvl w:val="2"/>
                    <w:rPr>
                      <w:rFonts w:hint="eastAsia" w:eastAsia="宋体"/>
                      <w:color w:val="000000"/>
                      <w:kern w:val="0"/>
                      <w:sz w:val="21"/>
                      <w:szCs w:val="21"/>
                      <w:highlight w:val="none"/>
                      <w:lang w:val="en-US" w:eastAsia="zh-CN"/>
                    </w:rPr>
                  </w:pPr>
                  <w:r>
                    <w:rPr>
                      <w:rFonts w:hint="eastAsia"/>
                      <w:color w:val="000000"/>
                      <w:kern w:val="0"/>
                      <w:sz w:val="21"/>
                      <w:szCs w:val="21"/>
                      <w:highlight w:val="none"/>
                      <w:lang w:val="en-US" w:eastAsia="zh-CN"/>
                    </w:rPr>
                    <w:t>乙醇属于易燃物，当发生火灾事故时，会污染厂区及周边的环境空气</w:t>
                  </w:r>
                  <w:r>
                    <w:rPr>
                      <w:rFonts w:hint="eastAsia"/>
                      <w:lang w:eastAsia="zh-CN"/>
                    </w:rPr>
                    <w:t>。</w:t>
                  </w:r>
                </w:p>
              </w:tc>
            </w:tr>
            <w:tr w14:paraId="188CB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pct"/>
                  <w:tcBorders>
                    <w:tl2br w:val="nil"/>
                    <w:tr2bl w:val="nil"/>
                  </w:tcBorders>
                  <w:shd w:val="clear" w:color="auto" w:fill="auto"/>
                  <w:noWrap w:val="0"/>
                  <w:vAlign w:val="center"/>
                </w:tcPr>
                <w:p w14:paraId="307D68E8">
                  <w:pPr>
                    <w:shd w:val="clear" w:color="auto" w:fill="auto"/>
                    <w:jc w:val="center"/>
                    <w:rPr>
                      <w:rFonts w:hint="default"/>
                      <w:color w:val="000000"/>
                      <w:sz w:val="21"/>
                      <w:szCs w:val="21"/>
                      <w:highlight w:val="none"/>
                      <w:lang w:val="en-US" w:eastAsia="zh-CN"/>
                    </w:rPr>
                  </w:pPr>
                  <w:r>
                    <w:rPr>
                      <w:rFonts w:hint="eastAsia"/>
                      <w:color w:val="000000"/>
                      <w:sz w:val="21"/>
                      <w:szCs w:val="21"/>
                      <w:highlight w:val="none"/>
                      <w:lang w:val="en-US" w:eastAsia="zh-CN"/>
                    </w:rPr>
                    <w:t>3</w:t>
                  </w:r>
                </w:p>
              </w:tc>
              <w:tc>
                <w:tcPr>
                  <w:tcW w:w="816" w:type="pct"/>
                  <w:tcBorders>
                    <w:tl2br w:val="nil"/>
                    <w:tr2bl w:val="nil"/>
                  </w:tcBorders>
                  <w:shd w:val="clear" w:color="auto" w:fill="auto"/>
                  <w:noWrap w:val="0"/>
                  <w:vAlign w:val="center"/>
                </w:tcPr>
                <w:p w14:paraId="41893F72">
                  <w:pPr>
                    <w:shd w:val="clear" w:color="auto" w:fill="auto"/>
                    <w:jc w:val="center"/>
                    <w:rPr>
                      <w:rFonts w:hint="eastAsia"/>
                      <w:color w:val="000000"/>
                      <w:sz w:val="21"/>
                      <w:szCs w:val="21"/>
                      <w:highlight w:val="none"/>
                      <w:lang w:val="en-US" w:eastAsia="zh-CN"/>
                    </w:rPr>
                  </w:pPr>
                  <w:r>
                    <w:rPr>
                      <w:rFonts w:hint="eastAsia"/>
                      <w:color w:val="000000"/>
                      <w:sz w:val="21"/>
                      <w:szCs w:val="21"/>
                      <w:highlight w:val="none"/>
                      <w:lang w:val="en-US" w:eastAsia="zh-CN"/>
                    </w:rPr>
                    <w:t>天然气</w:t>
                  </w:r>
                </w:p>
              </w:tc>
              <w:tc>
                <w:tcPr>
                  <w:tcW w:w="530" w:type="pct"/>
                  <w:tcBorders>
                    <w:tl2br w:val="nil"/>
                    <w:tr2bl w:val="nil"/>
                  </w:tcBorders>
                  <w:shd w:val="clear" w:color="auto" w:fill="auto"/>
                  <w:noWrap w:val="0"/>
                  <w:vAlign w:val="center"/>
                </w:tcPr>
                <w:p w14:paraId="732072B6">
                  <w:pPr>
                    <w:shd w:val="clear" w:color="auto" w:fill="auto"/>
                    <w:jc w:val="center"/>
                    <w:rPr>
                      <w:rFonts w:hint="eastAsia" w:eastAsia="宋体"/>
                      <w:color w:val="000000"/>
                      <w:sz w:val="21"/>
                      <w:szCs w:val="21"/>
                      <w:highlight w:val="none"/>
                      <w:lang w:val="en-US" w:eastAsia="zh-CN"/>
                    </w:rPr>
                  </w:pPr>
                  <w:r>
                    <w:rPr>
                      <w:rFonts w:hint="eastAsia"/>
                      <w:color w:val="000000"/>
                      <w:sz w:val="21"/>
                      <w:szCs w:val="21"/>
                      <w:highlight w:val="none"/>
                      <w:lang w:val="en-US" w:eastAsia="zh-CN"/>
                    </w:rPr>
                    <w:t>气态</w:t>
                  </w:r>
                </w:p>
              </w:tc>
              <w:tc>
                <w:tcPr>
                  <w:tcW w:w="1087" w:type="pct"/>
                  <w:tcBorders>
                    <w:tl2br w:val="nil"/>
                    <w:tr2bl w:val="nil"/>
                  </w:tcBorders>
                  <w:shd w:val="clear" w:color="auto" w:fill="auto"/>
                  <w:noWrap w:val="0"/>
                  <w:vAlign w:val="center"/>
                </w:tcPr>
                <w:p w14:paraId="65101B40">
                  <w:pPr>
                    <w:shd w:val="clear" w:color="auto" w:fill="auto"/>
                    <w:jc w:val="center"/>
                    <w:outlineLvl w:val="2"/>
                    <w:rPr>
                      <w:rFonts w:hint="default"/>
                      <w:color w:val="000000"/>
                      <w:sz w:val="21"/>
                      <w:szCs w:val="21"/>
                      <w:highlight w:val="none"/>
                      <w:lang w:val="en-US" w:eastAsia="zh-CN"/>
                    </w:rPr>
                  </w:pPr>
                  <w:r>
                    <w:rPr>
                      <w:rFonts w:hint="eastAsia"/>
                      <w:color w:val="000000"/>
                      <w:sz w:val="21"/>
                      <w:szCs w:val="21"/>
                      <w:highlight w:val="none"/>
                      <w:lang w:val="en-US" w:eastAsia="zh-CN"/>
                    </w:rPr>
                    <w:t>天然气管道</w:t>
                  </w:r>
                </w:p>
              </w:tc>
              <w:tc>
                <w:tcPr>
                  <w:tcW w:w="2105" w:type="pct"/>
                  <w:tcBorders>
                    <w:tl2br w:val="nil"/>
                    <w:tr2bl w:val="nil"/>
                  </w:tcBorders>
                  <w:shd w:val="clear" w:color="auto" w:fill="auto"/>
                  <w:noWrap w:val="0"/>
                  <w:vAlign w:val="center"/>
                </w:tcPr>
                <w:p w14:paraId="697B447C">
                  <w:pPr>
                    <w:shd w:val="clear" w:color="auto" w:fill="auto"/>
                    <w:jc w:val="center"/>
                    <w:outlineLvl w:val="2"/>
                    <w:rPr>
                      <w:rFonts w:hint="eastAsia" w:eastAsia="宋体"/>
                      <w:color w:val="000000"/>
                      <w:kern w:val="0"/>
                      <w:sz w:val="21"/>
                      <w:szCs w:val="21"/>
                      <w:highlight w:val="none"/>
                      <w:lang w:val="en-US" w:eastAsia="zh-CN"/>
                    </w:rPr>
                  </w:pPr>
                  <w:r>
                    <w:rPr>
                      <w:rFonts w:hint="eastAsia"/>
                      <w:color w:val="000000"/>
                      <w:kern w:val="0"/>
                      <w:sz w:val="21"/>
                      <w:szCs w:val="21"/>
                      <w:highlight w:val="none"/>
                      <w:lang w:val="en-US" w:eastAsia="zh-CN"/>
                    </w:rPr>
                    <w:t>属于易燃物，当发生火灾事故时，会污染厂区及周边的环境空气</w:t>
                  </w:r>
                  <w:r>
                    <w:rPr>
                      <w:rFonts w:hint="eastAsia"/>
                      <w:lang w:eastAsia="zh-CN"/>
                    </w:rPr>
                    <w:t>。</w:t>
                  </w:r>
                </w:p>
              </w:tc>
            </w:tr>
          </w:tbl>
          <w:p w14:paraId="4042D4A3">
            <w:pPr>
              <w:shd w:val="clear" w:color="auto" w:fill="auto"/>
              <w:spacing w:line="360" w:lineRule="auto"/>
              <w:ind w:firstLine="420" w:firstLineChars="200"/>
              <w:rPr>
                <w:color w:val="000000"/>
                <w:sz w:val="21"/>
                <w:szCs w:val="21"/>
                <w:highlight w:val="none"/>
              </w:rPr>
            </w:pPr>
            <w:r>
              <w:rPr>
                <w:color w:val="000000"/>
                <w:sz w:val="21"/>
                <w:szCs w:val="21"/>
                <w:highlight w:val="none"/>
              </w:rPr>
              <w:t>（4）环境风险防范措施</w:t>
            </w:r>
          </w:p>
          <w:p w14:paraId="6CB3A29E">
            <w:pPr>
              <w:keepNext w:val="0"/>
              <w:keepLines w:val="0"/>
              <w:pageBreakBefore w:val="0"/>
              <w:widowControl/>
              <w:numPr>
                <w:ilvl w:val="0"/>
                <w:numId w:val="7"/>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火灾爆炸风险防治措施为防止火灾爆炸产生的风险，建议建设单位采取如下措施：</w:t>
            </w:r>
          </w:p>
          <w:p w14:paraId="026E720A">
            <w:pPr>
              <w:keepNext w:val="0"/>
              <w:keepLines w:val="0"/>
              <w:pageBreakBefore w:val="0"/>
              <w:widowControl/>
              <w:numPr>
                <w:ilvl w:val="0"/>
                <w:numId w:val="0"/>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cs="Times New Roman"/>
                <w:b/>
                <w:bCs/>
                <w:color w:val="000000"/>
                <w:sz w:val="21"/>
                <w:szCs w:val="21"/>
                <w:highlight w:val="none"/>
              </w:rPr>
            </w:pPr>
            <w:r>
              <w:rPr>
                <w:rFonts w:hint="default" w:ascii="Times New Roman" w:hAnsi="Times New Roman" w:eastAsia="宋体" w:cs="Times New Roman"/>
                <w:color w:val="000000"/>
                <w:sz w:val="21"/>
                <w:szCs w:val="21"/>
                <w:highlight w:val="none"/>
              </w:rPr>
              <w:t>A</w:t>
            </w:r>
            <w:r>
              <w:rPr>
                <w:rFonts w:hint="eastAsia" w:cs="Times New Roman"/>
                <w:color w:val="000000"/>
                <w:sz w:val="21"/>
                <w:szCs w:val="21"/>
                <w:highlight w:val="none"/>
                <w:lang w:eastAsia="zh-CN"/>
              </w:rPr>
              <w:t>.</w:t>
            </w:r>
            <w:r>
              <w:rPr>
                <w:rFonts w:hint="default" w:ascii="Times New Roman" w:hAnsi="Times New Roman" w:eastAsia="宋体" w:cs="Times New Roman"/>
                <w:color w:val="000000"/>
                <w:sz w:val="21"/>
                <w:szCs w:val="21"/>
                <w:highlight w:val="none"/>
              </w:rPr>
              <w:t>规范</w:t>
            </w:r>
            <w:r>
              <w:rPr>
                <w:rFonts w:hint="eastAsia" w:ascii="Times New Roman" w:hAnsi="Times New Roman" w:eastAsia="宋体" w:cs="Times New Roman"/>
                <w:color w:val="000000"/>
                <w:sz w:val="21"/>
                <w:szCs w:val="21"/>
                <w:highlight w:val="none"/>
                <w:lang w:val="en-US" w:eastAsia="zh-CN"/>
              </w:rPr>
              <w:t>易燃物品</w:t>
            </w:r>
            <w:r>
              <w:rPr>
                <w:rFonts w:hint="default" w:ascii="Times New Roman" w:hAnsi="Times New Roman" w:eastAsia="宋体" w:cs="Times New Roman"/>
                <w:color w:val="000000"/>
                <w:sz w:val="21"/>
                <w:szCs w:val="21"/>
                <w:highlight w:val="none"/>
              </w:rPr>
              <w:t>的存储，储存于阴凉处，远离热源、火源；设置醒目的防火、禁止吸烟及明火标志。</w:t>
            </w:r>
          </w:p>
          <w:p w14:paraId="5207728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B</w:t>
            </w:r>
            <w:r>
              <w:rPr>
                <w:rFonts w:hint="eastAsia" w:cs="Times New Roman"/>
                <w:color w:val="000000"/>
                <w:sz w:val="21"/>
                <w:szCs w:val="21"/>
                <w:highlight w:val="none"/>
                <w:lang w:eastAsia="zh-CN"/>
              </w:rPr>
              <w:t>.</w:t>
            </w:r>
            <w:r>
              <w:rPr>
                <w:rFonts w:hint="default" w:ascii="Times New Roman" w:hAnsi="Times New Roman" w:eastAsia="宋体" w:cs="Times New Roman"/>
                <w:color w:val="000000"/>
                <w:sz w:val="21"/>
                <w:szCs w:val="21"/>
                <w:highlight w:val="none"/>
              </w:rPr>
              <w:t>防止机械（撞击、摩擦）着火源，控制高温物体着火源、电气着火源及化学着火源；建立防爆检测和报警系统。</w:t>
            </w:r>
          </w:p>
          <w:p w14:paraId="00C4095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lang w:val="en-US" w:eastAsia="zh-CN"/>
              </w:rPr>
              <w:t>C</w:t>
            </w:r>
            <w:r>
              <w:rPr>
                <w:rFonts w:hint="eastAsia"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rPr>
              <w:t>厂房保持通风良好，规划平面布局并设置消防通道。</w:t>
            </w:r>
          </w:p>
          <w:p w14:paraId="17D721F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lang w:val="en-US" w:eastAsia="zh-CN"/>
              </w:rPr>
              <w:t>D</w:t>
            </w:r>
            <w:r>
              <w:rPr>
                <w:rFonts w:hint="eastAsia"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rPr>
              <w:t>定期检查检测设备、照明电路等，做好电气安全措施，设置防静电措施。</w:t>
            </w:r>
          </w:p>
          <w:p w14:paraId="28CC2C64">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lang w:val="en-US" w:eastAsia="zh-CN"/>
              </w:rPr>
              <w:t>E</w:t>
            </w:r>
            <w:r>
              <w:rPr>
                <w:rFonts w:hint="eastAsia"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rPr>
              <w:t>安装可燃气体报警装置、火灾自动报警、水喷雾自动灭火系统，设置防爆风机；可燃气体报警器信号与燃气总电动快速切断阀、事故排风风机连锁，水喷雾系统与火灾自动报警系统连锁。严格执行《建筑设计防火规范》（GB50016-2014）等相关要求，按有关安全规定配备使用、有效和足够的消防器材，以便能在起火之处迅速扑灭；配备必要的救灾防毒器具及防护用品。燃烧起火后使用消防沙扑灭，可使用干粉、二氧化碳、泡沫灭火剂。凡禁火区均设置明显标志牌。各种易燃易爆物料均</w:t>
            </w:r>
            <w:r>
              <w:t>应储存</w:t>
            </w:r>
            <w:r>
              <w:rPr>
                <w:rFonts w:hint="default" w:ascii="Times New Roman" w:hAnsi="Times New Roman" w:eastAsia="宋体" w:cs="Times New Roman"/>
                <w:color w:val="000000"/>
                <w:sz w:val="21"/>
                <w:szCs w:val="21"/>
                <w:highlight w:val="none"/>
              </w:rPr>
              <w:t>在阴凉、通风处，远离火源，避免与强氧化剂接触。</w:t>
            </w:r>
          </w:p>
          <w:p w14:paraId="1C28296C">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eastAsia="宋体" w:cs="Times New Roman"/>
                <w:color w:val="000000"/>
                <w:sz w:val="21"/>
                <w:szCs w:val="21"/>
                <w:highlight w:val="none"/>
              </w:rPr>
            </w:pPr>
            <w:r>
              <w:rPr>
                <w:rFonts w:hint="eastAsia" w:ascii="Times New Roman" w:hAnsi="Times New Roman" w:eastAsia="宋体" w:cs="Times New Roman"/>
                <w:color w:val="000000"/>
                <w:sz w:val="21"/>
                <w:szCs w:val="21"/>
                <w:highlight w:val="none"/>
                <w:lang w:val="en-US" w:eastAsia="zh-CN"/>
              </w:rPr>
              <w:t>F</w:t>
            </w:r>
            <w:r>
              <w:rPr>
                <w:rFonts w:hint="eastAsia"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rPr>
              <w:t>天然气管道设置流量计和快速切断阀、自力式调节阀等。天然气调压站</w:t>
            </w:r>
            <w:r>
              <w:t>自动控制系统</w:t>
            </w:r>
            <w:r>
              <w:rPr>
                <w:rFonts w:hint="default" w:ascii="Times New Roman" w:hAnsi="Times New Roman" w:eastAsia="宋体" w:cs="Times New Roman"/>
                <w:color w:val="000000"/>
                <w:sz w:val="21"/>
                <w:szCs w:val="21"/>
                <w:highlight w:val="none"/>
              </w:rPr>
              <w:t>；</w:t>
            </w:r>
            <w:r>
              <w:t>控制系统可</w:t>
            </w:r>
            <w:r>
              <w:rPr>
                <w:rFonts w:hint="default" w:ascii="Times New Roman" w:hAnsi="Times New Roman" w:eastAsia="宋体" w:cs="Times New Roman"/>
                <w:color w:val="000000"/>
                <w:sz w:val="21"/>
                <w:szCs w:val="21"/>
                <w:highlight w:val="none"/>
              </w:rPr>
              <w:t>实时监视。锅炉等设备</w:t>
            </w:r>
            <w:r>
              <w:rPr>
                <w:rFonts w:hint="eastAsia" w:cs="Times New Roman"/>
                <w:color w:val="000000"/>
                <w:sz w:val="21"/>
                <w:szCs w:val="21"/>
                <w:highlight w:val="none"/>
                <w:lang w:val="en-US" w:eastAsia="zh-CN"/>
              </w:rPr>
              <w:t>有</w:t>
            </w:r>
            <w:r>
              <w:rPr>
                <w:rFonts w:hint="default" w:ascii="Times New Roman" w:hAnsi="Times New Roman" w:eastAsia="宋体" w:cs="Times New Roman"/>
                <w:color w:val="000000"/>
                <w:sz w:val="21"/>
                <w:szCs w:val="21"/>
                <w:highlight w:val="none"/>
              </w:rPr>
              <w:t>工作接地、保护接地、防雷接地、防静电接地的共同接地系统，接地系统安全可靠。</w:t>
            </w:r>
          </w:p>
          <w:p w14:paraId="3726A03E">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2）危险废物泄漏风险防治措施</w:t>
            </w:r>
          </w:p>
          <w:p w14:paraId="718B25C6">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A</w:t>
            </w:r>
            <w:r>
              <w:rPr>
                <w:rFonts w:hint="eastAsia"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rPr>
              <w:t>对危险废物暂存室做好防渗、漫坡等防护措施。</w:t>
            </w:r>
          </w:p>
          <w:p w14:paraId="28888BF4">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B</w:t>
            </w:r>
            <w:r>
              <w:rPr>
                <w:rFonts w:hint="eastAsia" w:cs="Times New Roman"/>
                <w:color w:val="000000"/>
                <w:sz w:val="21"/>
                <w:szCs w:val="21"/>
                <w:highlight w:val="none"/>
                <w:lang w:val="en-US" w:eastAsia="zh-CN"/>
              </w:rPr>
              <w:t>.</w:t>
            </w:r>
            <w:r>
              <w:rPr>
                <w:rFonts w:hint="eastAsia" w:ascii="Times New Roman" w:hAnsi="Times New Roman" w:eastAsia="宋体" w:cs="Times New Roman"/>
                <w:color w:val="000000"/>
                <w:sz w:val="21"/>
                <w:szCs w:val="21"/>
                <w:highlight w:val="none"/>
                <w:lang w:val="en-US" w:eastAsia="zh-CN"/>
              </w:rPr>
              <w:t>建立危废存储、处置管理制度。</w:t>
            </w:r>
          </w:p>
          <w:p w14:paraId="1EDCB8B2">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（5）其他风险防范措施</w:t>
            </w:r>
          </w:p>
          <w:p w14:paraId="25643CCF">
            <w:pPr>
              <w:keepNext w:val="0"/>
              <w:keepLines w:val="0"/>
              <w:pageBreakBefore w:val="0"/>
              <w:widowControl w:val="0"/>
              <w:numPr>
                <w:ilvl w:val="0"/>
                <w:numId w:val="0"/>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①强化管理是防范风险事故最有效途径。从发生事故原因来看，事故的发生多为违反操作规程，疏于管理所致。因此本项目建设及生产运行过程中，必须加强对全体职工的安全和技术的定期培训，在项目进行的各个环节均采取有效的安全监控措施，使出现事故的概率降至最低。</w:t>
            </w:r>
          </w:p>
          <w:p w14:paraId="32C1BF78">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②本项目应健全一套事故风险应急管理组织机构，制定安全规程、事故防范措施及应急预案。管理人员应职责明确、</w:t>
            </w:r>
            <w:r>
              <w:rPr>
                <w:rFonts w:hint="eastAsia" w:cs="Times New Roman"/>
                <w:color w:val="000000"/>
                <w:sz w:val="21"/>
                <w:szCs w:val="21"/>
                <w:highlight w:val="none"/>
                <w:lang w:eastAsia="zh-CN"/>
              </w:rPr>
              <w:t>权责</w:t>
            </w:r>
            <w:r>
              <w:rPr>
                <w:rFonts w:hint="default" w:ascii="Times New Roman" w:hAnsi="Times New Roman" w:cs="Times New Roman"/>
                <w:color w:val="000000"/>
                <w:sz w:val="21"/>
                <w:szCs w:val="21"/>
                <w:highlight w:val="none"/>
              </w:rPr>
              <w:t>分明，清楚生产工艺技术和事故风险发</w:t>
            </w:r>
            <w:r>
              <w:rPr>
                <w:rFonts w:hint="eastAsia" w:cs="Times New Roman"/>
                <w:color w:val="000000"/>
                <w:sz w:val="21"/>
                <w:szCs w:val="21"/>
                <w:highlight w:val="none"/>
                <w:lang w:eastAsia="zh-CN"/>
              </w:rPr>
              <w:t>生的</w:t>
            </w:r>
            <w:r>
              <w:rPr>
                <w:rFonts w:hint="default" w:ascii="Times New Roman" w:hAnsi="Times New Roman" w:cs="Times New Roman"/>
                <w:color w:val="000000"/>
                <w:sz w:val="21"/>
                <w:szCs w:val="21"/>
                <w:highlight w:val="none"/>
              </w:rPr>
              <w:t>后果，具备解除事故和减缓事故的能力。</w:t>
            </w:r>
          </w:p>
          <w:p w14:paraId="1D74E65B">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③严格执行设备的维护保养制度，定期对设备装置进行检查，及时处理不安全因素，将其消灭在萌芽状态。各项应急处理器材与设施（如提升泵、灭火器</w:t>
            </w:r>
            <w:r>
              <w:rPr>
                <w:rFonts w:hint="eastAsia" w:cs="Times New Roman"/>
                <w:color w:val="000000"/>
                <w:sz w:val="21"/>
                <w:szCs w:val="21"/>
                <w:highlight w:val="none"/>
                <w:lang w:eastAsia="zh-CN"/>
              </w:rPr>
              <w:t>、</w:t>
            </w:r>
            <w:r>
              <w:rPr>
                <w:rFonts w:hint="default" w:ascii="Times New Roman" w:hAnsi="Times New Roman" w:cs="Times New Roman"/>
                <w:color w:val="000000"/>
                <w:sz w:val="21"/>
                <w:szCs w:val="21"/>
                <w:highlight w:val="none"/>
              </w:rPr>
              <w:t>防毒面具、呼吸器等）也必须经常保持处于完好状态。</w:t>
            </w:r>
          </w:p>
          <w:p w14:paraId="428E7BE1">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④若发生突发事故，应及时</w:t>
            </w:r>
            <w:r>
              <w:rPr>
                <w:rFonts w:hint="eastAsia" w:ascii="Times New Roman" w:hAnsi="Times New Roman" w:cs="Times New Roman"/>
                <w:color w:val="000000"/>
                <w:sz w:val="21"/>
                <w:szCs w:val="21"/>
                <w:highlight w:val="none"/>
                <w:lang w:val="en-US" w:eastAsia="zh-CN"/>
              </w:rPr>
              <w:t>发出</w:t>
            </w:r>
            <w:r>
              <w:rPr>
                <w:rFonts w:hint="default" w:ascii="Times New Roman" w:hAnsi="Times New Roman" w:cs="Times New Roman"/>
                <w:color w:val="000000"/>
                <w:sz w:val="21"/>
                <w:szCs w:val="21"/>
                <w:highlight w:val="none"/>
              </w:rPr>
              <w:t>报警信号，请有关部门（消防队</w:t>
            </w:r>
            <w:r>
              <w:rPr>
                <w:rFonts w:hint="eastAsia" w:cs="Times New Roman"/>
                <w:color w:val="000000"/>
                <w:sz w:val="21"/>
                <w:szCs w:val="21"/>
                <w:highlight w:val="none"/>
                <w:lang w:eastAsia="zh-CN"/>
              </w:rPr>
              <w:t>、</w:t>
            </w:r>
            <w:r>
              <w:rPr>
                <w:rFonts w:hint="default" w:ascii="Times New Roman" w:hAnsi="Times New Roman" w:cs="Times New Roman"/>
                <w:color w:val="000000"/>
                <w:sz w:val="21"/>
                <w:szCs w:val="21"/>
                <w:highlight w:val="none"/>
              </w:rPr>
              <w:t>急救中心</w:t>
            </w:r>
            <w:r>
              <w:rPr>
                <w:rFonts w:hint="eastAsia" w:cs="Times New Roman"/>
                <w:color w:val="000000"/>
                <w:sz w:val="21"/>
                <w:szCs w:val="21"/>
                <w:highlight w:val="none"/>
                <w:lang w:eastAsia="zh-CN"/>
              </w:rPr>
              <w:t>、</w:t>
            </w:r>
            <w:r>
              <w:rPr>
                <w:rFonts w:hint="eastAsia" w:ascii="Times New Roman" w:hAnsi="Times New Roman" w:cs="Times New Roman"/>
                <w:color w:val="000000"/>
                <w:sz w:val="21"/>
                <w:szCs w:val="21"/>
                <w:highlight w:val="none"/>
                <w:lang w:val="en-US" w:eastAsia="zh-CN"/>
              </w:rPr>
              <w:t>环境</w:t>
            </w:r>
            <w:r>
              <w:rPr>
                <w:rFonts w:hint="default" w:ascii="Times New Roman" w:hAnsi="Times New Roman" w:cs="Times New Roman"/>
                <w:color w:val="000000"/>
                <w:sz w:val="21"/>
                <w:szCs w:val="21"/>
                <w:highlight w:val="none"/>
              </w:rPr>
              <w:t>监测站等）前来救援、救护和监测。</w:t>
            </w:r>
            <w:r>
              <w:rPr>
                <w:rFonts w:hint="eastAsia" w:cs="Times New Roman"/>
                <w:color w:val="000000"/>
                <w:sz w:val="21"/>
                <w:szCs w:val="21"/>
                <w:highlight w:val="none"/>
                <w:lang w:eastAsia="zh-CN"/>
              </w:rPr>
              <w:t>事故</w:t>
            </w:r>
            <w:r>
              <w:rPr>
                <w:rFonts w:hint="default" w:ascii="Times New Roman" w:hAnsi="Times New Roman" w:cs="Times New Roman"/>
                <w:color w:val="000000"/>
                <w:sz w:val="21"/>
                <w:szCs w:val="21"/>
                <w:highlight w:val="none"/>
              </w:rPr>
              <w:t>可能波及周围环境时，应及时通知</w:t>
            </w:r>
            <w:r>
              <w:rPr>
                <w:rFonts w:hint="eastAsia" w:ascii="Times New Roman" w:hAnsi="Times New Roman" w:cs="Times New Roman"/>
                <w:color w:val="000000"/>
                <w:sz w:val="21"/>
                <w:szCs w:val="21"/>
                <w:highlight w:val="none"/>
                <w:lang w:val="en-US" w:eastAsia="zh-CN"/>
              </w:rPr>
              <w:t>受</w:t>
            </w:r>
            <w:r>
              <w:rPr>
                <w:rFonts w:hint="default" w:ascii="Times New Roman" w:hAnsi="Times New Roman" w:cs="Times New Roman"/>
                <w:color w:val="000000"/>
                <w:sz w:val="21"/>
                <w:szCs w:val="21"/>
                <w:highlight w:val="none"/>
              </w:rPr>
              <w:t>影响区域的群众撤离到安全地带或采取有效的保护措施，使事故的危害和影响降到最低限度。</w:t>
            </w:r>
          </w:p>
          <w:p w14:paraId="7480D20E">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⑤厂区设置应急事故池1座，容积为50m³，位于原酒储存及勾兑车间北侧，当发生环境风险事故时，用于储存事故废水。</w:t>
            </w:r>
          </w:p>
          <w:p w14:paraId="4C1B6D9D">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000000"/>
                <w:sz w:val="21"/>
                <w:szCs w:val="21"/>
                <w:highlight w:val="none"/>
              </w:rPr>
            </w:pPr>
            <w:r>
              <w:rPr>
                <w:rFonts w:hint="eastAsia" w:ascii="Times New Roman" w:hAnsi="Times New Roman" w:cs="Times New Roman"/>
                <w:color w:val="000000"/>
                <w:sz w:val="21"/>
                <w:szCs w:val="21"/>
                <w:highlight w:val="none"/>
                <w:lang w:val="en-US" w:eastAsia="zh-CN"/>
              </w:rPr>
              <w:t>⑥</w:t>
            </w:r>
            <w:r>
              <w:rPr>
                <w:rFonts w:hint="default" w:ascii="Times New Roman" w:hAnsi="Times New Roman" w:cs="Times New Roman"/>
                <w:color w:val="000000"/>
                <w:sz w:val="21"/>
                <w:szCs w:val="21"/>
                <w:highlight w:val="none"/>
              </w:rPr>
              <w:t>事故一旦得到控制，要对事故的原因进行详细分析，对涉及的各种因素的影响进行评价，并对今后消除和最大限度地减少这些因素提出建议。</w:t>
            </w:r>
          </w:p>
          <w:p w14:paraId="18F8F46D">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hint="eastAsia" w:ascii="Times New Roman" w:hAnsi="Times New Roman" w:eastAsia="宋体" w:cs="Times New Roman"/>
                <w:b/>
                <w:color w:val="000000"/>
                <w:sz w:val="21"/>
                <w:szCs w:val="21"/>
                <w:highlight w:val="none"/>
                <w:lang w:val="en-US" w:eastAsia="zh-CN"/>
              </w:rPr>
            </w:pPr>
            <w:r>
              <w:rPr>
                <w:rFonts w:hint="default" w:ascii="Times New Roman" w:hAnsi="Times New Roman" w:cs="Times New Roman"/>
                <w:color w:val="000000"/>
                <w:sz w:val="21"/>
                <w:szCs w:val="21"/>
                <w:highlight w:val="none"/>
              </w:rPr>
              <w:t>项目在采取上述防范措施后，环境风险水平可接受。</w:t>
            </w:r>
          </w:p>
          <w:p w14:paraId="21474581">
            <w:pPr>
              <w:widowControl/>
              <w:numPr>
                <w:ilvl w:val="0"/>
                <w:numId w:val="0"/>
              </w:numPr>
              <w:shd w:val="clear" w:color="auto" w:fill="auto"/>
              <w:spacing w:line="360" w:lineRule="auto"/>
              <w:ind w:firstLine="422" w:firstLineChars="200"/>
              <w:jc w:val="both"/>
              <w:rPr>
                <w:rFonts w:hint="eastAsia" w:ascii="Times New Roman" w:hAnsi="Times New Roman" w:eastAsia="宋体" w:cs="Times New Roman"/>
                <w:b/>
                <w:color w:val="000000"/>
                <w:sz w:val="21"/>
                <w:szCs w:val="21"/>
                <w:highlight w:val="none"/>
                <w:lang w:val="en-US" w:eastAsia="zh-CN"/>
              </w:rPr>
            </w:pPr>
            <w:r>
              <w:rPr>
                <w:rFonts w:hint="eastAsia" w:ascii="Times New Roman" w:hAnsi="Times New Roman" w:eastAsia="宋体" w:cs="Times New Roman"/>
                <w:b/>
                <w:color w:val="000000"/>
                <w:sz w:val="21"/>
                <w:szCs w:val="21"/>
                <w:highlight w:val="none"/>
                <w:lang w:val="en-US" w:eastAsia="zh-CN"/>
              </w:rPr>
              <w:t>八、环保投资估算</w:t>
            </w:r>
          </w:p>
          <w:p w14:paraId="2BAC9E20">
            <w:pPr>
              <w:keepNext w:val="0"/>
              <w:keepLines w:val="0"/>
              <w:pageBreakBefore w:val="0"/>
              <w:widowControl/>
              <w:shd w:val="clear" w:color="auto" w:fill="auto"/>
              <w:kinsoku/>
              <w:wordWrap/>
              <w:overflowPunct/>
              <w:topLinePunct w:val="0"/>
              <w:autoSpaceDE/>
              <w:autoSpaceDN/>
              <w:bidi w:val="0"/>
              <w:adjustRightInd w:val="0"/>
              <w:snapToGrid w:val="0"/>
              <w:spacing w:line="360" w:lineRule="auto"/>
              <w:ind w:firstLine="420" w:firstLineChars="200"/>
              <w:jc w:val="both"/>
              <w:textAlignment w:val="auto"/>
              <w:rPr>
                <w:rFonts w:ascii="Times New Roman" w:hAnsi="Times New Roman" w:eastAsia="宋体" w:cs="Times New Roman"/>
                <w:color w:val="000000"/>
                <w:sz w:val="21"/>
                <w:szCs w:val="21"/>
                <w:highlight w:val="none"/>
              </w:rPr>
            </w:pPr>
            <w:r>
              <w:rPr>
                <w:color w:val="000000"/>
                <w:sz w:val="21"/>
                <w:szCs w:val="21"/>
                <w:highlight w:val="none"/>
              </w:rPr>
              <w:t>建设单位必须落实环保资金，切实用于废气治理、噪声治理、固废处理等，本项目总投资</w:t>
            </w:r>
            <w:r>
              <w:rPr>
                <w:rFonts w:hint="eastAsia"/>
                <w:color w:val="000000"/>
                <w:sz w:val="21"/>
                <w:szCs w:val="21"/>
                <w:highlight w:val="none"/>
                <w:lang w:val="en-US" w:eastAsia="zh-CN"/>
              </w:rPr>
              <w:t>1000</w:t>
            </w:r>
            <w:r>
              <w:rPr>
                <w:color w:val="000000"/>
                <w:sz w:val="21"/>
                <w:szCs w:val="21"/>
                <w:highlight w:val="none"/>
              </w:rPr>
              <w:t>万元，经估算本项目建设用于环保方面的投资</w:t>
            </w:r>
            <w:r>
              <w:rPr>
                <w:rFonts w:hint="eastAsia"/>
                <w:color w:val="000000"/>
                <w:sz w:val="21"/>
                <w:szCs w:val="21"/>
                <w:highlight w:val="none"/>
                <w:lang w:val="en-US" w:eastAsia="zh-CN"/>
              </w:rPr>
              <w:t>68.2</w:t>
            </w:r>
            <w:r>
              <w:rPr>
                <w:color w:val="000000"/>
                <w:sz w:val="21"/>
                <w:szCs w:val="21"/>
                <w:highlight w:val="none"/>
              </w:rPr>
              <w:t>万元，占本项目总投资的</w:t>
            </w:r>
            <w:r>
              <w:rPr>
                <w:rFonts w:hint="eastAsia"/>
                <w:color w:val="000000"/>
                <w:sz w:val="21"/>
                <w:szCs w:val="21"/>
                <w:highlight w:val="none"/>
                <w:lang w:val="en-US" w:eastAsia="zh-CN"/>
              </w:rPr>
              <w:t>6.82</w:t>
            </w:r>
            <w:r>
              <w:rPr>
                <w:color w:val="000000"/>
                <w:sz w:val="21"/>
                <w:szCs w:val="21"/>
                <w:highlight w:val="none"/>
              </w:rPr>
              <w:t>%</w:t>
            </w:r>
            <w:r>
              <w:rPr>
                <w:rFonts w:hint="eastAsia"/>
                <w:color w:val="000000"/>
                <w:sz w:val="21"/>
                <w:szCs w:val="21"/>
                <w:highlight w:val="none"/>
                <w:lang w:eastAsia="zh-CN"/>
              </w:rPr>
              <w:t>。</w:t>
            </w:r>
            <w:r>
              <w:rPr>
                <w:rFonts w:ascii="Times New Roman" w:hAnsi="Times New Roman" w:eastAsia="宋体" w:cs="Times New Roman"/>
                <w:color w:val="000000"/>
                <w:sz w:val="21"/>
                <w:szCs w:val="21"/>
                <w:highlight w:val="none"/>
              </w:rPr>
              <w:t>具体</w:t>
            </w:r>
            <w:r>
              <w:rPr>
                <w:rFonts w:hint="eastAsia" w:cs="Times New Roman"/>
                <w:color w:val="000000"/>
                <w:sz w:val="21"/>
                <w:szCs w:val="21"/>
                <w:highlight w:val="none"/>
                <w:lang w:val="en-US" w:eastAsia="zh-CN"/>
              </w:rPr>
              <w:t>情况</w:t>
            </w:r>
            <w:r>
              <w:rPr>
                <w:rFonts w:ascii="Times New Roman" w:hAnsi="Times New Roman" w:eastAsia="宋体" w:cs="Times New Roman"/>
                <w:color w:val="000000"/>
                <w:sz w:val="21"/>
                <w:szCs w:val="21"/>
                <w:highlight w:val="none"/>
              </w:rPr>
              <w:t>见</w:t>
            </w:r>
            <w:r>
              <w:rPr>
                <w:rFonts w:hint="eastAsia" w:ascii="Times New Roman" w:hAnsi="Times New Roman" w:eastAsia="宋体" w:cs="Times New Roman"/>
                <w:color w:val="000000"/>
                <w:sz w:val="21"/>
                <w:szCs w:val="21"/>
                <w:highlight w:val="none"/>
                <w:lang w:val="en-US" w:eastAsia="zh-CN"/>
              </w:rPr>
              <w:t>下</w:t>
            </w:r>
            <w:r>
              <w:rPr>
                <w:rFonts w:ascii="Times New Roman" w:hAnsi="Times New Roman" w:eastAsia="宋体" w:cs="Times New Roman"/>
                <w:color w:val="000000"/>
                <w:sz w:val="21"/>
                <w:szCs w:val="21"/>
                <w:highlight w:val="none"/>
              </w:rPr>
              <w:t>表。</w:t>
            </w:r>
          </w:p>
          <w:p w14:paraId="5C42196A">
            <w:pPr>
              <w:keepNext w:val="0"/>
              <w:keepLines w:val="0"/>
              <w:pageBreakBefore w:val="0"/>
              <w:widowControl/>
              <w:shd w:val="clear" w:color="auto" w:fill="auto"/>
              <w:kinsoku/>
              <w:wordWrap/>
              <w:overflowPunct/>
              <w:topLinePunct w:val="0"/>
              <w:autoSpaceDE/>
              <w:autoSpaceDN/>
              <w:bidi w:val="0"/>
              <w:adjustRightInd w:val="0"/>
              <w:snapToGrid w:val="0"/>
              <w:spacing w:line="240" w:lineRule="auto"/>
              <w:jc w:val="center"/>
              <w:textAlignment w:val="auto"/>
              <w:rPr>
                <w:rFonts w:eastAsia="黑体"/>
                <w:bCs/>
                <w:color w:val="000000"/>
                <w:sz w:val="21"/>
                <w:szCs w:val="21"/>
                <w:highlight w:val="none"/>
              </w:rPr>
            </w:pPr>
            <w:r>
              <w:rPr>
                <w:rFonts w:ascii="Times New Roman" w:hAnsi="Times New Roman" w:eastAsia="宋体" w:cs="Times New Roman"/>
                <w:b/>
                <w:color w:val="000000"/>
                <w:sz w:val="21"/>
                <w:szCs w:val="21"/>
                <w:highlight w:val="none"/>
              </w:rPr>
              <w:t>表4-</w:t>
            </w:r>
            <w:r>
              <w:rPr>
                <w:rFonts w:hint="eastAsia" w:ascii="Times New Roman" w:hAnsi="Times New Roman" w:eastAsia="宋体" w:cs="Times New Roman"/>
                <w:b/>
                <w:color w:val="000000"/>
                <w:sz w:val="21"/>
                <w:szCs w:val="21"/>
                <w:highlight w:val="none"/>
                <w:lang w:val="en-US" w:eastAsia="zh-CN"/>
              </w:rPr>
              <w:t>27</w:t>
            </w:r>
            <w:r>
              <w:rPr>
                <w:rFonts w:ascii="Times New Roman" w:hAnsi="Times New Roman" w:eastAsia="宋体" w:cs="Times New Roman"/>
                <w:b/>
                <w:color w:val="000000"/>
                <w:sz w:val="21"/>
                <w:szCs w:val="21"/>
                <w:highlight w:val="none"/>
              </w:rPr>
              <w:t xml:space="preserve">  环保投资一览表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25"/>
              <w:gridCol w:w="716"/>
              <w:gridCol w:w="1721"/>
              <w:gridCol w:w="3453"/>
              <w:gridCol w:w="1623"/>
            </w:tblGrid>
            <w:tr w14:paraId="51929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1881" w:type="pct"/>
                  <w:gridSpan w:val="3"/>
                  <w:tcBorders>
                    <w:tl2br w:val="nil"/>
                    <w:tr2bl w:val="nil"/>
                  </w:tcBorders>
                  <w:shd w:val="clear" w:color="auto" w:fill="auto"/>
                  <w:noWrap w:val="0"/>
                  <w:vAlign w:val="center"/>
                </w:tcPr>
                <w:p w14:paraId="598B4F67">
                  <w:pPr>
                    <w:shd w:val="clear" w:color="auto" w:fill="auto"/>
                    <w:adjustRightInd w:val="0"/>
                    <w:snapToGrid w:val="0"/>
                    <w:jc w:val="center"/>
                    <w:rPr>
                      <w:rFonts w:hint="eastAsia"/>
                      <w:b/>
                      <w:bCs/>
                      <w:color w:val="000000"/>
                      <w:sz w:val="21"/>
                      <w:szCs w:val="21"/>
                      <w:highlight w:val="none"/>
                    </w:rPr>
                  </w:pPr>
                  <w:r>
                    <w:rPr>
                      <w:rFonts w:hint="eastAsia"/>
                      <w:b/>
                      <w:bCs/>
                      <w:color w:val="000000"/>
                      <w:sz w:val="21"/>
                      <w:szCs w:val="21"/>
                      <w:highlight w:val="none"/>
                    </w:rPr>
                    <w:t>名称</w:t>
                  </w:r>
                </w:p>
              </w:tc>
              <w:tc>
                <w:tcPr>
                  <w:tcW w:w="2121" w:type="pct"/>
                  <w:tcBorders>
                    <w:tl2br w:val="nil"/>
                    <w:tr2bl w:val="nil"/>
                  </w:tcBorders>
                  <w:shd w:val="clear" w:color="auto" w:fill="auto"/>
                  <w:noWrap w:val="0"/>
                  <w:vAlign w:val="center"/>
                </w:tcPr>
                <w:p w14:paraId="1DEE4B2E">
                  <w:pPr>
                    <w:shd w:val="clear" w:color="auto" w:fill="auto"/>
                    <w:adjustRightInd w:val="0"/>
                    <w:snapToGrid w:val="0"/>
                    <w:jc w:val="center"/>
                    <w:rPr>
                      <w:rFonts w:hint="eastAsia"/>
                      <w:b/>
                      <w:bCs/>
                      <w:color w:val="000000"/>
                      <w:sz w:val="21"/>
                      <w:szCs w:val="21"/>
                      <w:highlight w:val="none"/>
                    </w:rPr>
                  </w:pPr>
                  <w:r>
                    <w:rPr>
                      <w:rFonts w:hint="eastAsia"/>
                      <w:b/>
                      <w:bCs/>
                      <w:color w:val="000000"/>
                      <w:sz w:val="21"/>
                      <w:szCs w:val="21"/>
                      <w:highlight w:val="none"/>
                    </w:rPr>
                    <w:t>环保设施</w:t>
                  </w:r>
                </w:p>
              </w:tc>
              <w:tc>
                <w:tcPr>
                  <w:tcW w:w="997" w:type="pct"/>
                  <w:tcBorders>
                    <w:tl2br w:val="nil"/>
                    <w:tr2bl w:val="nil"/>
                  </w:tcBorders>
                  <w:shd w:val="clear" w:color="auto" w:fill="auto"/>
                  <w:noWrap w:val="0"/>
                  <w:tcMar>
                    <w:top w:w="0" w:type="dxa"/>
                    <w:left w:w="0" w:type="dxa"/>
                    <w:bottom w:w="0" w:type="dxa"/>
                    <w:right w:w="0" w:type="dxa"/>
                  </w:tcMar>
                  <w:vAlign w:val="center"/>
                </w:tcPr>
                <w:p w14:paraId="5C8AEB39">
                  <w:pPr>
                    <w:shd w:val="clear" w:color="auto" w:fill="auto"/>
                    <w:adjustRightInd w:val="0"/>
                    <w:snapToGrid w:val="0"/>
                    <w:jc w:val="center"/>
                    <w:rPr>
                      <w:rFonts w:hint="eastAsia" w:eastAsia="宋体"/>
                      <w:b/>
                      <w:bCs/>
                      <w:color w:val="000000"/>
                      <w:sz w:val="21"/>
                      <w:szCs w:val="21"/>
                      <w:highlight w:val="none"/>
                      <w:lang w:eastAsia="zh-CN"/>
                    </w:rPr>
                  </w:pPr>
                  <w:r>
                    <w:rPr>
                      <w:rFonts w:hint="eastAsia"/>
                      <w:b/>
                      <w:bCs/>
                      <w:color w:val="000000"/>
                      <w:sz w:val="21"/>
                      <w:szCs w:val="21"/>
                      <w:highlight w:val="none"/>
                    </w:rPr>
                    <w:t>投资</w:t>
                  </w:r>
                  <w:r>
                    <w:rPr>
                      <w:rFonts w:hint="eastAsia"/>
                      <w:b/>
                      <w:bCs/>
                      <w:color w:val="000000"/>
                      <w:sz w:val="21"/>
                      <w:szCs w:val="21"/>
                      <w:highlight w:val="none"/>
                      <w:lang w:val="en-US" w:eastAsia="zh-CN"/>
                    </w:rPr>
                    <w:t>金额</w:t>
                  </w:r>
                  <w:r>
                    <w:rPr>
                      <w:rFonts w:hint="eastAsia"/>
                      <w:b/>
                      <w:bCs/>
                      <w:color w:val="000000"/>
                      <w:sz w:val="21"/>
                      <w:szCs w:val="21"/>
                      <w:highlight w:val="none"/>
                      <w:lang w:eastAsia="zh-CN"/>
                    </w:rPr>
                    <w:t>（</w:t>
                  </w:r>
                  <w:r>
                    <w:rPr>
                      <w:rFonts w:hint="eastAsia"/>
                      <w:b/>
                      <w:bCs/>
                      <w:color w:val="000000"/>
                      <w:sz w:val="21"/>
                      <w:szCs w:val="21"/>
                      <w:highlight w:val="none"/>
                    </w:rPr>
                    <w:t>万元</w:t>
                  </w:r>
                  <w:r>
                    <w:rPr>
                      <w:rFonts w:hint="eastAsia"/>
                      <w:b/>
                      <w:bCs/>
                      <w:color w:val="000000"/>
                      <w:sz w:val="21"/>
                      <w:szCs w:val="21"/>
                      <w:highlight w:val="none"/>
                      <w:lang w:eastAsia="zh-CN"/>
                    </w:rPr>
                    <w:t>）</w:t>
                  </w:r>
                </w:p>
              </w:tc>
            </w:tr>
            <w:tr w14:paraId="27C62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Merge w:val="restart"/>
                  <w:tcBorders>
                    <w:tl2br w:val="nil"/>
                    <w:tr2bl w:val="nil"/>
                  </w:tcBorders>
                  <w:shd w:val="clear" w:color="auto" w:fill="auto"/>
                  <w:noWrap w:val="0"/>
                  <w:vAlign w:val="center"/>
                </w:tcPr>
                <w:p w14:paraId="352F7C9D">
                  <w:pPr>
                    <w:shd w:val="clear" w:color="auto" w:fill="auto"/>
                    <w:adjustRightInd w:val="0"/>
                    <w:snapToGrid w:val="0"/>
                    <w:jc w:val="center"/>
                    <w:rPr>
                      <w:rFonts w:hint="eastAsia" w:eastAsia="宋体"/>
                      <w:color w:val="000000"/>
                      <w:sz w:val="21"/>
                      <w:szCs w:val="21"/>
                      <w:highlight w:val="none"/>
                      <w:lang w:val="en-US" w:eastAsia="zh-CN"/>
                    </w:rPr>
                  </w:pPr>
                  <w:r>
                    <w:rPr>
                      <w:rFonts w:hint="eastAsia"/>
                      <w:color w:val="000000"/>
                      <w:sz w:val="21"/>
                      <w:szCs w:val="21"/>
                      <w:highlight w:val="none"/>
                      <w:lang w:val="en-US" w:eastAsia="zh-CN"/>
                    </w:rPr>
                    <w:t>运营期</w:t>
                  </w:r>
                </w:p>
              </w:tc>
              <w:tc>
                <w:tcPr>
                  <w:tcW w:w="440" w:type="pct"/>
                  <w:vMerge w:val="restart"/>
                  <w:tcBorders>
                    <w:tl2br w:val="nil"/>
                    <w:tr2bl w:val="nil"/>
                  </w:tcBorders>
                  <w:shd w:val="clear" w:color="auto" w:fill="auto"/>
                  <w:noWrap w:val="0"/>
                  <w:vAlign w:val="center"/>
                </w:tcPr>
                <w:p w14:paraId="71729EFF">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废气</w:t>
                  </w:r>
                </w:p>
              </w:tc>
              <w:tc>
                <w:tcPr>
                  <w:tcW w:w="1056" w:type="pct"/>
                  <w:tcBorders>
                    <w:tl2br w:val="nil"/>
                    <w:tr2bl w:val="nil"/>
                  </w:tcBorders>
                  <w:shd w:val="clear" w:color="auto" w:fill="auto"/>
                  <w:noWrap w:val="0"/>
                  <w:vAlign w:val="center"/>
                </w:tcPr>
                <w:p w14:paraId="1A5676F1">
                  <w:pPr>
                    <w:widowControl/>
                    <w:shd w:val="clear" w:color="auto" w:fill="auto"/>
                    <w:adjustRightInd w:val="0"/>
                    <w:snapToGrid w:val="0"/>
                    <w:jc w:val="center"/>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粮食、大曲粉碎粉尘</w:t>
                  </w:r>
                </w:p>
              </w:tc>
              <w:tc>
                <w:tcPr>
                  <w:tcW w:w="2121" w:type="pct"/>
                  <w:tcBorders>
                    <w:tl2br w:val="nil"/>
                    <w:tr2bl w:val="nil"/>
                  </w:tcBorders>
                  <w:shd w:val="clear" w:color="auto" w:fill="auto"/>
                  <w:noWrap w:val="0"/>
                  <w:vAlign w:val="center"/>
                </w:tcPr>
                <w:p w14:paraId="23D9A445">
                  <w:pPr>
                    <w:keepNext w:val="0"/>
                    <w:keepLines w:val="0"/>
                    <w:suppressLineNumbers w:val="0"/>
                    <w:shd w:val="clear" w:color="auto" w:fill="auto"/>
                    <w:spacing w:before="0" w:beforeAutospacing="0" w:after="0" w:afterAutospacing="0"/>
                    <w:ind w:left="0" w:leftChars="0" w:right="0" w:rightChars="0"/>
                    <w:jc w:val="center"/>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集气罩+布袋除尘器+1根20</w:t>
                  </w:r>
                  <w:r>
                    <w:rPr>
                      <w:rFonts w:hint="eastAsia"/>
                      <w:color w:val="000000"/>
                      <w:sz w:val="21"/>
                      <w:szCs w:val="21"/>
                      <w:highlight w:val="none"/>
                      <w:lang w:val="en-US" w:eastAsia="zh-CN"/>
                    </w:rPr>
                    <w:t>m</w:t>
                  </w:r>
                  <w:r>
                    <w:rPr>
                      <w:rFonts w:hint="eastAsia" w:eastAsia="宋体"/>
                      <w:color w:val="000000"/>
                      <w:sz w:val="21"/>
                      <w:szCs w:val="21"/>
                      <w:highlight w:val="none"/>
                      <w:lang w:val="en-US" w:eastAsia="zh-CN"/>
                    </w:rPr>
                    <w:t>排气筒</w:t>
                  </w:r>
                </w:p>
              </w:tc>
              <w:tc>
                <w:tcPr>
                  <w:tcW w:w="997" w:type="pct"/>
                  <w:tcBorders>
                    <w:tl2br w:val="nil"/>
                    <w:tr2bl w:val="nil"/>
                  </w:tcBorders>
                  <w:shd w:val="clear" w:color="auto" w:fill="auto"/>
                  <w:noWrap w:val="0"/>
                  <w:tcMar>
                    <w:top w:w="0" w:type="dxa"/>
                    <w:left w:w="0" w:type="dxa"/>
                    <w:bottom w:w="0" w:type="dxa"/>
                    <w:right w:w="0" w:type="dxa"/>
                  </w:tcMar>
                  <w:vAlign w:val="center"/>
                </w:tcPr>
                <w:p w14:paraId="51181617">
                  <w:pPr>
                    <w:keepNext w:val="0"/>
                    <w:keepLines w:val="0"/>
                    <w:widowControl/>
                    <w:suppressLineNumbers w:val="0"/>
                    <w:shd w:val="clear" w:color="auto" w:fill="auto"/>
                    <w:adjustRightInd w:val="0"/>
                    <w:snapToGrid w:val="0"/>
                    <w:spacing w:before="0" w:beforeAutospacing="0" w:after="0" w:afterAutospacing="0"/>
                    <w:ind w:left="0" w:leftChars="0" w:right="0" w:rightChars="0"/>
                    <w:jc w:val="center"/>
                    <w:textAlignment w:val="baseline"/>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15.0</w:t>
                  </w:r>
                </w:p>
              </w:tc>
            </w:tr>
            <w:tr w14:paraId="6AF6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384" w:type="pct"/>
                  <w:vMerge w:val="continue"/>
                  <w:tcBorders>
                    <w:tl2br w:val="nil"/>
                    <w:tr2bl w:val="nil"/>
                  </w:tcBorders>
                  <w:shd w:val="clear" w:color="auto" w:fill="auto"/>
                  <w:noWrap w:val="0"/>
                  <w:vAlign w:val="center"/>
                </w:tcPr>
                <w:p w14:paraId="0DEBE4F1">
                  <w:pPr>
                    <w:shd w:val="clear" w:color="auto" w:fill="auto"/>
                    <w:adjustRightInd w:val="0"/>
                    <w:snapToGrid w:val="0"/>
                    <w:jc w:val="center"/>
                    <w:rPr>
                      <w:rFonts w:hint="eastAsia"/>
                      <w:color w:val="000000"/>
                      <w:sz w:val="21"/>
                      <w:szCs w:val="21"/>
                      <w:highlight w:val="none"/>
                      <w:lang w:val="en-US" w:eastAsia="zh-CN"/>
                    </w:rPr>
                  </w:pPr>
                </w:p>
              </w:tc>
              <w:tc>
                <w:tcPr>
                  <w:tcW w:w="440" w:type="pct"/>
                  <w:vMerge w:val="continue"/>
                  <w:tcBorders>
                    <w:tl2br w:val="nil"/>
                    <w:tr2bl w:val="nil"/>
                  </w:tcBorders>
                  <w:shd w:val="clear" w:color="auto" w:fill="auto"/>
                  <w:noWrap w:val="0"/>
                  <w:vAlign w:val="center"/>
                </w:tcPr>
                <w:p w14:paraId="42A72A4F">
                  <w:pPr>
                    <w:shd w:val="clear" w:color="auto" w:fill="auto"/>
                    <w:adjustRightInd w:val="0"/>
                    <w:snapToGrid w:val="0"/>
                    <w:jc w:val="center"/>
                    <w:rPr>
                      <w:rFonts w:hint="eastAsia"/>
                      <w:color w:val="000000"/>
                      <w:sz w:val="21"/>
                      <w:szCs w:val="21"/>
                      <w:highlight w:val="none"/>
                      <w:lang w:val="en-US" w:eastAsia="zh-CN"/>
                    </w:rPr>
                  </w:pPr>
                </w:p>
              </w:tc>
              <w:tc>
                <w:tcPr>
                  <w:tcW w:w="1056" w:type="pct"/>
                  <w:tcBorders>
                    <w:tl2br w:val="nil"/>
                    <w:tr2bl w:val="nil"/>
                  </w:tcBorders>
                  <w:shd w:val="clear" w:color="auto" w:fill="auto"/>
                  <w:noWrap w:val="0"/>
                  <w:vAlign w:val="center"/>
                </w:tcPr>
                <w:p w14:paraId="7443255D">
                  <w:pPr>
                    <w:widowControl/>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锅炉烟气</w:t>
                  </w:r>
                </w:p>
              </w:tc>
              <w:tc>
                <w:tcPr>
                  <w:tcW w:w="2121" w:type="pct"/>
                  <w:tcBorders>
                    <w:tl2br w:val="nil"/>
                    <w:tr2bl w:val="nil"/>
                  </w:tcBorders>
                  <w:shd w:val="clear" w:color="auto" w:fill="auto"/>
                  <w:noWrap w:val="0"/>
                  <w:vAlign w:val="center"/>
                </w:tcPr>
                <w:p w14:paraId="0D2FB03B">
                  <w:pPr>
                    <w:keepNext w:val="0"/>
                    <w:keepLines w:val="0"/>
                    <w:suppressLineNumbers w:val="0"/>
                    <w:shd w:val="clear" w:color="auto" w:fill="auto"/>
                    <w:spacing w:before="0" w:beforeAutospacing="0" w:after="0" w:afterAutospacing="0"/>
                    <w:ind w:left="0" w:leftChars="0" w:right="0" w:rightChars="0"/>
                    <w:jc w:val="center"/>
                    <w:rPr>
                      <w:rFonts w:hint="default" w:ascii="Times New Roman" w:hAnsi="Times New Roman" w:cs="Times New Roman"/>
                      <w:b w:val="0"/>
                      <w:bCs w:val="0"/>
                      <w:color w:val="000000"/>
                      <w:szCs w:val="21"/>
                      <w:highlight w:val="none"/>
                      <w:lang w:val="en-US" w:eastAsia="zh-CN"/>
                    </w:rPr>
                  </w:pPr>
                  <w:r>
                    <w:rPr>
                      <w:rFonts w:hint="eastAsia" w:ascii="Times New Roman" w:hAnsi="Times New Roman" w:cs="Times New Roman"/>
                      <w:b w:val="0"/>
                      <w:bCs w:val="0"/>
                      <w:color w:val="000000"/>
                      <w:szCs w:val="21"/>
                      <w:highlight w:val="none"/>
                      <w:lang w:val="en-US" w:eastAsia="zh-CN"/>
                    </w:rPr>
                    <w:t>低氮燃烧器+1根20</w:t>
                  </w:r>
                  <w:r>
                    <w:rPr>
                      <w:rFonts w:hint="eastAsia" w:cs="Times New Roman"/>
                      <w:b w:val="0"/>
                      <w:bCs w:val="0"/>
                      <w:color w:val="000000"/>
                      <w:szCs w:val="21"/>
                      <w:highlight w:val="none"/>
                      <w:lang w:val="en-US" w:eastAsia="zh-CN"/>
                    </w:rPr>
                    <w:t>m</w:t>
                  </w:r>
                  <w:r>
                    <w:rPr>
                      <w:rFonts w:hint="eastAsia" w:ascii="Times New Roman" w:hAnsi="Times New Roman" w:cs="Times New Roman"/>
                      <w:b w:val="0"/>
                      <w:bCs w:val="0"/>
                      <w:color w:val="000000"/>
                      <w:szCs w:val="21"/>
                      <w:highlight w:val="none"/>
                      <w:lang w:val="en-US" w:eastAsia="zh-CN"/>
                    </w:rPr>
                    <w:t>排气筒</w:t>
                  </w:r>
                </w:p>
              </w:tc>
              <w:tc>
                <w:tcPr>
                  <w:tcW w:w="997" w:type="pct"/>
                  <w:tcBorders>
                    <w:tl2br w:val="nil"/>
                    <w:tr2bl w:val="nil"/>
                  </w:tcBorders>
                  <w:shd w:val="clear" w:color="auto" w:fill="auto"/>
                  <w:noWrap w:val="0"/>
                  <w:tcMar>
                    <w:top w:w="0" w:type="dxa"/>
                    <w:left w:w="0" w:type="dxa"/>
                    <w:bottom w:w="0" w:type="dxa"/>
                    <w:right w:w="0" w:type="dxa"/>
                  </w:tcMar>
                  <w:vAlign w:val="center"/>
                </w:tcPr>
                <w:p w14:paraId="53F72753">
                  <w:pPr>
                    <w:keepNext w:val="0"/>
                    <w:keepLines w:val="0"/>
                    <w:widowControl/>
                    <w:suppressLineNumbers w:val="0"/>
                    <w:shd w:val="clear" w:color="auto" w:fill="auto"/>
                    <w:adjustRightInd w:val="0"/>
                    <w:snapToGrid w:val="0"/>
                    <w:spacing w:before="0" w:beforeAutospacing="0" w:after="0" w:afterAutospacing="0"/>
                    <w:ind w:left="0" w:leftChars="0" w:right="0" w:rightChars="0"/>
                    <w:jc w:val="center"/>
                    <w:textAlignment w:val="baseline"/>
                    <w:rPr>
                      <w:rFonts w:hint="default" w:ascii="Times New Roman" w:hAnsi="Times New Roman" w:cs="Times New Roman"/>
                      <w:b w:val="0"/>
                      <w:bCs w:val="0"/>
                      <w:color w:val="000000"/>
                      <w:szCs w:val="21"/>
                      <w:highlight w:val="none"/>
                      <w:lang w:val="en-US" w:eastAsia="zh-CN"/>
                    </w:rPr>
                  </w:pPr>
                  <w:r>
                    <w:rPr>
                      <w:rFonts w:hint="eastAsia" w:cs="Times New Roman"/>
                      <w:b w:val="0"/>
                      <w:bCs w:val="0"/>
                      <w:color w:val="000000"/>
                      <w:szCs w:val="21"/>
                      <w:highlight w:val="none"/>
                      <w:lang w:val="en-US" w:eastAsia="zh-CN"/>
                    </w:rPr>
                    <w:t>8</w:t>
                  </w:r>
                  <w:r>
                    <w:rPr>
                      <w:rFonts w:hint="eastAsia" w:ascii="Times New Roman" w:hAnsi="Times New Roman" w:cs="Times New Roman"/>
                      <w:b w:val="0"/>
                      <w:bCs w:val="0"/>
                      <w:color w:val="000000"/>
                      <w:szCs w:val="21"/>
                      <w:highlight w:val="none"/>
                      <w:lang w:val="en-US" w:eastAsia="zh-CN"/>
                    </w:rPr>
                    <w:t>.0</w:t>
                  </w:r>
                </w:p>
              </w:tc>
            </w:tr>
            <w:tr w14:paraId="65AA1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384" w:type="pct"/>
                  <w:vMerge w:val="continue"/>
                  <w:tcBorders>
                    <w:tl2br w:val="nil"/>
                    <w:tr2bl w:val="nil"/>
                  </w:tcBorders>
                  <w:shd w:val="clear" w:color="auto" w:fill="auto"/>
                  <w:noWrap w:val="0"/>
                  <w:vAlign w:val="center"/>
                </w:tcPr>
                <w:p w14:paraId="3E4C2151">
                  <w:pPr>
                    <w:shd w:val="clear" w:color="auto" w:fill="auto"/>
                    <w:adjustRightInd w:val="0"/>
                    <w:snapToGrid w:val="0"/>
                    <w:jc w:val="center"/>
                    <w:rPr>
                      <w:rFonts w:hint="eastAsia"/>
                      <w:color w:val="000000"/>
                      <w:sz w:val="21"/>
                      <w:szCs w:val="21"/>
                      <w:highlight w:val="none"/>
                      <w:lang w:val="en-US" w:eastAsia="zh-CN"/>
                    </w:rPr>
                  </w:pPr>
                </w:p>
              </w:tc>
              <w:tc>
                <w:tcPr>
                  <w:tcW w:w="440" w:type="pct"/>
                  <w:vMerge w:val="continue"/>
                  <w:tcBorders>
                    <w:tl2br w:val="nil"/>
                    <w:tr2bl w:val="nil"/>
                  </w:tcBorders>
                  <w:shd w:val="clear" w:color="auto" w:fill="auto"/>
                  <w:noWrap w:val="0"/>
                  <w:vAlign w:val="center"/>
                </w:tcPr>
                <w:p w14:paraId="32871069">
                  <w:pPr>
                    <w:shd w:val="clear" w:color="auto" w:fill="auto"/>
                    <w:adjustRightInd w:val="0"/>
                    <w:snapToGrid w:val="0"/>
                    <w:jc w:val="center"/>
                    <w:rPr>
                      <w:rFonts w:hint="eastAsia"/>
                      <w:color w:val="000000"/>
                      <w:sz w:val="21"/>
                      <w:szCs w:val="21"/>
                      <w:highlight w:val="none"/>
                      <w:lang w:val="en-US" w:eastAsia="zh-CN"/>
                    </w:rPr>
                  </w:pPr>
                </w:p>
              </w:tc>
              <w:tc>
                <w:tcPr>
                  <w:tcW w:w="1056" w:type="pct"/>
                  <w:tcBorders>
                    <w:tl2br w:val="nil"/>
                    <w:tr2bl w:val="nil"/>
                  </w:tcBorders>
                  <w:shd w:val="clear" w:color="auto" w:fill="auto"/>
                  <w:noWrap w:val="0"/>
                  <w:vAlign w:val="center"/>
                </w:tcPr>
                <w:p w14:paraId="394C6818">
                  <w:pPr>
                    <w:widowControl/>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恶臭</w:t>
                  </w:r>
                </w:p>
              </w:tc>
              <w:tc>
                <w:tcPr>
                  <w:tcW w:w="2121" w:type="pct"/>
                  <w:tcBorders>
                    <w:tl2br w:val="nil"/>
                    <w:tr2bl w:val="nil"/>
                  </w:tcBorders>
                  <w:shd w:val="clear" w:color="auto" w:fill="auto"/>
                  <w:noWrap w:val="0"/>
                  <w:vAlign w:val="center"/>
                </w:tcPr>
                <w:p w14:paraId="412B0481">
                  <w:pPr>
                    <w:keepNext w:val="0"/>
                    <w:keepLines w:val="0"/>
                    <w:suppressLineNumbers w:val="0"/>
                    <w:shd w:val="clear" w:color="auto" w:fill="auto"/>
                    <w:spacing w:before="0" w:beforeAutospacing="0" w:after="0" w:afterAutospacing="0"/>
                    <w:ind w:left="0" w:leftChars="0" w:right="0" w:rightChars="0"/>
                    <w:jc w:val="center"/>
                    <w:rPr>
                      <w:rFonts w:hint="default" w:ascii="Times New Roman" w:hAnsi="Times New Roman" w:cs="Times New Roman"/>
                      <w:b w:val="0"/>
                      <w:bCs w:val="0"/>
                      <w:color w:val="000000"/>
                      <w:szCs w:val="21"/>
                      <w:highlight w:val="none"/>
                      <w:lang w:val="en-US" w:eastAsia="zh-CN"/>
                    </w:rPr>
                  </w:pPr>
                  <w:r>
                    <w:rPr>
                      <w:rFonts w:hint="eastAsia" w:ascii="Times New Roman" w:hAnsi="Times New Roman" w:cs="Times New Roman"/>
                      <w:b w:val="0"/>
                      <w:bCs w:val="0"/>
                      <w:color w:val="000000"/>
                      <w:szCs w:val="21"/>
                      <w:highlight w:val="none"/>
                      <w:lang w:val="en-US" w:eastAsia="zh-CN"/>
                    </w:rPr>
                    <w:t>活性炭吸附设施+1根15</w:t>
                  </w:r>
                  <w:r>
                    <w:rPr>
                      <w:rFonts w:hint="eastAsia" w:cs="Times New Roman"/>
                      <w:b w:val="0"/>
                      <w:bCs w:val="0"/>
                      <w:color w:val="000000"/>
                      <w:szCs w:val="21"/>
                      <w:highlight w:val="none"/>
                      <w:lang w:val="en-US" w:eastAsia="zh-CN"/>
                    </w:rPr>
                    <w:t>m</w:t>
                  </w:r>
                  <w:r>
                    <w:rPr>
                      <w:rFonts w:hint="eastAsia" w:ascii="Times New Roman" w:hAnsi="Times New Roman" w:cs="Times New Roman"/>
                      <w:b w:val="0"/>
                      <w:bCs w:val="0"/>
                      <w:color w:val="000000"/>
                      <w:szCs w:val="21"/>
                      <w:highlight w:val="none"/>
                      <w:lang w:val="en-US" w:eastAsia="zh-CN"/>
                    </w:rPr>
                    <w:t>排气筒</w:t>
                  </w:r>
                </w:p>
              </w:tc>
              <w:tc>
                <w:tcPr>
                  <w:tcW w:w="997" w:type="pct"/>
                  <w:tcBorders>
                    <w:tl2br w:val="nil"/>
                    <w:tr2bl w:val="nil"/>
                  </w:tcBorders>
                  <w:shd w:val="clear" w:color="auto" w:fill="auto"/>
                  <w:noWrap w:val="0"/>
                  <w:tcMar>
                    <w:top w:w="0" w:type="dxa"/>
                    <w:left w:w="0" w:type="dxa"/>
                    <w:bottom w:w="0" w:type="dxa"/>
                    <w:right w:w="0" w:type="dxa"/>
                  </w:tcMar>
                  <w:vAlign w:val="center"/>
                </w:tcPr>
                <w:p w14:paraId="3D7B6920">
                  <w:pPr>
                    <w:keepNext w:val="0"/>
                    <w:keepLines w:val="0"/>
                    <w:widowControl/>
                    <w:suppressLineNumbers w:val="0"/>
                    <w:shd w:val="clear" w:color="auto" w:fill="auto"/>
                    <w:adjustRightInd w:val="0"/>
                    <w:snapToGrid w:val="0"/>
                    <w:spacing w:before="0" w:beforeAutospacing="0" w:after="0" w:afterAutospacing="0"/>
                    <w:ind w:left="0" w:leftChars="0" w:right="0" w:rightChars="0"/>
                    <w:jc w:val="center"/>
                    <w:textAlignment w:val="baseline"/>
                    <w:rPr>
                      <w:rFonts w:hint="default" w:ascii="Times New Roman" w:hAnsi="Times New Roman" w:cs="Times New Roman"/>
                      <w:b w:val="0"/>
                      <w:bCs w:val="0"/>
                      <w:color w:val="000000"/>
                      <w:szCs w:val="21"/>
                      <w:highlight w:val="none"/>
                      <w:lang w:val="en-US" w:eastAsia="zh-CN"/>
                    </w:rPr>
                  </w:pPr>
                  <w:r>
                    <w:rPr>
                      <w:rFonts w:hint="eastAsia" w:ascii="Times New Roman" w:hAnsi="Times New Roman" w:cs="Times New Roman"/>
                      <w:b w:val="0"/>
                      <w:bCs w:val="0"/>
                      <w:color w:val="000000"/>
                      <w:szCs w:val="21"/>
                      <w:highlight w:val="none"/>
                      <w:lang w:val="en-US" w:eastAsia="zh-CN"/>
                    </w:rPr>
                    <w:t>5.0</w:t>
                  </w:r>
                </w:p>
              </w:tc>
            </w:tr>
            <w:tr w14:paraId="3F1B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9" w:hRule="atLeast"/>
                <w:jc w:val="center"/>
              </w:trPr>
              <w:tc>
                <w:tcPr>
                  <w:tcW w:w="384" w:type="pct"/>
                  <w:vMerge w:val="continue"/>
                  <w:tcBorders>
                    <w:tl2br w:val="nil"/>
                    <w:tr2bl w:val="nil"/>
                  </w:tcBorders>
                  <w:shd w:val="clear" w:color="auto" w:fill="auto"/>
                  <w:noWrap w:val="0"/>
                  <w:vAlign w:val="center"/>
                </w:tcPr>
                <w:p w14:paraId="608A9A0D">
                  <w:pPr>
                    <w:shd w:val="clear" w:color="auto" w:fill="auto"/>
                    <w:adjustRightInd w:val="0"/>
                    <w:snapToGrid w:val="0"/>
                    <w:jc w:val="center"/>
                    <w:rPr>
                      <w:rFonts w:hint="eastAsia"/>
                      <w:color w:val="000000"/>
                      <w:sz w:val="21"/>
                      <w:szCs w:val="21"/>
                      <w:highlight w:val="none"/>
                    </w:rPr>
                  </w:pPr>
                </w:p>
              </w:tc>
              <w:tc>
                <w:tcPr>
                  <w:tcW w:w="440" w:type="pct"/>
                  <w:tcBorders>
                    <w:tl2br w:val="nil"/>
                    <w:tr2bl w:val="nil"/>
                  </w:tcBorders>
                  <w:shd w:val="clear" w:color="auto" w:fill="auto"/>
                  <w:noWrap w:val="0"/>
                  <w:vAlign w:val="center"/>
                </w:tcPr>
                <w:p w14:paraId="415BB98E">
                  <w:pPr>
                    <w:shd w:val="clear" w:color="auto" w:fill="auto"/>
                    <w:adjustRightInd w:val="0"/>
                    <w:snapToGrid w:val="0"/>
                    <w:jc w:val="center"/>
                    <w:rPr>
                      <w:rFonts w:hint="eastAsia"/>
                      <w:color w:val="000000"/>
                      <w:sz w:val="21"/>
                      <w:szCs w:val="21"/>
                      <w:highlight w:val="none"/>
                    </w:rPr>
                  </w:pPr>
                  <w:r>
                    <w:rPr>
                      <w:rFonts w:hint="eastAsia"/>
                      <w:color w:val="000000"/>
                      <w:sz w:val="21"/>
                      <w:szCs w:val="21"/>
                      <w:highlight w:val="none"/>
                    </w:rPr>
                    <w:t>废水</w:t>
                  </w:r>
                </w:p>
              </w:tc>
              <w:tc>
                <w:tcPr>
                  <w:tcW w:w="1056" w:type="pct"/>
                  <w:tcBorders>
                    <w:tl2br w:val="nil"/>
                    <w:tr2bl w:val="nil"/>
                  </w:tcBorders>
                  <w:shd w:val="clear" w:color="auto" w:fill="auto"/>
                  <w:noWrap w:val="0"/>
                  <w:vAlign w:val="center"/>
                </w:tcPr>
                <w:p w14:paraId="5E759165">
                  <w:pPr>
                    <w:widowControl/>
                    <w:shd w:val="clear" w:color="auto" w:fill="auto"/>
                    <w:adjustRightInd w:val="0"/>
                    <w:snapToGrid w:val="0"/>
                    <w:jc w:val="center"/>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综合废水</w:t>
                  </w:r>
                </w:p>
              </w:tc>
              <w:tc>
                <w:tcPr>
                  <w:tcW w:w="2121" w:type="pct"/>
                  <w:tcBorders>
                    <w:tl2br w:val="nil"/>
                    <w:tr2bl w:val="nil"/>
                  </w:tcBorders>
                  <w:shd w:val="clear" w:color="auto" w:fill="auto"/>
                  <w:noWrap w:val="0"/>
                  <w:vAlign w:val="center"/>
                </w:tcPr>
                <w:p w14:paraId="38144411">
                  <w:pPr>
                    <w:widowControl/>
                    <w:shd w:val="clear" w:color="auto" w:fill="auto"/>
                    <w:adjustRightInd w:val="0"/>
                    <w:snapToGrid w:val="0"/>
                    <w:jc w:val="center"/>
                    <w:rPr>
                      <w:rFonts w:hint="default"/>
                      <w:color w:val="000000"/>
                      <w:kern w:val="2"/>
                      <w:sz w:val="21"/>
                      <w:szCs w:val="21"/>
                      <w:highlight w:val="none"/>
                      <w:lang w:val="en-US" w:eastAsia="zh-CN" w:bidi="ar-SA"/>
                    </w:rPr>
                  </w:pPr>
                  <w:r>
                    <w:rPr>
                      <w:rFonts w:hint="eastAsia"/>
                      <w:color w:val="000000"/>
                      <w:kern w:val="2"/>
                      <w:sz w:val="21"/>
                      <w:szCs w:val="21"/>
                      <w:highlight w:val="none"/>
                      <w:lang w:val="en-US" w:eastAsia="zh-CN" w:bidi="ar-SA"/>
                    </w:rPr>
                    <w:t>一体化污水处理站1座</w:t>
                  </w:r>
                </w:p>
              </w:tc>
              <w:tc>
                <w:tcPr>
                  <w:tcW w:w="997" w:type="pct"/>
                  <w:tcBorders>
                    <w:tl2br w:val="nil"/>
                    <w:tr2bl w:val="nil"/>
                  </w:tcBorders>
                  <w:shd w:val="clear" w:color="auto" w:fill="auto"/>
                  <w:noWrap w:val="0"/>
                  <w:tcMar>
                    <w:top w:w="0" w:type="dxa"/>
                    <w:left w:w="0" w:type="dxa"/>
                    <w:bottom w:w="0" w:type="dxa"/>
                    <w:right w:w="0" w:type="dxa"/>
                  </w:tcMar>
                  <w:vAlign w:val="center"/>
                </w:tcPr>
                <w:p w14:paraId="359BCDCB">
                  <w:pPr>
                    <w:widowControl/>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30.0</w:t>
                  </w:r>
                </w:p>
              </w:tc>
            </w:tr>
            <w:tr w14:paraId="7A185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384" w:type="pct"/>
                  <w:vMerge w:val="continue"/>
                  <w:tcBorders>
                    <w:tl2br w:val="nil"/>
                    <w:tr2bl w:val="nil"/>
                  </w:tcBorders>
                  <w:shd w:val="clear" w:color="auto" w:fill="auto"/>
                  <w:noWrap w:val="0"/>
                  <w:vAlign w:val="center"/>
                </w:tcPr>
                <w:p w14:paraId="00E2ABCA">
                  <w:pPr>
                    <w:shd w:val="clear" w:color="auto" w:fill="auto"/>
                    <w:adjustRightInd w:val="0"/>
                    <w:snapToGrid w:val="0"/>
                    <w:jc w:val="center"/>
                    <w:rPr>
                      <w:rFonts w:hint="eastAsia"/>
                      <w:color w:val="000000"/>
                      <w:sz w:val="21"/>
                      <w:szCs w:val="21"/>
                      <w:highlight w:val="none"/>
                    </w:rPr>
                  </w:pPr>
                </w:p>
              </w:tc>
              <w:tc>
                <w:tcPr>
                  <w:tcW w:w="440" w:type="pct"/>
                  <w:tcBorders>
                    <w:tl2br w:val="nil"/>
                    <w:tr2bl w:val="nil"/>
                  </w:tcBorders>
                  <w:shd w:val="clear" w:color="auto" w:fill="auto"/>
                  <w:noWrap w:val="0"/>
                  <w:vAlign w:val="center"/>
                </w:tcPr>
                <w:p w14:paraId="3DFFFB18">
                  <w:pPr>
                    <w:shd w:val="clear" w:color="auto" w:fill="auto"/>
                    <w:adjustRightInd w:val="0"/>
                    <w:snapToGrid w:val="0"/>
                    <w:jc w:val="center"/>
                    <w:rPr>
                      <w:rFonts w:hint="eastAsia"/>
                      <w:color w:val="000000"/>
                      <w:sz w:val="21"/>
                      <w:szCs w:val="21"/>
                      <w:highlight w:val="none"/>
                    </w:rPr>
                  </w:pPr>
                  <w:r>
                    <w:rPr>
                      <w:rFonts w:hint="eastAsia"/>
                      <w:color w:val="000000"/>
                      <w:sz w:val="21"/>
                      <w:szCs w:val="21"/>
                      <w:highlight w:val="none"/>
                    </w:rPr>
                    <w:t>噪声</w:t>
                  </w:r>
                </w:p>
              </w:tc>
              <w:tc>
                <w:tcPr>
                  <w:tcW w:w="1056" w:type="pct"/>
                  <w:tcBorders>
                    <w:tl2br w:val="nil"/>
                    <w:tr2bl w:val="nil"/>
                  </w:tcBorders>
                  <w:shd w:val="clear" w:color="auto" w:fill="auto"/>
                  <w:noWrap w:val="0"/>
                  <w:vAlign w:val="center"/>
                </w:tcPr>
                <w:p w14:paraId="33A9F9CF">
                  <w:pPr>
                    <w:shd w:val="clear" w:color="auto" w:fill="auto"/>
                    <w:adjustRightInd w:val="0"/>
                    <w:snapToGrid w:val="0"/>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设备噪声</w:t>
                  </w:r>
                </w:p>
              </w:tc>
              <w:tc>
                <w:tcPr>
                  <w:tcW w:w="2121" w:type="pct"/>
                  <w:tcBorders>
                    <w:tl2br w:val="nil"/>
                    <w:tr2bl w:val="nil"/>
                  </w:tcBorders>
                  <w:shd w:val="clear" w:color="auto" w:fill="auto"/>
                  <w:noWrap w:val="0"/>
                  <w:vAlign w:val="center"/>
                </w:tcPr>
                <w:p w14:paraId="5DAC1177">
                  <w:pPr>
                    <w:shd w:val="clear" w:color="auto" w:fill="auto"/>
                    <w:adjustRightInd w:val="0"/>
                    <w:snapToGrid w:val="0"/>
                    <w:jc w:val="center"/>
                    <w:rPr>
                      <w:rFonts w:hint="eastAsia" w:eastAsia="宋体"/>
                      <w:color w:val="000000"/>
                      <w:sz w:val="21"/>
                      <w:szCs w:val="21"/>
                      <w:highlight w:val="none"/>
                      <w:lang w:val="en-US" w:eastAsia="zh-CN"/>
                    </w:rPr>
                  </w:pPr>
                  <w:r>
                    <w:rPr>
                      <w:rFonts w:hint="eastAsia" w:eastAsia="宋体"/>
                      <w:color w:val="000000"/>
                      <w:sz w:val="21"/>
                      <w:szCs w:val="21"/>
                      <w:highlight w:val="none"/>
                      <w:lang w:val="en-US" w:eastAsia="zh-CN"/>
                    </w:rPr>
                    <w:t>厂房隔声、基础减振、风机安装隔声罩、管道之间软连接、锅炉安装消声器等降噪措施</w:t>
                  </w:r>
                  <w:r>
                    <w:rPr>
                      <w:rFonts w:hint="eastAsia"/>
                      <w:lang w:eastAsia="zh-CN"/>
                    </w:rPr>
                    <w:t>。</w:t>
                  </w:r>
                </w:p>
              </w:tc>
              <w:tc>
                <w:tcPr>
                  <w:tcW w:w="997" w:type="pct"/>
                  <w:tcBorders>
                    <w:tl2br w:val="nil"/>
                    <w:tr2bl w:val="nil"/>
                  </w:tcBorders>
                  <w:shd w:val="clear" w:color="auto" w:fill="auto"/>
                  <w:noWrap w:val="0"/>
                  <w:tcMar>
                    <w:top w:w="0" w:type="dxa"/>
                    <w:left w:w="0" w:type="dxa"/>
                    <w:bottom w:w="0" w:type="dxa"/>
                    <w:right w:w="0" w:type="dxa"/>
                  </w:tcMar>
                  <w:vAlign w:val="center"/>
                </w:tcPr>
                <w:p w14:paraId="652FC747">
                  <w:pPr>
                    <w:shd w:val="clear" w:color="auto" w:fill="auto"/>
                    <w:adjustRightInd w:val="0"/>
                    <w:snapToGrid w:val="0"/>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3.0</w:t>
                  </w:r>
                </w:p>
              </w:tc>
            </w:tr>
            <w:tr w14:paraId="2F9D3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pct"/>
                  <w:vMerge w:val="continue"/>
                  <w:tcBorders>
                    <w:tl2br w:val="nil"/>
                    <w:tr2bl w:val="nil"/>
                  </w:tcBorders>
                  <w:shd w:val="clear" w:color="auto" w:fill="auto"/>
                  <w:noWrap w:val="0"/>
                  <w:vAlign w:val="center"/>
                </w:tcPr>
                <w:p w14:paraId="0AD3F60C">
                  <w:pPr>
                    <w:shd w:val="clear" w:color="auto" w:fill="auto"/>
                    <w:adjustRightInd w:val="0"/>
                    <w:snapToGrid w:val="0"/>
                    <w:jc w:val="center"/>
                    <w:rPr>
                      <w:rFonts w:hint="eastAsia"/>
                      <w:color w:val="000000"/>
                      <w:sz w:val="21"/>
                      <w:szCs w:val="21"/>
                      <w:highlight w:val="none"/>
                    </w:rPr>
                  </w:pPr>
                </w:p>
              </w:tc>
              <w:tc>
                <w:tcPr>
                  <w:tcW w:w="440" w:type="pct"/>
                  <w:vMerge w:val="restart"/>
                  <w:tcBorders>
                    <w:tl2br w:val="nil"/>
                    <w:tr2bl w:val="nil"/>
                  </w:tcBorders>
                  <w:shd w:val="clear" w:color="auto" w:fill="auto"/>
                  <w:noWrap w:val="0"/>
                  <w:vAlign w:val="center"/>
                </w:tcPr>
                <w:p w14:paraId="2A7C78B7">
                  <w:pPr>
                    <w:shd w:val="clear" w:color="auto" w:fill="auto"/>
                    <w:adjustRightInd w:val="0"/>
                    <w:snapToGrid w:val="0"/>
                    <w:jc w:val="center"/>
                    <w:rPr>
                      <w:rFonts w:hint="eastAsia"/>
                      <w:color w:val="000000"/>
                      <w:sz w:val="21"/>
                      <w:szCs w:val="21"/>
                      <w:highlight w:val="none"/>
                    </w:rPr>
                  </w:pPr>
                  <w:r>
                    <w:rPr>
                      <w:rFonts w:hint="eastAsia"/>
                      <w:color w:val="000000"/>
                      <w:sz w:val="21"/>
                      <w:szCs w:val="21"/>
                      <w:highlight w:val="none"/>
                    </w:rPr>
                    <w:t>固废</w:t>
                  </w:r>
                </w:p>
              </w:tc>
              <w:tc>
                <w:tcPr>
                  <w:tcW w:w="1056" w:type="pct"/>
                  <w:tcBorders>
                    <w:tl2br w:val="nil"/>
                    <w:tr2bl w:val="nil"/>
                  </w:tcBorders>
                  <w:shd w:val="clear" w:color="auto" w:fill="auto"/>
                  <w:noWrap w:val="0"/>
                  <w:vAlign w:val="center"/>
                </w:tcPr>
                <w:p w14:paraId="788EDEAA">
                  <w:pPr>
                    <w:shd w:val="clear" w:color="auto" w:fill="auto"/>
                    <w:adjustRightInd w:val="0"/>
                    <w:snapToGrid w:val="0"/>
                    <w:jc w:val="center"/>
                    <w:rPr>
                      <w:rFonts w:hint="eastAsia"/>
                      <w:color w:val="000000"/>
                      <w:sz w:val="21"/>
                      <w:szCs w:val="21"/>
                      <w:highlight w:val="none"/>
                    </w:rPr>
                  </w:pPr>
                  <w:r>
                    <w:rPr>
                      <w:rFonts w:hint="eastAsia"/>
                      <w:color w:val="000000"/>
                      <w:sz w:val="21"/>
                      <w:szCs w:val="21"/>
                      <w:highlight w:val="none"/>
                    </w:rPr>
                    <w:t>生活垃圾</w:t>
                  </w:r>
                </w:p>
              </w:tc>
              <w:tc>
                <w:tcPr>
                  <w:tcW w:w="2121" w:type="pct"/>
                  <w:tcBorders>
                    <w:tl2br w:val="nil"/>
                    <w:tr2bl w:val="nil"/>
                  </w:tcBorders>
                  <w:shd w:val="clear" w:color="auto" w:fill="auto"/>
                  <w:noWrap w:val="0"/>
                  <w:vAlign w:val="center"/>
                </w:tcPr>
                <w:p w14:paraId="3905359C">
                  <w:pPr>
                    <w:shd w:val="clear" w:color="auto" w:fill="auto"/>
                    <w:adjustRightInd w:val="0"/>
                    <w:snapToGrid w:val="0"/>
                    <w:jc w:val="center"/>
                    <w:rPr>
                      <w:rFonts w:hint="eastAsia"/>
                      <w:color w:val="000000"/>
                      <w:sz w:val="21"/>
                      <w:szCs w:val="21"/>
                      <w:highlight w:val="none"/>
                    </w:rPr>
                  </w:pPr>
                  <w:r>
                    <w:rPr>
                      <w:rFonts w:hint="eastAsia"/>
                      <w:color w:val="000000"/>
                      <w:sz w:val="21"/>
                      <w:szCs w:val="21"/>
                      <w:highlight w:val="none"/>
                    </w:rPr>
                    <w:t>垃圾收集箱</w:t>
                  </w:r>
                </w:p>
              </w:tc>
              <w:tc>
                <w:tcPr>
                  <w:tcW w:w="997" w:type="pct"/>
                  <w:tcBorders>
                    <w:tl2br w:val="nil"/>
                    <w:tr2bl w:val="nil"/>
                  </w:tcBorders>
                  <w:shd w:val="clear" w:color="auto" w:fill="auto"/>
                  <w:noWrap w:val="0"/>
                  <w:tcMar>
                    <w:top w:w="0" w:type="dxa"/>
                    <w:left w:w="0" w:type="dxa"/>
                    <w:bottom w:w="0" w:type="dxa"/>
                    <w:right w:w="0" w:type="dxa"/>
                  </w:tcMar>
                  <w:vAlign w:val="center"/>
                </w:tcPr>
                <w:p w14:paraId="29EE202C">
                  <w:pPr>
                    <w:shd w:val="clear" w:color="auto" w:fill="auto"/>
                    <w:adjustRightInd w:val="0"/>
                    <w:snapToGrid w:val="0"/>
                    <w:jc w:val="center"/>
                    <w:rPr>
                      <w:rFonts w:hint="default" w:eastAsia="宋体"/>
                      <w:color w:val="000000"/>
                      <w:sz w:val="21"/>
                      <w:szCs w:val="21"/>
                      <w:highlight w:val="none"/>
                      <w:lang w:val="en-US" w:eastAsia="zh-CN"/>
                    </w:rPr>
                  </w:pPr>
                  <w:r>
                    <w:rPr>
                      <w:rFonts w:hint="eastAsia" w:eastAsia="宋体"/>
                      <w:color w:val="000000"/>
                      <w:sz w:val="21"/>
                      <w:szCs w:val="21"/>
                      <w:highlight w:val="none"/>
                      <w:lang w:val="en-US" w:eastAsia="zh-CN"/>
                    </w:rPr>
                    <w:t>0.2</w:t>
                  </w:r>
                </w:p>
              </w:tc>
            </w:tr>
            <w:tr w14:paraId="2706D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384" w:type="pct"/>
                  <w:vMerge w:val="continue"/>
                  <w:tcBorders>
                    <w:tl2br w:val="nil"/>
                    <w:tr2bl w:val="nil"/>
                  </w:tcBorders>
                  <w:shd w:val="clear" w:color="auto" w:fill="auto"/>
                  <w:noWrap w:val="0"/>
                  <w:vAlign w:val="center"/>
                </w:tcPr>
                <w:p w14:paraId="24B0A16E">
                  <w:pPr>
                    <w:shd w:val="clear" w:color="auto" w:fill="auto"/>
                    <w:adjustRightInd w:val="0"/>
                    <w:snapToGrid w:val="0"/>
                    <w:jc w:val="center"/>
                    <w:rPr>
                      <w:rFonts w:hint="eastAsia"/>
                      <w:color w:val="000000"/>
                      <w:sz w:val="21"/>
                      <w:szCs w:val="21"/>
                      <w:highlight w:val="none"/>
                    </w:rPr>
                  </w:pPr>
                </w:p>
              </w:tc>
              <w:tc>
                <w:tcPr>
                  <w:tcW w:w="440" w:type="pct"/>
                  <w:vMerge w:val="continue"/>
                  <w:tcBorders>
                    <w:tl2br w:val="nil"/>
                    <w:tr2bl w:val="nil"/>
                  </w:tcBorders>
                  <w:shd w:val="clear" w:color="auto" w:fill="auto"/>
                  <w:noWrap w:val="0"/>
                  <w:vAlign w:val="center"/>
                </w:tcPr>
                <w:p w14:paraId="4FAE3618">
                  <w:pPr>
                    <w:shd w:val="clear" w:color="auto" w:fill="auto"/>
                    <w:adjustRightInd w:val="0"/>
                    <w:snapToGrid w:val="0"/>
                    <w:jc w:val="center"/>
                    <w:rPr>
                      <w:rFonts w:hint="eastAsia"/>
                      <w:color w:val="000000"/>
                      <w:sz w:val="21"/>
                      <w:szCs w:val="21"/>
                      <w:highlight w:val="none"/>
                    </w:rPr>
                  </w:pPr>
                </w:p>
              </w:tc>
              <w:tc>
                <w:tcPr>
                  <w:tcW w:w="1056" w:type="pct"/>
                  <w:tcBorders>
                    <w:tl2br w:val="nil"/>
                    <w:tr2bl w:val="nil"/>
                  </w:tcBorders>
                  <w:shd w:val="clear" w:color="auto" w:fill="auto"/>
                  <w:noWrap w:val="0"/>
                  <w:vAlign w:val="center"/>
                </w:tcPr>
                <w:p w14:paraId="420DC0C0">
                  <w:pPr>
                    <w:shd w:val="clear" w:color="auto" w:fill="auto"/>
                    <w:adjustRightInd w:val="0"/>
                    <w:snapToGrid w:val="0"/>
                    <w:jc w:val="center"/>
                    <w:rPr>
                      <w:rFonts w:hint="eastAsia"/>
                      <w:color w:val="000000"/>
                      <w:sz w:val="21"/>
                      <w:szCs w:val="21"/>
                      <w:highlight w:val="none"/>
                    </w:rPr>
                  </w:pPr>
                  <w:r>
                    <w:rPr>
                      <w:rFonts w:hint="eastAsia"/>
                      <w:color w:val="000000"/>
                      <w:sz w:val="21"/>
                      <w:szCs w:val="21"/>
                      <w:highlight w:val="none"/>
                    </w:rPr>
                    <w:t>危险废物</w:t>
                  </w:r>
                </w:p>
              </w:tc>
              <w:tc>
                <w:tcPr>
                  <w:tcW w:w="2121" w:type="pct"/>
                  <w:tcBorders>
                    <w:tl2br w:val="nil"/>
                    <w:tr2bl w:val="nil"/>
                  </w:tcBorders>
                  <w:shd w:val="clear" w:color="auto" w:fill="auto"/>
                  <w:noWrap w:val="0"/>
                  <w:vAlign w:val="center"/>
                </w:tcPr>
                <w:p w14:paraId="438E13FC">
                  <w:pPr>
                    <w:shd w:val="clear" w:color="auto" w:fill="auto"/>
                    <w:adjustRightInd w:val="0"/>
                    <w:snapToGrid w:val="0"/>
                    <w:jc w:val="center"/>
                    <w:rPr>
                      <w:rFonts w:hint="eastAsia"/>
                      <w:color w:val="000000"/>
                      <w:sz w:val="21"/>
                      <w:szCs w:val="21"/>
                      <w:highlight w:val="none"/>
                    </w:rPr>
                  </w:pPr>
                  <w:r>
                    <w:rPr>
                      <w:rFonts w:hint="eastAsia"/>
                      <w:color w:val="000000"/>
                      <w:sz w:val="21"/>
                      <w:szCs w:val="21"/>
                      <w:highlight w:val="none"/>
                      <w:lang w:eastAsia="zh-CN"/>
                    </w:rPr>
                    <w:t>危险废物贮存间</w:t>
                  </w:r>
                  <w:r>
                    <w:rPr>
                      <w:rFonts w:hint="eastAsia"/>
                      <w:color w:val="000000"/>
                      <w:sz w:val="21"/>
                      <w:szCs w:val="21"/>
                      <w:highlight w:val="none"/>
                    </w:rPr>
                    <w:t>1座（</w:t>
                  </w:r>
                  <w:r>
                    <w:rPr>
                      <w:rFonts w:hint="eastAsia"/>
                      <w:color w:val="000000"/>
                      <w:sz w:val="21"/>
                      <w:szCs w:val="21"/>
                      <w:highlight w:val="none"/>
                      <w:lang w:val="en-US" w:eastAsia="zh-CN"/>
                    </w:rPr>
                    <w:t>20</w:t>
                  </w:r>
                  <w:r>
                    <w:rPr>
                      <w:rFonts w:hint="eastAsia"/>
                      <w:color w:val="000000"/>
                      <w:sz w:val="21"/>
                      <w:szCs w:val="21"/>
                      <w:highlight w:val="none"/>
                      <w:lang w:eastAsia="zh-CN"/>
                    </w:rPr>
                    <w:t>㎡</w:t>
                  </w:r>
                  <w:r>
                    <w:rPr>
                      <w:rFonts w:hint="eastAsia"/>
                      <w:color w:val="000000"/>
                      <w:sz w:val="21"/>
                      <w:szCs w:val="21"/>
                      <w:highlight w:val="none"/>
                    </w:rPr>
                    <w:t>）</w:t>
                  </w:r>
                </w:p>
              </w:tc>
              <w:tc>
                <w:tcPr>
                  <w:tcW w:w="997" w:type="pct"/>
                  <w:tcBorders>
                    <w:tl2br w:val="nil"/>
                    <w:tr2bl w:val="nil"/>
                  </w:tcBorders>
                  <w:shd w:val="clear" w:color="auto" w:fill="auto"/>
                  <w:noWrap w:val="0"/>
                  <w:tcMar>
                    <w:top w:w="0" w:type="dxa"/>
                    <w:left w:w="0" w:type="dxa"/>
                    <w:bottom w:w="0" w:type="dxa"/>
                    <w:right w:w="0" w:type="dxa"/>
                  </w:tcMar>
                  <w:vAlign w:val="center"/>
                </w:tcPr>
                <w:p w14:paraId="3772B927">
                  <w:pPr>
                    <w:shd w:val="clear" w:color="auto" w:fill="auto"/>
                    <w:adjustRightInd w:val="0"/>
                    <w:snapToGrid w:val="0"/>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1.5</w:t>
                  </w:r>
                </w:p>
              </w:tc>
            </w:tr>
            <w:tr w14:paraId="3625A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384" w:type="pct"/>
                  <w:vMerge w:val="continue"/>
                  <w:tcBorders>
                    <w:tl2br w:val="nil"/>
                    <w:tr2bl w:val="nil"/>
                  </w:tcBorders>
                  <w:shd w:val="clear" w:color="auto" w:fill="auto"/>
                  <w:noWrap w:val="0"/>
                  <w:vAlign w:val="center"/>
                </w:tcPr>
                <w:p w14:paraId="76E7C3EF">
                  <w:pPr>
                    <w:shd w:val="clear" w:color="auto" w:fill="auto"/>
                    <w:adjustRightInd w:val="0"/>
                    <w:snapToGrid w:val="0"/>
                    <w:jc w:val="center"/>
                    <w:rPr>
                      <w:rFonts w:hint="eastAsia"/>
                      <w:color w:val="000000"/>
                      <w:sz w:val="21"/>
                      <w:szCs w:val="21"/>
                      <w:highlight w:val="none"/>
                    </w:rPr>
                  </w:pPr>
                </w:p>
              </w:tc>
              <w:tc>
                <w:tcPr>
                  <w:tcW w:w="440" w:type="pct"/>
                  <w:vMerge w:val="continue"/>
                  <w:tcBorders>
                    <w:tl2br w:val="nil"/>
                    <w:tr2bl w:val="nil"/>
                  </w:tcBorders>
                  <w:shd w:val="clear" w:color="auto" w:fill="auto"/>
                  <w:noWrap w:val="0"/>
                  <w:vAlign w:val="center"/>
                </w:tcPr>
                <w:p w14:paraId="17E76208">
                  <w:pPr>
                    <w:shd w:val="clear" w:color="auto" w:fill="auto"/>
                    <w:adjustRightInd w:val="0"/>
                    <w:snapToGrid w:val="0"/>
                    <w:jc w:val="center"/>
                    <w:rPr>
                      <w:rFonts w:hint="eastAsia"/>
                      <w:color w:val="000000"/>
                      <w:sz w:val="21"/>
                      <w:szCs w:val="21"/>
                      <w:highlight w:val="none"/>
                    </w:rPr>
                  </w:pPr>
                </w:p>
              </w:tc>
              <w:tc>
                <w:tcPr>
                  <w:tcW w:w="1056" w:type="pct"/>
                  <w:tcBorders>
                    <w:tl2br w:val="nil"/>
                    <w:tr2bl w:val="nil"/>
                  </w:tcBorders>
                  <w:shd w:val="clear" w:color="auto" w:fill="auto"/>
                  <w:noWrap w:val="0"/>
                  <w:vAlign w:val="center"/>
                </w:tcPr>
                <w:p w14:paraId="5B246FCA">
                  <w:pPr>
                    <w:shd w:val="clear" w:color="auto" w:fill="auto"/>
                    <w:adjustRightInd w:val="0"/>
                    <w:snapToGrid w:val="0"/>
                    <w:jc w:val="center"/>
                    <w:rPr>
                      <w:rFonts w:hint="eastAsia"/>
                      <w:color w:val="000000"/>
                      <w:sz w:val="21"/>
                      <w:szCs w:val="21"/>
                      <w:highlight w:val="none"/>
                    </w:rPr>
                  </w:pPr>
                  <w:r>
                    <w:rPr>
                      <w:rFonts w:hint="eastAsia"/>
                      <w:color w:val="000000"/>
                      <w:sz w:val="21"/>
                      <w:szCs w:val="21"/>
                      <w:highlight w:val="none"/>
                    </w:rPr>
                    <w:t>一般固废</w:t>
                  </w:r>
                </w:p>
              </w:tc>
              <w:tc>
                <w:tcPr>
                  <w:tcW w:w="2121" w:type="pct"/>
                  <w:tcBorders>
                    <w:tl2br w:val="nil"/>
                    <w:tr2bl w:val="nil"/>
                  </w:tcBorders>
                  <w:shd w:val="clear" w:color="auto" w:fill="auto"/>
                  <w:noWrap w:val="0"/>
                  <w:vAlign w:val="center"/>
                </w:tcPr>
                <w:p w14:paraId="1E881789">
                  <w:pPr>
                    <w:shd w:val="clear" w:color="auto" w:fill="auto"/>
                    <w:adjustRightInd w:val="0"/>
                    <w:snapToGrid w:val="0"/>
                    <w:jc w:val="center"/>
                    <w:rPr>
                      <w:rFonts w:hint="eastAsia"/>
                      <w:color w:val="000000"/>
                      <w:sz w:val="21"/>
                      <w:szCs w:val="21"/>
                      <w:highlight w:val="none"/>
                    </w:rPr>
                  </w:pPr>
                  <w:r>
                    <w:rPr>
                      <w:rFonts w:hint="eastAsia"/>
                      <w:color w:val="000000"/>
                      <w:sz w:val="21"/>
                      <w:szCs w:val="21"/>
                      <w:highlight w:val="none"/>
                    </w:rPr>
                    <w:t>一般固废暂存</w:t>
                  </w:r>
                  <w:r>
                    <w:rPr>
                      <w:rFonts w:hint="eastAsia"/>
                      <w:color w:val="000000"/>
                      <w:sz w:val="21"/>
                      <w:szCs w:val="21"/>
                      <w:highlight w:val="none"/>
                      <w:lang w:val="en-US" w:eastAsia="zh-CN"/>
                    </w:rPr>
                    <w:t>间</w:t>
                  </w:r>
                  <w:r>
                    <w:rPr>
                      <w:rFonts w:hint="eastAsia"/>
                      <w:color w:val="000000"/>
                      <w:sz w:val="21"/>
                      <w:szCs w:val="21"/>
                      <w:highlight w:val="none"/>
                    </w:rPr>
                    <w:t>（</w:t>
                  </w:r>
                  <w:r>
                    <w:rPr>
                      <w:rFonts w:hint="eastAsia"/>
                      <w:color w:val="000000"/>
                      <w:sz w:val="21"/>
                      <w:szCs w:val="21"/>
                      <w:highlight w:val="none"/>
                      <w:lang w:val="en-US" w:eastAsia="zh-CN"/>
                    </w:rPr>
                    <w:t>50</w:t>
                  </w:r>
                  <w:r>
                    <w:rPr>
                      <w:rFonts w:hint="eastAsia"/>
                      <w:color w:val="000000"/>
                      <w:sz w:val="21"/>
                      <w:szCs w:val="21"/>
                      <w:highlight w:val="none"/>
                      <w:lang w:eastAsia="zh-CN"/>
                    </w:rPr>
                    <w:t>㎡</w:t>
                  </w:r>
                  <w:r>
                    <w:rPr>
                      <w:rFonts w:hint="eastAsia"/>
                      <w:color w:val="000000"/>
                      <w:sz w:val="21"/>
                      <w:szCs w:val="21"/>
                      <w:highlight w:val="none"/>
                    </w:rPr>
                    <w:t>）</w:t>
                  </w:r>
                </w:p>
              </w:tc>
              <w:tc>
                <w:tcPr>
                  <w:tcW w:w="997" w:type="pct"/>
                  <w:tcBorders>
                    <w:tl2br w:val="nil"/>
                    <w:tr2bl w:val="nil"/>
                  </w:tcBorders>
                  <w:shd w:val="clear" w:color="auto" w:fill="auto"/>
                  <w:noWrap w:val="0"/>
                  <w:tcMar>
                    <w:top w:w="0" w:type="dxa"/>
                    <w:left w:w="0" w:type="dxa"/>
                    <w:bottom w:w="0" w:type="dxa"/>
                    <w:right w:w="0" w:type="dxa"/>
                  </w:tcMar>
                  <w:vAlign w:val="center"/>
                </w:tcPr>
                <w:p w14:paraId="29807D64">
                  <w:pPr>
                    <w:shd w:val="clear" w:color="auto" w:fill="auto"/>
                    <w:adjustRightInd w:val="0"/>
                    <w:snapToGrid w:val="0"/>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2.0</w:t>
                  </w:r>
                </w:p>
              </w:tc>
            </w:tr>
            <w:tr w14:paraId="292D2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384" w:type="pct"/>
                  <w:vMerge w:val="continue"/>
                  <w:tcBorders>
                    <w:tl2br w:val="nil"/>
                    <w:tr2bl w:val="nil"/>
                  </w:tcBorders>
                  <w:shd w:val="clear" w:color="auto" w:fill="auto"/>
                  <w:noWrap w:val="0"/>
                  <w:vAlign w:val="center"/>
                </w:tcPr>
                <w:p w14:paraId="084D7247">
                  <w:pPr>
                    <w:shd w:val="clear" w:color="auto" w:fill="auto"/>
                    <w:adjustRightInd w:val="0"/>
                    <w:snapToGrid w:val="0"/>
                    <w:jc w:val="center"/>
                    <w:rPr>
                      <w:rFonts w:hint="eastAsia"/>
                      <w:color w:val="000000"/>
                      <w:sz w:val="21"/>
                      <w:szCs w:val="21"/>
                      <w:highlight w:val="none"/>
                    </w:rPr>
                  </w:pPr>
                </w:p>
              </w:tc>
              <w:tc>
                <w:tcPr>
                  <w:tcW w:w="1497" w:type="pct"/>
                  <w:gridSpan w:val="2"/>
                  <w:tcBorders>
                    <w:tl2br w:val="nil"/>
                    <w:tr2bl w:val="nil"/>
                  </w:tcBorders>
                  <w:shd w:val="clear" w:color="auto" w:fill="auto"/>
                  <w:noWrap w:val="0"/>
                  <w:vAlign w:val="center"/>
                </w:tcPr>
                <w:p w14:paraId="17945DF2">
                  <w:pPr>
                    <w:shd w:val="clear" w:color="auto" w:fill="auto"/>
                    <w:adjustRightInd w:val="0"/>
                    <w:snapToGrid w:val="0"/>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分区防渗</w:t>
                  </w:r>
                </w:p>
              </w:tc>
              <w:tc>
                <w:tcPr>
                  <w:tcW w:w="2121" w:type="pct"/>
                  <w:tcBorders>
                    <w:tl2br w:val="nil"/>
                    <w:tr2bl w:val="nil"/>
                  </w:tcBorders>
                  <w:shd w:val="clear" w:color="auto" w:fill="auto"/>
                  <w:noWrap w:val="0"/>
                  <w:vAlign w:val="center"/>
                </w:tcPr>
                <w:p w14:paraId="0C7188F0">
                  <w:pPr>
                    <w:shd w:val="clear" w:color="auto" w:fill="auto"/>
                    <w:adjustRightInd w:val="0"/>
                    <w:snapToGrid w:val="0"/>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重点防渗、一般防渗</w:t>
                  </w:r>
                </w:p>
              </w:tc>
              <w:tc>
                <w:tcPr>
                  <w:tcW w:w="997" w:type="pct"/>
                  <w:tcBorders>
                    <w:tl2br w:val="nil"/>
                    <w:tr2bl w:val="nil"/>
                  </w:tcBorders>
                  <w:shd w:val="clear" w:color="auto" w:fill="auto"/>
                  <w:noWrap w:val="0"/>
                  <w:tcMar>
                    <w:top w:w="0" w:type="dxa"/>
                    <w:left w:w="0" w:type="dxa"/>
                    <w:bottom w:w="0" w:type="dxa"/>
                    <w:right w:w="0" w:type="dxa"/>
                  </w:tcMar>
                  <w:vAlign w:val="center"/>
                </w:tcPr>
                <w:p w14:paraId="0F332D25">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2.0</w:t>
                  </w:r>
                </w:p>
              </w:tc>
            </w:tr>
            <w:tr w14:paraId="789A7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384" w:type="pct"/>
                  <w:vMerge w:val="continue"/>
                  <w:tcBorders>
                    <w:tl2br w:val="nil"/>
                    <w:tr2bl w:val="nil"/>
                  </w:tcBorders>
                  <w:shd w:val="clear" w:color="auto" w:fill="auto"/>
                  <w:noWrap w:val="0"/>
                  <w:vAlign w:val="center"/>
                </w:tcPr>
                <w:p w14:paraId="1698DAB3">
                  <w:pPr>
                    <w:shd w:val="clear" w:color="auto" w:fill="auto"/>
                    <w:adjustRightInd w:val="0"/>
                    <w:snapToGrid w:val="0"/>
                    <w:jc w:val="center"/>
                    <w:rPr>
                      <w:rFonts w:hint="eastAsia"/>
                      <w:color w:val="000000"/>
                      <w:sz w:val="21"/>
                      <w:szCs w:val="21"/>
                      <w:highlight w:val="none"/>
                    </w:rPr>
                  </w:pPr>
                </w:p>
              </w:tc>
              <w:tc>
                <w:tcPr>
                  <w:tcW w:w="1497" w:type="pct"/>
                  <w:gridSpan w:val="2"/>
                  <w:tcBorders>
                    <w:tl2br w:val="nil"/>
                    <w:tr2bl w:val="nil"/>
                  </w:tcBorders>
                  <w:shd w:val="clear" w:color="auto" w:fill="auto"/>
                  <w:noWrap w:val="0"/>
                  <w:vAlign w:val="center"/>
                </w:tcPr>
                <w:p w14:paraId="1B845006">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环境风险</w:t>
                  </w:r>
                </w:p>
              </w:tc>
              <w:tc>
                <w:tcPr>
                  <w:tcW w:w="2121" w:type="pct"/>
                  <w:tcBorders>
                    <w:tl2br w:val="nil"/>
                    <w:tr2bl w:val="nil"/>
                  </w:tcBorders>
                  <w:shd w:val="clear" w:color="auto" w:fill="auto"/>
                  <w:noWrap w:val="0"/>
                  <w:vAlign w:val="center"/>
                </w:tcPr>
                <w:p w14:paraId="5235C2CD">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应急事故池1座50m³</w:t>
                  </w:r>
                </w:p>
              </w:tc>
              <w:tc>
                <w:tcPr>
                  <w:tcW w:w="997" w:type="pct"/>
                  <w:tcBorders>
                    <w:tl2br w:val="nil"/>
                    <w:tr2bl w:val="nil"/>
                  </w:tcBorders>
                  <w:shd w:val="clear" w:color="auto" w:fill="auto"/>
                  <w:noWrap w:val="0"/>
                  <w:tcMar>
                    <w:top w:w="0" w:type="dxa"/>
                    <w:left w:w="0" w:type="dxa"/>
                    <w:bottom w:w="0" w:type="dxa"/>
                    <w:right w:w="0" w:type="dxa"/>
                  </w:tcMar>
                  <w:vAlign w:val="center"/>
                </w:tcPr>
                <w:p w14:paraId="4F6E62D5">
                  <w:pPr>
                    <w:shd w:val="clear" w:color="auto" w:fill="auto"/>
                    <w:adjustRightInd w:val="0"/>
                    <w:snapToGrid w:val="0"/>
                    <w:jc w:val="center"/>
                    <w:rPr>
                      <w:rFonts w:hint="default"/>
                      <w:color w:val="000000"/>
                      <w:sz w:val="21"/>
                      <w:szCs w:val="21"/>
                      <w:highlight w:val="none"/>
                      <w:lang w:val="en-US" w:eastAsia="zh-CN"/>
                    </w:rPr>
                  </w:pPr>
                  <w:r>
                    <w:rPr>
                      <w:rFonts w:hint="eastAsia"/>
                      <w:color w:val="000000"/>
                      <w:sz w:val="21"/>
                      <w:szCs w:val="21"/>
                      <w:highlight w:val="none"/>
                      <w:lang w:val="en-US" w:eastAsia="zh-CN"/>
                    </w:rPr>
                    <w:t>1.5</w:t>
                  </w:r>
                </w:p>
              </w:tc>
            </w:tr>
            <w:tr w14:paraId="3F1E5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5" w:hRule="atLeast"/>
                <w:jc w:val="center"/>
              </w:trPr>
              <w:tc>
                <w:tcPr>
                  <w:tcW w:w="4002" w:type="pct"/>
                  <w:gridSpan w:val="4"/>
                  <w:tcBorders>
                    <w:tl2br w:val="nil"/>
                    <w:tr2bl w:val="nil"/>
                  </w:tcBorders>
                  <w:shd w:val="clear" w:color="auto" w:fill="auto"/>
                  <w:noWrap w:val="0"/>
                  <w:vAlign w:val="center"/>
                </w:tcPr>
                <w:p w14:paraId="066153AD">
                  <w:pPr>
                    <w:shd w:val="clear" w:color="auto" w:fill="auto"/>
                    <w:adjustRightInd w:val="0"/>
                    <w:snapToGrid w:val="0"/>
                    <w:jc w:val="center"/>
                    <w:rPr>
                      <w:rFonts w:hint="eastAsia"/>
                      <w:color w:val="000000"/>
                      <w:sz w:val="21"/>
                      <w:szCs w:val="21"/>
                      <w:highlight w:val="none"/>
                    </w:rPr>
                  </w:pPr>
                  <w:r>
                    <w:rPr>
                      <w:rFonts w:hint="eastAsia"/>
                      <w:color w:val="000000"/>
                      <w:sz w:val="21"/>
                      <w:szCs w:val="21"/>
                      <w:highlight w:val="none"/>
                    </w:rPr>
                    <w:t>合计</w:t>
                  </w:r>
                </w:p>
              </w:tc>
              <w:tc>
                <w:tcPr>
                  <w:tcW w:w="997" w:type="pct"/>
                  <w:tcBorders>
                    <w:tl2br w:val="nil"/>
                    <w:tr2bl w:val="nil"/>
                  </w:tcBorders>
                  <w:shd w:val="clear" w:color="auto" w:fill="auto"/>
                  <w:noWrap w:val="0"/>
                  <w:tcMar>
                    <w:top w:w="0" w:type="dxa"/>
                    <w:left w:w="0" w:type="dxa"/>
                    <w:bottom w:w="0" w:type="dxa"/>
                    <w:right w:w="0" w:type="dxa"/>
                  </w:tcMar>
                  <w:vAlign w:val="center"/>
                </w:tcPr>
                <w:p w14:paraId="08AF5B0F">
                  <w:pPr>
                    <w:shd w:val="clear" w:color="auto" w:fill="auto"/>
                    <w:adjustRightInd w:val="0"/>
                    <w:snapToGrid w:val="0"/>
                    <w:jc w:val="center"/>
                    <w:rPr>
                      <w:rFonts w:hint="default" w:eastAsia="宋体"/>
                      <w:color w:val="000000"/>
                      <w:sz w:val="21"/>
                      <w:szCs w:val="21"/>
                      <w:highlight w:val="none"/>
                      <w:lang w:val="en-US" w:eastAsia="zh-CN"/>
                    </w:rPr>
                  </w:pPr>
                  <w:r>
                    <w:rPr>
                      <w:rFonts w:hint="eastAsia"/>
                      <w:color w:val="000000"/>
                      <w:sz w:val="21"/>
                      <w:szCs w:val="21"/>
                      <w:highlight w:val="none"/>
                      <w:lang w:val="en-US" w:eastAsia="zh-CN"/>
                    </w:rPr>
                    <w:t>68.2</w:t>
                  </w:r>
                </w:p>
              </w:tc>
            </w:tr>
          </w:tbl>
          <w:p w14:paraId="051A7D1C">
            <w:pPr>
              <w:pStyle w:val="22"/>
              <w:ind w:left="0" w:leftChars="0" w:firstLine="0" w:firstLineChars="0"/>
              <w:rPr>
                <w:rFonts w:hint="eastAsia"/>
              </w:rPr>
            </w:pPr>
          </w:p>
          <w:p w14:paraId="099D8514">
            <w:pPr>
              <w:pStyle w:val="22"/>
              <w:ind w:left="0" w:leftChars="0" w:firstLine="0" w:firstLineChars="0"/>
              <w:rPr>
                <w:rFonts w:hint="eastAsia"/>
              </w:rPr>
            </w:pPr>
          </w:p>
          <w:p w14:paraId="453BC83A">
            <w:pPr>
              <w:pStyle w:val="22"/>
              <w:ind w:left="0" w:leftChars="0" w:firstLine="0" w:firstLineChars="0"/>
              <w:rPr>
                <w:rFonts w:hint="eastAsia"/>
              </w:rPr>
            </w:pPr>
          </w:p>
          <w:p w14:paraId="348D609E">
            <w:pPr>
              <w:pStyle w:val="22"/>
              <w:ind w:left="0" w:leftChars="0" w:firstLine="0" w:firstLineChars="0"/>
              <w:rPr>
                <w:rFonts w:hint="eastAsia"/>
              </w:rPr>
            </w:pPr>
          </w:p>
          <w:p w14:paraId="3984C22C">
            <w:pPr>
              <w:pStyle w:val="22"/>
              <w:ind w:left="0" w:leftChars="0" w:firstLine="0" w:firstLineChars="0"/>
              <w:rPr>
                <w:rFonts w:hint="eastAsia"/>
              </w:rPr>
            </w:pPr>
          </w:p>
          <w:p w14:paraId="5D6A9665">
            <w:pPr>
              <w:pStyle w:val="22"/>
              <w:ind w:left="0" w:leftChars="0" w:firstLine="0" w:firstLineChars="0"/>
              <w:rPr>
                <w:rFonts w:hint="eastAsia"/>
              </w:rPr>
            </w:pPr>
          </w:p>
          <w:p w14:paraId="41D735C9">
            <w:pPr>
              <w:pStyle w:val="22"/>
              <w:ind w:left="0" w:leftChars="0" w:firstLine="0" w:firstLineChars="0"/>
              <w:rPr>
                <w:rFonts w:hint="eastAsia"/>
              </w:rPr>
            </w:pPr>
          </w:p>
          <w:p w14:paraId="5840BE33">
            <w:pPr>
              <w:pStyle w:val="22"/>
              <w:ind w:left="0" w:leftChars="0" w:firstLine="0" w:firstLineChars="0"/>
              <w:rPr>
                <w:rFonts w:hint="eastAsia"/>
              </w:rPr>
            </w:pPr>
          </w:p>
          <w:p w14:paraId="02B28ED7">
            <w:pPr>
              <w:pStyle w:val="22"/>
              <w:ind w:left="0" w:leftChars="0" w:firstLine="0" w:firstLineChars="0"/>
              <w:rPr>
                <w:rFonts w:hint="eastAsia"/>
              </w:rPr>
            </w:pPr>
          </w:p>
          <w:p w14:paraId="69F5DB27">
            <w:pPr>
              <w:pStyle w:val="22"/>
              <w:ind w:left="0" w:leftChars="0" w:firstLine="0" w:firstLineChars="0"/>
              <w:rPr>
                <w:rFonts w:hint="eastAsia"/>
              </w:rPr>
            </w:pPr>
          </w:p>
          <w:p w14:paraId="4A980DE6">
            <w:pPr>
              <w:pStyle w:val="22"/>
              <w:ind w:left="0" w:leftChars="0" w:firstLine="0" w:firstLineChars="0"/>
              <w:rPr>
                <w:rFonts w:hint="eastAsia"/>
              </w:rPr>
            </w:pPr>
          </w:p>
          <w:p w14:paraId="0A580A3D">
            <w:pPr>
              <w:pStyle w:val="22"/>
              <w:ind w:left="0" w:leftChars="0" w:firstLine="0" w:firstLineChars="0"/>
              <w:rPr>
                <w:rFonts w:hint="eastAsia"/>
              </w:rPr>
            </w:pPr>
          </w:p>
          <w:p w14:paraId="33BFB064">
            <w:pPr>
              <w:pStyle w:val="22"/>
              <w:ind w:left="0" w:leftChars="0" w:firstLine="0" w:firstLineChars="0"/>
              <w:rPr>
                <w:rFonts w:hint="eastAsia"/>
              </w:rPr>
            </w:pPr>
          </w:p>
          <w:p w14:paraId="215C385B">
            <w:pPr>
              <w:pStyle w:val="22"/>
              <w:ind w:left="0" w:leftChars="0" w:firstLine="0" w:firstLineChars="0"/>
              <w:rPr>
                <w:rFonts w:hint="eastAsia"/>
              </w:rPr>
            </w:pPr>
          </w:p>
          <w:p w14:paraId="2D618C5D">
            <w:pPr>
              <w:pStyle w:val="22"/>
              <w:ind w:left="0" w:leftChars="0" w:firstLine="0" w:firstLineChars="0"/>
              <w:rPr>
                <w:rFonts w:hint="eastAsia"/>
              </w:rPr>
            </w:pPr>
          </w:p>
          <w:p w14:paraId="27078844">
            <w:pPr>
              <w:pStyle w:val="22"/>
              <w:ind w:left="0" w:leftChars="0" w:firstLine="0" w:firstLineChars="0"/>
              <w:rPr>
                <w:rFonts w:hint="eastAsia"/>
              </w:rPr>
            </w:pPr>
          </w:p>
          <w:p w14:paraId="379995E0">
            <w:pPr>
              <w:pStyle w:val="22"/>
              <w:ind w:left="0" w:leftChars="0" w:firstLine="0" w:firstLineChars="0"/>
              <w:rPr>
                <w:rFonts w:hint="eastAsia"/>
              </w:rPr>
            </w:pPr>
          </w:p>
        </w:tc>
      </w:tr>
    </w:tbl>
    <w:p w14:paraId="183CAF57">
      <w:pPr>
        <w:shd w:val="clear" w:color="auto" w:fill="auto"/>
        <w:adjustRightInd w:val="0"/>
        <w:snapToGrid w:val="0"/>
        <w:spacing w:line="360" w:lineRule="auto"/>
        <w:rPr>
          <w:rFonts w:hint="eastAsia" w:ascii="宋体" w:cs="宋体"/>
          <w:b/>
          <w:color w:val="000000"/>
          <w:kern w:val="0"/>
          <w:sz w:val="21"/>
          <w:szCs w:val="21"/>
          <w:highlight w:val="none"/>
        </w:rPr>
        <w:sectPr>
          <w:pgSz w:w="11907" w:h="16840"/>
          <w:pgMar w:top="1701" w:right="1531" w:bottom="2127" w:left="1531" w:header="851" w:footer="1701" w:gutter="0"/>
          <w:pgBorders>
            <w:top w:val="none" w:sz="0" w:space="0"/>
            <w:left w:val="none" w:sz="0" w:space="0"/>
            <w:bottom w:val="none" w:sz="0" w:space="0"/>
            <w:right w:val="none" w:sz="0" w:space="0"/>
          </w:pgBorders>
          <w:pgNumType w:fmt="decimal"/>
          <w:cols w:space="720" w:num="1"/>
          <w:docGrid w:linePitch="312" w:charSpace="0"/>
        </w:sectPr>
      </w:pPr>
    </w:p>
    <w:p w14:paraId="77151929">
      <w:pPr>
        <w:pStyle w:val="66"/>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ascii="黑体" w:hAnsi="黑体" w:eastAsia="黑体"/>
          <w:snapToGrid w:val="0"/>
          <w:color w:val="000000"/>
          <w:sz w:val="30"/>
          <w:szCs w:val="30"/>
          <w:highlight w:val="none"/>
        </w:rPr>
      </w:pPr>
      <w:r>
        <w:rPr>
          <w:rFonts w:hint="eastAsia" w:ascii="黑体" w:hAnsi="黑体" w:eastAsia="黑体"/>
          <w:snapToGrid w:val="0"/>
          <w:color w:val="000000"/>
          <w:sz w:val="30"/>
          <w:szCs w:val="30"/>
          <w:highlight w:val="none"/>
        </w:rPr>
        <w:t>五、</w:t>
      </w:r>
      <w:bookmarkStart w:id="37" w:name="_Hlk54167917"/>
      <w:r>
        <w:rPr>
          <w:rFonts w:hint="eastAsia" w:ascii="黑体" w:hAnsi="黑体" w:eastAsia="黑体"/>
          <w:snapToGrid w:val="0"/>
          <w:color w:val="000000"/>
          <w:sz w:val="30"/>
          <w:szCs w:val="30"/>
          <w:highlight w:val="none"/>
        </w:rPr>
        <w:t>环境保护措施监督检查清单</w:t>
      </w:r>
      <w:bookmarkEnd w:id="37"/>
    </w:p>
    <w:tbl>
      <w:tblPr>
        <w:tblStyle w:val="21"/>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491"/>
        <w:gridCol w:w="1639"/>
        <w:gridCol w:w="1804"/>
        <w:gridCol w:w="1607"/>
        <w:gridCol w:w="2514"/>
      </w:tblGrid>
      <w:tr w14:paraId="773525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4" w:hRule="atLeast"/>
          <w:jc w:val="center"/>
        </w:trPr>
        <w:tc>
          <w:tcPr>
            <w:tcW w:w="823" w:type="pct"/>
            <w:tcBorders>
              <w:tl2br w:val="single" w:color="auto" w:sz="4" w:space="0"/>
            </w:tcBorders>
            <w:shd w:val="clear" w:color="auto" w:fill="auto"/>
            <w:noWrap w:val="0"/>
            <w:vAlign w:val="top"/>
          </w:tcPr>
          <w:p w14:paraId="3954ABB5">
            <w:pPr>
              <w:shd w:val="clear" w:color="auto" w:fill="auto"/>
              <w:adjustRightInd w:val="0"/>
              <w:snapToGrid w:val="0"/>
              <w:ind w:firstLine="840"/>
              <w:rPr>
                <w:rFonts w:hint="eastAsia" w:ascii="宋体" w:hAnsi="宋体" w:cs="宋体"/>
                <w:color w:val="000000"/>
                <w:sz w:val="21"/>
                <w:szCs w:val="21"/>
                <w:highlight w:val="none"/>
              </w:rPr>
            </w:pPr>
            <w:r>
              <w:rPr>
                <w:rFonts w:hint="eastAsia" w:ascii="宋体" w:hAnsi="宋体" w:cs="宋体"/>
                <w:color w:val="000000"/>
                <w:sz w:val="21"/>
                <w:szCs w:val="21"/>
                <w:highlight w:val="none"/>
              </w:rPr>
              <w:t>内容</w:t>
            </w:r>
          </w:p>
          <w:p w14:paraId="1A49AD7C">
            <w:pPr>
              <w:shd w:val="clear" w:color="auto" w:fill="auto"/>
              <w:adjustRightInd w:val="0"/>
              <w:snapToGrid w:val="0"/>
              <w:rPr>
                <w:rFonts w:hint="eastAsia" w:ascii="宋体" w:hAnsi="宋体" w:cs="宋体"/>
                <w:color w:val="000000"/>
                <w:sz w:val="21"/>
                <w:szCs w:val="21"/>
                <w:highlight w:val="none"/>
              </w:rPr>
            </w:pPr>
            <w:r>
              <w:rPr>
                <w:rFonts w:hint="eastAsia" w:ascii="宋体" w:hAnsi="宋体" w:cs="宋体"/>
                <w:color w:val="000000"/>
                <w:sz w:val="21"/>
                <w:szCs w:val="21"/>
                <w:highlight w:val="none"/>
              </w:rPr>
              <w:t>要素</w:t>
            </w:r>
          </w:p>
        </w:tc>
        <w:tc>
          <w:tcPr>
            <w:tcW w:w="905" w:type="pct"/>
            <w:shd w:val="clear" w:color="auto" w:fill="auto"/>
            <w:noWrap w:val="0"/>
            <w:vAlign w:val="center"/>
          </w:tcPr>
          <w:p w14:paraId="7452E0F9">
            <w:pPr>
              <w:shd w:val="clear" w:color="auto" w:fill="auto"/>
              <w:adjustRightInd w:val="0"/>
              <w:snapToGrid w:val="0"/>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排放口</w:t>
            </w: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rPr>
              <w:t>编号、</w:t>
            </w:r>
          </w:p>
          <w:p w14:paraId="2473AFB0">
            <w:pPr>
              <w:shd w:val="clear" w:color="auto" w:fill="auto"/>
              <w:adjustRightInd w:val="0"/>
              <w:snapToGrid w:val="0"/>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名称</w:t>
            </w: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rPr>
              <w:t>/污染源</w:t>
            </w:r>
          </w:p>
        </w:tc>
        <w:tc>
          <w:tcPr>
            <w:tcW w:w="996" w:type="pct"/>
            <w:shd w:val="clear" w:color="auto" w:fill="auto"/>
            <w:noWrap w:val="0"/>
            <w:vAlign w:val="center"/>
          </w:tcPr>
          <w:p w14:paraId="7008272D">
            <w:pPr>
              <w:shd w:val="clear" w:color="auto" w:fill="auto"/>
              <w:adjustRightInd w:val="0"/>
              <w:snapToGrid w:val="0"/>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污染物项目</w:t>
            </w:r>
          </w:p>
        </w:tc>
        <w:tc>
          <w:tcPr>
            <w:tcW w:w="887" w:type="pct"/>
            <w:shd w:val="clear" w:color="auto" w:fill="auto"/>
            <w:noWrap w:val="0"/>
            <w:vAlign w:val="center"/>
          </w:tcPr>
          <w:p w14:paraId="160AC77E">
            <w:pPr>
              <w:shd w:val="clear" w:color="auto" w:fill="auto"/>
              <w:adjustRightInd w:val="0"/>
              <w:snapToGrid w:val="0"/>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环境保护措施</w:t>
            </w:r>
          </w:p>
        </w:tc>
        <w:tc>
          <w:tcPr>
            <w:tcW w:w="1388" w:type="pct"/>
            <w:shd w:val="clear" w:color="auto" w:fill="auto"/>
            <w:noWrap w:val="0"/>
            <w:vAlign w:val="center"/>
          </w:tcPr>
          <w:p w14:paraId="33B7E3BC">
            <w:pPr>
              <w:shd w:val="clear" w:color="auto" w:fill="auto"/>
              <w:adjustRightInd w:val="0"/>
              <w:snapToGrid w:val="0"/>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执行标准</w:t>
            </w:r>
          </w:p>
        </w:tc>
      </w:tr>
      <w:tr w14:paraId="3F039F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1" w:hRule="atLeast"/>
          <w:jc w:val="center"/>
        </w:trPr>
        <w:tc>
          <w:tcPr>
            <w:tcW w:w="823" w:type="pct"/>
            <w:vMerge w:val="restart"/>
            <w:shd w:val="clear" w:color="auto" w:fill="auto"/>
            <w:noWrap w:val="0"/>
            <w:vAlign w:val="center"/>
          </w:tcPr>
          <w:p w14:paraId="33DCB3B8">
            <w:pPr>
              <w:shd w:val="clear" w:color="auto" w:fill="auto"/>
              <w:adjustRightInd w:val="0"/>
              <w:snapToGrid w:val="0"/>
              <w:jc w:val="center"/>
              <w:rPr>
                <w:rFonts w:hint="default"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大气环境</w:t>
            </w:r>
          </w:p>
        </w:tc>
        <w:tc>
          <w:tcPr>
            <w:tcW w:w="905" w:type="pct"/>
            <w:shd w:val="clear" w:color="auto" w:fill="auto"/>
            <w:noWrap w:val="0"/>
            <w:vAlign w:val="center"/>
          </w:tcPr>
          <w:p w14:paraId="1C88BE87">
            <w:pPr>
              <w:widowControl/>
              <w:shd w:val="clear" w:color="auto" w:fill="auto"/>
              <w:adjustRightInd w:val="0"/>
              <w:snapToGrid w:val="0"/>
              <w:jc w:val="center"/>
              <w:rPr>
                <w:rFonts w:hint="default"/>
                <w:bCs/>
                <w:color w:val="000000"/>
                <w:sz w:val="21"/>
                <w:szCs w:val="21"/>
                <w:highlight w:val="none"/>
                <w:lang w:val="en-US" w:eastAsia="zh-CN" w:bidi="zh-HK"/>
              </w:rPr>
            </w:pPr>
            <w:r>
              <w:rPr>
                <w:rFonts w:hint="eastAsia"/>
                <w:bCs/>
                <w:color w:val="000000"/>
                <w:sz w:val="21"/>
                <w:szCs w:val="21"/>
                <w:highlight w:val="none"/>
                <w:lang w:val="en-US" w:eastAsia="zh-CN" w:bidi="zh-HK"/>
              </w:rPr>
              <w:t>DA001</w:t>
            </w:r>
            <w:r>
              <w:t>粮食粉碎</w:t>
            </w:r>
            <w:r>
              <w:rPr>
                <w:rFonts w:hint="eastAsia"/>
                <w:bCs/>
                <w:color w:val="000000"/>
                <w:sz w:val="21"/>
                <w:szCs w:val="21"/>
                <w:highlight w:val="none"/>
                <w:lang w:val="en-US" w:eastAsia="zh-CN" w:bidi="zh-HK"/>
              </w:rPr>
              <w:t>、大曲粉碎</w:t>
            </w:r>
            <w:r>
              <w:t>等粉尘</w:t>
            </w:r>
            <w:r>
              <w:rPr>
                <w:rFonts w:hint="eastAsia"/>
                <w:bCs/>
                <w:color w:val="000000"/>
                <w:sz w:val="21"/>
                <w:szCs w:val="21"/>
                <w:highlight w:val="none"/>
                <w:lang w:val="en-US" w:eastAsia="zh-CN" w:bidi="zh-HK"/>
              </w:rPr>
              <w:t>排放口</w:t>
            </w:r>
          </w:p>
        </w:tc>
        <w:tc>
          <w:tcPr>
            <w:tcW w:w="996" w:type="pct"/>
            <w:shd w:val="clear" w:color="auto" w:fill="auto"/>
            <w:noWrap w:val="0"/>
            <w:vAlign w:val="center"/>
          </w:tcPr>
          <w:p w14:paraId="43307617">
            <w:pPr>
              <w:shd w:val="clear" w:color="auto" w:fill="auto"/>
              <w:adjustRightInd w:val="0"/>
              <w:snapToGrid w:val="0"/>
              <w:jc w:val="center"/>
              <w:rPr>
                <w:rFonts w:hint="default"/>
                <w:bCs/>
                <w:color w:val="000000"/>
                <w:sz w:val="21"/>
                <w:szCs w:val="21"/>
                <w:highlight w:val="none"/>
                <w:lang w:val="en-US" w:eastAsia="zh-CN" w:bidi="zh-HK"/>
              </w:rPr>
            </w:pPr>
            <w:r>
              <w:rPr>
                <w:rFonts w:hint="eastAsia"/>
                <w:bCs/>
                <w:color w:val="000000"/>
                <w:sz w:val="21"/>
                <w:szCs w:val="21"/>
                <w:highlight w:val="none"/>
                <w:lang w:val="en-US" w:eastAsia="zh-CN" w:bidi="zh-HK"/>
              </w:rPr>
              <w:t>颗粒物</w:t>
            </w:r>
          </w:p>
        </w:tc>
        <w:tc>
          <w:tcPr>
            <w:tcW w:w="887" w:type="pct"/>
            <w:tcBorders>
              <w:bottom w:val="single" w:color="auto" w:sz="4" w:space="0"/>
            </w:tcBorders>
            <w:shd w:val="clear" w:color="auto" w:fill="auto"/>
            <w:noWrap w:val="0"/>
            <w:vAlign w:val="center"/>
          </w:tcPr>
          <w:p w14:paraId="0288A302">
            <w:pPr>
              <w:keepNext w:val="0"/>
              <w:keepLines w:val="0"/>
              <w:suppressLineNumbers w:val="0"/>
              <w:shd w:val="clear" w:color="auto" w:fill="auto"/>
              <w:spacing w:before="0" w:beforeAutospacing="0" w:after="0" w:afterAutospacing="0"/>
              <w:ind w:left="0" w:leftChars="0" w:right="0" w:rightChars="0"/>
              <w:jc w:val="center"/>
              <w:rPr>
                <w:rFonts w:hint="default" w:eastAsia="宋体"/>
                <w:bCs/>
                <w:color w:val="000000"/>
                <w:sz w:val="21"/>
                <w:szCs w:val="21"/>
                <w:highlight w:val="none"/>
                <w:lang w:val="en-US" w:eastAsia="zh-CN" w:bidi="zh-HK"/>
              </w:rPr>
            </w:pPr>
            <w:r>
              <w:rPr>
                <w:rFonts w:hint="eastAsia" w:eastAsia="宋体"/>
                <w:bCs/>
                <w:color w:val="000000"/>
                <w:sz w:val="21"/>
                <w:szCs w:val="21"/>
                <w:highlight w:val="none"/>
                <w:lang w:val="en-US" w:eastAsia="zh-CN" w:bidi="zh-HK"/>
              </w:rPr>
              <w:t>集气罩+布袋除尘器+1根20</w:t>
            </w:r>
            <w:r>
              <w:rPr>
                <w:rFonts w:hint="eastAsia"/>
                <w:bCs/>
                <w:color w:val="000000"/>
                <w:sz w:val="21"/>
                <w:szCs w:val="21"/>
                <w:highlight w:val="none"/>
                <w:lang w:val="en-US" w:eastAsia="zh-CN" w:bidi="zh-HK"/>
              </w:rPr>
              <w:t>m</w:t>
            </w:r>
            <w:r>
              <w:rPr>
                <w:rFonts w:hint="eastAsia" w:eastAsia="宋体"/>
                <w:bCs/>
                <w:color w:val="000000"/>
                <w:sz w:val="21"/>
                <w:szCs w:val="21"/>
                <w:highlight w:val="none"/>
                <w:lang w:val="en-US" w:eastAsia="zh-CN" w:bidi="zh-HK"/>
              </w:rPr>
              <w:t>排气筒</w:t>
            </w:r>
          </w:p>
        </w:tc>
        <w:tc>
          <w:tcPr>
            <w:tcW w:w="1388" w:type="pct"/>
            <w:shd w:val="clear" w:color="auto" w:fill="auto"/>
            <w:noWrap w:val="0"/>
            <w:vAlign w:val="center"/>
          </w:tcPr>
          <w:p w14:paraId="16CD0FE4">
            <w:pPr>
              <w:shd w:val="clear" w:color="auto" w:fill="auto"/>
              <w:adjustRightInd w:val="0"/>
              <w:snapToGrid w:val="0"/>
              <w:jc w:val="center"/>
              <w:rPr>
                <w:rFonts w:hint="default" w:ascii="Times New Roman" w:hAnsi="Times New Roman" w:eastAsia="宋体" w:cs="Times New Roman"/>
                <w:bCs/>
                <w:color w:val="000000"/>
                <w:sz w:val="21"/>
                <w:szCs w:val="21"/>
                <w:highlight w:val="none"/>
                <w:lang w:val="en-US" w:eastAsia="zh-CN" w:bidi="zh-HK"/>
              </w:rPr>
            </w:pPr>
            <w:r>
              <w:rPr>
                <w:rFonts w:hint="default" w:ascii="Times New Roman" w:hAnsi="Times New Roman" w:eastAsia="宋体" w:cs="Times New Roman"/>
                <w:bCs/>
                <w:color w:val="000000"/>
                <w:sz w:val="21"/>
                <w:szCs w:val="21"/>
                <w:highlight w:val="none"/>
                <w:lang w:val="en-US" w:eastAsia="zh-CN" w:bidi="zh-HK"/>
              </w:rPr>
              <w:t>《大气污染物综合排放标准》（GB16297-1996）</w:t>
            </w:r>
          </w:p>
        </w:tc>
      </w:tr>
      <w:tr w14:paraId="0DDAB3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96" w:hRule="atLeast"/>
          <w:jc w:val="center"/>
        </w:trPr>
        <w:tc>
          <w:tcPr>
            <w:tcW w:w="823" w:type="pct"/>
            <w:vMerge w:val="continue"/>
            <w:shd w:val="clear" w:color="auto" w:fill="auto"/>
            <w:noWrap w:val="0"/>
            <w:vAlign w:val="center"/>
          </w:tcPr>
          <w:p w14:paraId="1E39C69B">
            <w:pPr>
              <w:shd w:val="clear" w:color="auto" w:fill="auto"/>
              <w:adjustRightInd w:val="0"/>
              <w:snapToGrid w:val="0"/>
              <w:jc w:val="center"/>
              <w:rPr>
                <w:rFonts w:hint="eastAsia" w:ascii="宋体" w:hAnsi="宋体" w:cs="宋体"/>
                <w:color w:val="000000"/>
                <w:sz w:val="21"/>
                <w:szCs w:val="21"/>
                <w:highlight w:val="none"/>
                <w:lang w:val="en-US" w:eastAsia="zh-CN"/>
              </w:rPr>
            </w:pPr>
          </w:p>
        </w:tc>
        <w:tc>
          <w:tcPr>
            <w:tcW w:w="905" w:type="pct"/>
            <w:shd w:val="clear" w:color="auto" w:fill="auto"/>
            <w:noWrap w:val="0"/>
            <w:vAlign w:val="center"/>
          </w:tcPr>
          <w:p w14:paraId="2FCCF9F9">
            <w:pPr>
              <w:widowControl/>
              <w:shd w:val="clear" w:color="auto" w:fill="auto"/>
              <w:adjustRightInd w:val="0"/>
              <w:snapToGrid w:val="0"/>
              <w:jc w:val="center"/>
              <w:rPr>
                <w:rFonts w:hint="eastAsia"/>
                <w:bCs/>
                <w:color w:val="000000"/>
                <w:kern w:val="2"/>
                <w:sz w:val="21"/>
                <w:szCs w:val="21"/>
                <w:highlight w:val="none"/>
                <w:lang w:val="en-US" w:eastAsia="zh-CN" w:bidi="zh-HK"/>
              </w:rPr>
            </w:pPr>
            <w:r>
              <w:rPr>
                <w:rFonts w:hint="eastAsia"/>
                <w:bCs/>
                <w:color w:val="000000"/>
                <w:sz w:val="21"/>
                <w:szCs w:val="21"/>
                <w:highlight w:val="none"/>
                <w:lang w:val="en-US" w:eastAsia="zh-CN" w:bidi="zh-HK"/>
              </w:rPr>
              <w:t>DA002锅炉烟气排放口</w:t>
            </w:r>
          </w:p>
        </w:tc>
        <w:tc>
          <w:tcPr>
            <w:tcW w:w="996" w:type="pct"/>
            <w:shd w:val="clear" w:color="auto" w:fill="auto"/>
            <w:noWrap w:val="0"/>
            <w:vAlign w:val="center"/>
          </w:tcPr>
          <w:p w14:paraId="433C6C5B">
            <w:pPr>
              <w:shd w:val="clear" w:color="auto" w:fill="auto"/>
              <w:adjustRightInd w:val="0"/>
              <w:snapToGrid w:val="0"/>
              <w:jc w:val="center"/>
              <w:rPr>
                <w:rFonts w:hint="eastAsia" w:eastAsia="宋体"/>
                <w:bCs/>
                <w:color w:val="000000"/>
                <w:kern w:val="2"/>
                <w:sz w:val="21"/>
                <w:szCs w:val="21"/>
                <w:highlight w:val="none"/>
                <w:lang w:val="en-US" w:eastAsia="zh-CN" w:bidi="zh-HK"/>
              </w:rPr>
            </w:pPr>
            <w:r>
              <w:rPr>
                <w:rFonts w:hint="eastAsia"/>
                <w:bCs/>
                <w:color w:val="000000"/>
                <w:sz w:val="21"/>
                <w:szCs w:val="21"/>
                <w:highlight w:val="none"/>
                <w:lang w:val="en-US" w:eastAsia="zh-CN" w:bidi="zh-HK"/>
              </w:rPr>
              <w:t>颗粒物、二氧化硫、氮氧化物、烟气黑度</w:t>
            </w:r>
          </w:p>
        </w:tc>
        <w:tc>
          <w:tcPr>
            <w:tcW w:w="887" w:type="pct"/>
            <w:tcBorders>
              <w:bottom w:val="single" w:color="auto" w:sz="4" w:space="0"/>
            </w:tcBorders>
            <w:shd w:val="clear" w:color="auto" w:fill="auto"/>
            <w:noWrap w:val="0"/>
            <w:vAlign w:val="center"/>
          </w:tcPr>
          <w:p w14:paraId="3E630A2F">
            <w:pPr>
              <w:keepNext w:val="0"/>
              <w:keepLines w:val="0"/>
              <w:suppressLineNumbers w:val="0"/>
              <w:shd w:val="clear" w:color="auto" w:fill="auto"/>
              <w:spacing w:before="0" w:beforeAutospacing="0" w:after="0" w:afterAutospacing="0"/>
              <w:ind w:left="0" w:leftChars="0" w:right="0" w:rightChars="0"/>
              <w:jc w:val="center"/>
              <w:rPr>
                <w:rFonts w:hint="eastAsia" w:eastAsia="宋体"/>
                <w:bCs/>
                <w:color w:val="000000"/>
                <w:kern w:val="2"/>
                <w:sz w:val="21"/>
                <w:szCs w:val="21"/>
                <w:highlight w:val="none"/>
                <w:lang w:val="en-US" w:eastAsia="zh-CN" w:bidi="zh-HK"/>
              </w:rPr>
            </w:pPr>
            <w:r>
              <w:rPr>
                <w:rFonts w:hint="eastAsia" w:eastAsia="宋体"/>
                <w:bCs/>
                <w:color w:val="000000"/>
                <w:sz w:val="21"/>
                <w:szCs w:val="21"/>
                <w:highlight w:val="none"/>
                <w:lang w:val="en-US" w:eastAsia="zh-CN"/>
              </w:rPr>
              <w:t>低氮燃烧器+1根20m高排气筒</w:t>
            </w:r>
          </w:p>
        </w:tc>
        <w:tc>
          <w:tcPr>
            <w:tcW w:w="1388" w:type="pct"/>
            <w:shd w:val="clear" w:color="auto" w:fill="auto"/>
            <w:noWrap w:val="0"/>
            <w:vAlign w:val="center"/>
          </w:tcPr>
          <w:p w14:paraId="7814CD7F">
            <w:pPr>
              <w:shd w:val="clear" w:color="auto" w:fill="auto"/>
              <w:adjustRightInd w:val="0"/>
              <w:snapToGrid w:val="0"/>
              <w:jc w:val="center"/>
              <w:rPr>
                <w:rFonts w:hint="default"/>
                <w:bCs/>
                <w:color w:val="000000"/>
                <w:kern w:val="2"/>
                <w:sz w:val="21"/>
                <w:szCs w:val="21"/>
                <w:highlight w:val="none"/>
                <w:lang w:val="en-US" w:eastAsia="zh-CN" w:bidi="zh-HK"/>
              </w:rPr>
            </w:pPr>
            <w:r>
              <w:rPr>
                <w:rFonts w:hint="eastAsia" w:ascii="Times New Roman" w:hAnsi="Times New Roman" w:eastAsia="宋体" w:cs="Times New Roman"/>
                <w:color w:val="000000"/>
                <w:szCs w:val="21"/>
                <w:highlight w:val="none"/>
                <w:lang w:val="en-US" w:eastAsia="zh-CN"/>
              </w:rPr>
              <w:t>《宝鸡市锅炉大气污染专项整治行动方案》</w:t>
            </w:r>
            <w:r>
              <w:rPr>
                <w:rFonts w:hint="eastAsia" w:ascii="Times New Roman" w:hAnsi="Times New Roman" w:eastAsia="宋体" w:cs="Times New Roman"/>
                <w:color w:val="000000"/>
                <w:kern w:val="2"/>
                <w:sz w:val="21"/>
                <w:szCs w:val="21"/>
                <w:highlight w:val="none"/>
                <w:lang w:val="en-US" w:eastAsia="zh-CN" w:bidi="ar-SA"/>
              </w:rPr>
              <w:t>、</w:t>
            </w:r>
            <w:r>
              <w:rPr>
                <w:rFonts w:ascii="Times New Roman" w:hAnsi="Times New Roman" w:eastAsia="宋体" w:cs="Times New Roman"/>
                <w:color w:val="000000"/>
                <w:szCs w:val="21"/>
                <w:highlight w:val="none"/>
              </w:rPr>
              <w:t>《锅炉大气污染物排放标准》（DB61/1226-2018）</w:t>
            </w:r>
            <w:r>
              <w:rPr>
                <w:rFonts w:hint="eastAsia" w:ascii="Times New Roman" w:hAnsi="Times New Roman" w:eastAsia="宋体" w:cs="Times New Roman"/>
                <w:color w:val="000000"/>
                <w:szCs w:val="21"/>
                <w:highlight w:val="none"/>
                <w:lang w:eastAsia="zh-CN"/>
              </w:rPr>
              <w:t>、</w:t>
            </w:r>
            <w:r>
              <w:rPr>
                <w:rFonts w:ascii="Times New Roman" w:hAnsi="Times New Roman" w:eastAsia="宋体" w:cs="Times New Roman"/>
                <w:color w:val="000000"/>
                <w:szCs w:val="21"/>
                <w:highlight w:val="none"/>
              </w:rPr>
              <w:t>《锅炉大气污染物排放标准》</w:t>
            </w:r>
            <w:r>
              <w:rPr>
                <w:rFonts w:hint="eastAsia" w:ascii="Times New Roman" w:hAnsi="Times New Roman" w:eastAsia="宋体" w:cs="Times New Roman"/>
                <w:color w:val="000000"/>
                <w:szCs w:val="21"/>
                <w:highlight w:val="none"/>
                <w:lang w:eastAsia="zh-CN"/>
              </w:rPr>
              <w:t>（GB13271-201</w:t>
            </w:r>
            <w:r>
              <w:rPr>
                <w:rFonts w:hint="eastAsia" w:ascii="Times New Roman" w:hAnsi="Times New Roman" w:eastAsia="宋体" w:cs="Times New Roman"/>
                <w:color w:val="000000"/>
                <w:szCs w:val="21"/>
                <w:highlight w:val="none"/>
                <w:lang w:val="en-US" w:eastAsia="zh-CN"/>
              </w:rPr>
              <w:t>4</w:t>
            </w:r>
            <w:r>
              <w:rPr>
                <w:rFonts w:hint="eastAsia" w:ascii="Times New Roman" w:hAnsi="Times New Roman" w:eastAsia="宋体" w:cs="Times New Roman"/>
                <w:color w:val="000000"/>
                <w:szCs w:val="21"/>
                <w:highlight w:val="none"/>
                <w:lang w:eastAsia="zh-CN"/>
              </w:rPr>
              <w:t>）</w:t>
            </w:r>
          </w:p>
        </w:tc>
      </w:tr>
      <w:tr w14:paraId="0675E1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1" w:hRule="atLeast"/>
          <w:jc w:val="center"/>
        </w:trPr>
        <w:tc>
          <w:tcPr>
            <w:tcW w:w="823" w:type="pct"/>
            <w:vMerge w:val="continue"/>
            <w:shd w:val="clear" w:color="auto" w:fill="auto"/>
            <w:noWrap w:val="0"/>
            <w:vAlign w:val="center"/>
          </w:tcPr>
          <w:p w14:paraId="078EBA84">
            <w:pPr>
              <w:shd w:val="clear" w:color="auto" w:fill="auto"/>
              <w:adjustRightInd w:val="0"/>
              <w:snapToGrid w:val="0"/>
              <w:jc w:val="center"/>
              <w:rPr>
                <w:rFonts w:hint="eastAsia" w:ascii="宋体" w:hAnsi="宋体" w:cs="宋体"/>
                <w:color w:val="000000"/>
                <w:sz w:val="21"/>
                <w:szCs w:val="21"/>
                <w:highlight w:val="none"/>
                <w:lang w:val="en-US" w:eastAsia="zh-CN"/>
              </w:rPr>
            </w:pPr>
          </w:p>
        </w:tc>
        <w:tc>
          <w:tcPr>
            <w:tcW w:w="905" w:type="pct"/>
            <w:shd w:val="clear" w:color="auto" w:fill="auto"/>
            <w:noWrap w:val="0"/>
            <w:vAlign w:val="center"/>
          </w:tcPr>
          <w:p w14:paraId="1C394269">
            <w:pPr>
              <w:widowControl/>
              <w:shd w:val="clear" w:color="auto" w:fill="auto"/>
              <w:adjustRightInd w:val="0"/>
              <w:snapToGrid w:val="0"/>
              <w:jc w:val="center"/>
              <w:rPr>
                <w:rFonts w:hint="default"/>
                <w:bCs/>
                <w:color w:val="000000"/>
                <w:sz w:val="21"/>
                <w:szCs w:val="21"/>
                <w:highlight w:val="none"/>
                <w:lang w:val="en-US" w:eastAsia="zh-CN" w:bidi="zh-HK"/>
              </w:rPr>
            </w:pPr>
            <w:r>
              <w:rPr>
                <w:rFonts w:hint="eastAsia"/>
                <w:bCs/>
                <w:color w:val="000000"/>
                <w:sz w:val="21"/>
                <w:szCs w:val="21"/>
                <w:highlight w:val="none"/>
                <w:lang w:val="en-US" w:eastAsia="zh-CN" w:bidi="zh-HK"/>
              </w:rPr>
              <w:t>DA003污水处理站恶臭气体排放口</w:t>
            </w:r>
          </w:p>
        </w:tc>
        <w:tc>
          <w:tcPr>
            <w:tcW w:w="996" w:type="pct"/>
            <w:shd w:val="clear" w:color="auto" w:fill="auto"/>
            <w:noWrap w:val="0"/>
            <w:vAlign w:val="center"/>
          </w:tcPr>
          <w:p w14:paraId="0495FF0D">
            <w:pPr>
              <w:shd w:val="clear" w:color="auto" w:fill="auto"/>
              <w:adjustRightInd w:val="0"/>
              <w:snapToGrid w:val="0"/>
              <w:jc w:val="center"/>
              <w:rPr>
                <w:rFonts w:hint="default"/>
                <w:bCs/>
                <w:color w:val="000000"/>
                <w:sz w:val="21"/>
                <w:szCs w:val="21"/>
                <w:highlight w:val="none"/>
                <w:lang w:val="en-US" w:eastAsia="zh-CN" w:bidi="zh-HK"/>
              </w:rPr>
            </w:pPr>
            <w:r>
              <w:rPr>
                <w:rFonts w:hint="eastAsia"/>
                <w:bCs/>
                <w:color w:val="000000"/>
                <w:sz w:val="21"/>
                <w:szCs w:val="21"/>
                <w:highlight w:val="none"/>
                <w:lang w:val="en-US" w:eastAsia="zh-CN" w:bidi="zh-HK"/>
              </w:rPr>
              <w:t>臭气浓度、氨、</w:t>
            </w:r>
            <w:r>
              <w:t>硫化氢</w:t>
            </w:r>
          </w:p>
        </w:tc>
        <w:tc>
          <w:tcPr>
            <w:tcW w:w="887" w:type="pct"/>
            <w:tcBorders>
              <w:bottom w:val="single" w:color="auto" w:sz="4" w:space="0"/>
            </w:tcBorders>
            <w:shd w:val="clear" w:color="auto" w:fill="auto"/>
            <w:noWrap w:val="0"/>
            <w:vAlign w:val="center"/>
          </w:tcPr>
          <w:p w14:paraId="2B445DB8">
            <w:pPr>
              <w:keepNext w:val="0"/>
              <w:keepLines w:val="0"/>
              <w:suppressLineNumbers w:val="0"/>
              <w:shd w:val="clear" w:color="auto" w:fill="auto"/>
              <w:spacing w:before="0" w:beforeAutospacing="0" w:after="0" w:afterAutospacing="0"/>
              <w:ind w:left="0" w:leftChars="0" w:right="0" w:rightChars="0"/>
              <w:jc w:val="center"/>
              <w:rPr>
                <w:rFonts w:hint="default" w:eastAsia="宋体"/>
                <w:bCs/>
                <w:color w:val="000000"/>
                <w:sz w:val="21"/>
                <w:szCs w:val="21"/>
                <w:highlight w:val="none"/>
                <w:lang w:val="en-US" w:eastAsia="zh-CN" w:bidi="zh-HK"/>
              </w:rPr>
            </w:pPr>
            <w:r>
              <w:rPr>
                <w:rFonts w:hint="eastAsia" w:eastAsia="宋体"/>
                <w:bCs/>
                <w:color w:val="000000"/>
                <w:sz w:val="21"/>
                <w:szCs w:val="21"/>
                <w:highlight w:val="none"/>
                <w:lang w:val="en-US" w:eastAsia="zh-CN" w:bidi="zh-HK"/>
              </w:rPr>
              <w:t>活性炭吸附箱+1根15</w:t>
            </w:r>
            <w:r>
              <w:rPr>
                <w:rFonts w:hint="eastAsia"/>
                <w:bCs/>
                <w:color w:val="000000"/>
                <w:sz w:val="21"/>
                <w:szCs w:val="21"/>
                <w:highlight w:val="none"/>
                <w:lang w:val="en-US" w:eastAsia="zh-CN" w:bidi="zh-HK"/>
              </w:rPr>
              <w:t>m</w:t>
            </w:r>
            <w:r>
              <w:rPr>
                <w:rFonts w:hint="eastAsia" w:eastAsia="宋体"/>
                <w:bCs/>
                <w:color w:val="000000"/>
                <w:sz w:val="21"/>
                <w:szCs w:val="21"/>
                <w:highlight w:val="none"/>
                <w:lang w:val="en-US" w:eastAsia="zh-CN" w:bidi="zh-HK"/>
              </w:rPr>
              <w:t>排气筒</w:t>
            </w:r>
          </w:p>
        </w:tc>
        <w:tc>
          <w:tcPr>
            <w:tcW w:w="1388" w:type="pct"/>
            <w:shd w:val="clear" w:color="auto" w:fill="auto"/>
            <w:noWrap w:val="0"/>
            <w:vAlign w:val="center"/>
          </w:tcPr>
          <w:p w14:paraId="3135DB43">
            <w:pPr>
              <w:shd w:val="clear" w:color="auto" w:fill="auto"/>
              <w:adjustRightInd w:val="0"/>
              <w:snapToGrid w:val="0"/>
              <w:jc w:val="center"/>
              <w:rPr>
                <w:rFonts w:hint="default" w:ascii="Times New Roman" w:hAnsi="Times New Roman" w:eastAsia="宋体" w:cs="Times New Roman"/>
                <w:bCs/>
                <w:color w:val="000000"/>
                <w:sz w:val="21"/>
                <w:szCs w:val="21"/>
                <w:highlight w:val="none"/>
                <w:lang w:val="en-US" w:eastAsia="zh-CN" w:bidi="zh-HK"/>
              </w:rPr>
            </w:pPr>
            <w:r>
              <w:rPr>
                <w:rFonts w:hint="eastAsia" w:ascii="Times New Roman" w:hAnsi="Times New Roman" w:eastAsia="宋体" w:cs="Times New Roman"/>
                <w:color w:val="000000"/>
                <w:sz w:val="21"/>
                <w:szCs w:val="21"/>
                <w:highlight w:val="none"/>
                <w:lang w:val="en-US" w:eastAsia="zh-CN"/>
              </w:rPr>
              <w:t>《恶臭污染物排放标准》（GB14554-93）</w:t>
            </w:r>
          </w:p>
        </w:tc>
      </w:tr>
      <w:tr w14:paraId="37D1E3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1" w:hRule="atLeast"/>
          <w:jc w:val="center"/>
        </w:trPr>
        <w:tc>
          <w:tcPr>
            <w:tcW w:w="823" w:type="pct"/>
            <w:vMerge w:val="continue"/>
            <w:shd w:val="clear" w:color="auto" w:fill="auto"/>
            <w:noWrap w:val="0"/>
            <w:vAlign w:val="center"/>
          </w:tcPr>
          <w:p w14:paraId="5F46A4FC">
            <w:pPr>
              <w:shd w:val="clear" w:color="auto" w:fill="auto"/>
              <w:adjustRightInd w:val="0"/>
              <w:snapToGrid w:val="0"/>
              <w:jc w:val="center"/>
              <w:rPr>
                <w:rFonts w:hint="eastAsia" w:ascii="宋体" w:hAnsi="宋体" w:cs="宋体"/>
                <w:color w:val="000000"/>
                <w:sz w:val="21"/>
                <w:szCs w:val="21"/>
                <w:highlight w:val="none"/>
                <w:lang w:val="en-US" w:eastAsia="zh-CN"/>
              </w:rPr>
            </w:pPr>
          </w:p>
        </w:tc>
        <w:tc>
          <w:tcPr>
            <w:tcW w:w="905" w:type="pct"/>
            <w:shd w:val="clear" w:color="auto" w:fill="auto"/>
            <w:noWrap w:val="0"/>
            <w:vAlign w:val="center"/>
          </w:tcPr>
          <w:p w14:paraId="13AC8630">
            <w:pPr>
              <w:widowControl/>
              <w:shd w:val="clear" w:color="auto" w:fill="auto"/>
              <w:adjustRightInd w:val="0"/>
              <w:snapToGrid w:val="0"/>
              <w:jc w:val="center"/>
              <w:rPr>
                <w:rFonts w:hint="default"/>
                <w:bCs/>
                <w:color w:val="000000"/>
                <w:sz w:val="21"/>
                <w:szCs w:val="21"/>
                <w:highlight w:val="none"/>
                <w:lang w:val="en-US" w:eastAsia="zh-CN" w:bidi="zh-HK"/>
              </w:rPr>
            </w:pPr>
            <w:r>
              <w:rPr>
                <w:rFonts w:hint="eastAsia"/>
                <w:bCs/>
                <w:color w:val="000000"/>
                <w:sz w:val="21"/>
                <w:szCs w:val="21"/>
                <w:highlight w:val="none"/>
                <w:lang w:val="en-US" w:eastAsia="zh-CN" w:bidi="zh-HK"/>
              </w:rPr>
              <w:t>厂界</w:t>
            </w:r>
          </w:p>
        </w:tc>
        <w:tc>
          <w:tcPr>
            <w:tcW w:w="996" w:type="pct"/>
            <w:shd w:val="clear" w:color="auto" w:fill="auto"/>
            <w:noWrap w:val="0"/>
            <w:vAlign w:val="center"/>
          </w:tcPr>
          <w:p w14:paraId="1AD729BB">
            <w:pPr>
              <w:shd w:val="clear" w:color="auto" w:fill="auto"/>
              <w:adjustRightInd w:val="0"/>
              <w:snapToGrid w:val="0"/>
              <w:jc w:val="center"/>
              <w:rPr>
                <w:rFonts w:hint="default"/>
                <w:bCs/>
                <w:color w:val="000000"/>
                <w:sz w:val="21"/>
                <w:szCs w:val="21"/>
                <w:highlight w:val="none"/>
                <w:lang w:val="en-US" w:eastAsia="zh-CN" w:bidi="zh-HK"/>
              </w:rPr>
            </w:pPr>
            <w:r>
              <w:rPr>
                <w:rFonts w:hint="eastAsia"/>
                <w:bCs/>
                <w:color w:val="000000"/>
                <w:sz w:val="21"/>
                <w:szCs w:val="21"/>
                <w:highlight w:val="none"/>
                <w:lang w:val="en-US" w:eastAsia="zh-CN" w:bidi="zh-HK"/>
              </w:rPr>
              <w:t>颗粒物、臭气浓度、氨、硫化氢</w:t>
            </w:r>
          </w:p>
        </w:tc>
        <w:tc>
          <w:tcPr>
            <w:tcW w:w="887" w:type="pct"/>
            <w:tcBorders>
              <w:bottom w:val="single" w:color="auto" w:sz="4" w:space="0"/>
            </w:tcBorders>
            <w:shd w:val="clear" w:color="auto" w:fill="auto"/>
            <w:noWrap w:val="0"/>
            <w:vAlign w:val="center"/>
          </w:tcPr>
          <w:p w14:paraId="00268DC6">
            <w:pPr>
              <w:keepNext w:val="0"/>
              <w:keepLines w:val="0"/>
              <w:suppressLineNumbers w:val="0"/>
              <w:shd w:val="clear" w:color="auto" w:fill="auto"/>
              <w:spacing w:before="0" w:beforeAutospacing="0" w:after="0" w:afterAutospacing="0"/>
              <w:ind w:left="0" w:leftChars="0" w:right="0" w:rightChars="0"/>
              <w:jc w:val="center"/>
              <w:rPr>
                <w:rFonts w:hint="default" w:eastAsia="宋体"/>
                <w:bCs/>
                <w:color w:val="000000"/>
                <w:sz w:val="21"/>
                <w:szCs w:val="21"/>
                <w:highlight w:val="none"/>
                <w:lang w:val="en-US" w:eastAsia="zh-CN" w:bidi="zh-HK"/>
              </w:rPr>
            </w:pPr>
            <w:r>
              <w:rPr>
                <w:rFonts w:hint="eastAsia" w:eastAsia="宋体"/>
                <w:bCs/>
                <w:color w:val="000000"/>
                <w:sz w:val="21"/>
                <w:szCs w:val="21"/>
                <w:highlight w:val="none"/>
                <w:lang w:val="en-US" w:eastAsia="zh-CN" w:bidi="zh-HK"/>
              </w:rPr>
              <w:t>/</w:t>
            </w:r>
          </w:p>
        </w:tc>
        <w:tc>
          <w:tcPr>
            <w:tcW w:w="1388" w:type="pct"/>
            <w:shd w:val="clear" w:color="auto" w:fill="auto"/>
            <w:noWrap w:val="0"/>
            <w:vAlign w:val="center"/>
          </w:tcPr>
          <w:p w14:paraId="264CE0CB">
            <w:pPr>
              <w:shd w:val="clear" w:color="auto" w:fill="auto"/>
              <w:adjustRightInd w:val="0"/>
              <w:snapToGrid w:val="0"/>
              <w:jc w:val="center"/>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kern w:val="0"/>
                <w:sz w:val="21"/>
                <w:szCs w:val="21"/>
                <w:highlight w:val="none"/>
              </w:rPr>
              <w:t>《</w:t>
            </w:r>
            <w:r>
              <w:rPr>
                <w:rFonts w:hint="default" w:ascii="Times New Roman" w:hAnsi="Times New Roman" w:eastAsia="宋体" w:cs="Times New Roman"/>
                <w:color w:val="000000"/>
                <w:kern w:val="2"/>
                <w:sz w:val="21"/>
                <w:szCs w:val="21"/>
                <w:highlight w:val="none"/>
                <w:lang w:val="en-US" w:eastAsia="zh-CN" w:bidi="ar-SA"/>
              </w:rPr>
              <w:t>大气污染物综合排放标准》（GB16297-1996）</w:t>
            </w:r>
            <w:r>
              <w:rPr>
                <w:rFonts w:hint="eastAsia" w:ascii="Times New Roman" w:hAnsi="Times New Roman" w:eastAsia="宋体" w:cs="Times New Roman"/>
                <w:color w:val="000000"/>
                <w:kern w:val="2"/>
                <w:sz w:val="21"/>
                <w:szCs w:val="21"/>
                <w:highlight w:val="none"/>
                <w:lang w:val="en-US" w:eastAsia="zh-CN" w:bidi="ar-SA"/>
              </w:rPr>
              <w:t>、</w:t>
            </w:r>
            <w:r>
              <w:rPr>
                <w:rFonts w:hint="eastAsia" w:ascii="Times New Roman" w:hAnsi="Times New Roman" w:eastAsia="宋体" w:cs="Times New Roman"/>
                <w:color w:val="000000"/>
                <w:sz w:val="21"/>
                <w:szCs w:val="21"/>
                <w:highlight w:val="none"/>
                <w:lang w:val="en-US" w:eastAsia="zh-CN"/>
              </w:rPr>
              <w:t>《恶臭污染物排放标准》（GB14554-93）</w:t>
            </w:r>
          </w:p>
        </w:tc>
      </w:tr>
      <w:tr w14:paraId="55FD20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2" w:hRule="atLeast"/>
          <w:jc w:val="center"/>
        </w:trPr>
        <w:tc>
          <w:tcPr>
            <w:tcW w:w="823" w:type="pct"/>
            <w:shd w:val="clear" w:color="auto" w:fill="auto"/>
            <w:noWrap w:val="0"/>
            <w:vAlign w:val="center"/>
          </w:tcPr>
          <w:p w14:paraId="00C8BBDC">
            <w:pPr>
              <w:shd w:val="clear" w:color="auto" w:fill="auto"/>
              <w:adjustRightInd w:val="0"/>
              <w:snapToGrid w:val="0"/>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水环境</w:t>
            </w:r>
          </w:p>
        </w:tc>
        <w:tc>
          <w:tcPr>
            <w:tcW w:w="905" w:type="pct"/>
            <w:shd w:val="clear" w:color="auto" w:fill="auto"/>
            <w:noWrap w:val="0"/>
            <w:vAlign w:val="center"/>
          </w:tcPr>
          <w:p w14:paraId="30033EC3">
            <w:pPr>
              <w:shd w:val="clear" w:color="auto" w:fill="auto"/>
              <w:adjustRightInd w:val="0"/>
              <w:snapToGrid w:val="0"/>
              <w:jc w:val="center"/>
              <w:rPr>
                <w:rFonts w:hint="default"/>
                <w:bCs/>
                <w:color w:val="000000"/>
                <w:sz w:val="21"/>
                <w:szCs w:val="21"/>
                <w:highlight w:val="none"/>
                <w:lang w:val="en-US" w:eastAsia="zh-CN" w:bidi="zh-HK"/>
              </w:rPr>
            </w:pPr>
            <w:r>
              <w:rPr>
                <w:rFonts w:hint="eastAsia"/>
                <w:bCs/>
                <w:color w:val="000000"/>
                <w:sz w:val="21"/>
                <w:szCs w:val="21"/>
                <w:highlight w:val="none"/>
                <w:lang w:val="en-US" w:eastAsia="zh-CN" w:bidi="zh-HK"/>
              </w:rPr>
              <w:t>生产废水、生活污水</w:t>
            </w:r>
          </w:p>
        </w:tc>
        <w:tc>
          <w:tcPr>
            <w:tcW w:w="996" w:type="pct"/>
            <w:tcBorders>
              <w:bottom w:val="single" w:color="auto" w:sz="4" w:space="0"/>
            </w:tcBorders>
            <w:shd w:val="clear" w:color="auto" w:fill="auto"/>
            <w:noWrap w:val="0"/>
            <w:vAlign w:val="center"/>
          </w:tcPr>
          <w:p w14:paraId="3BF31DAC">
            <w:pPr>
              <w:shd w:val="clear" w:color="auto" w:fill="auto"/>
              <w:adjustRightInd w:val="0"/>
              <w:snapToGrid w:val="0"/>
              <w:jc w:val="center"/>
              <w:rPr>
                <w:rFonts w:hint="default"/>
                <w:bCs/>
                <w:color w:val="000000"/>
                <w:sz w:val="21"/>
                <w:szCs w:val="21"/>
                <w:highlight w:val="none"/>
                <w:lang w:val="en-US" w:eastAsia="zh-CN" w:bidi="zh-HK"/>
              </w:rPr>
            </w:pPr>
            <w:r>
              <w:rPr>
                <w:color w:val="000000"/>
                <w:highlight w:val="none"/>
              </w:rPr>
              <w:t>pH值、悬浮物、化学需氧量、五日生化需氧量、氨氮、总氮、总磷、色度</w:t>
            </w:r>
          </w:p>
        </w:tc>
        <w:tc>
          <w:tcPr>
            <w:tcW w:w="887" w:type="pct"/>
            <w:tcBorders>
              <w:bottom w:val="single" w:color="auto" w:sz="4" w:space="0"/>
            </w:tcBorders>
            <w:shd w:val="clear" w:color="auto" w:fill="auto"/>
            <w:noWrap w:val="0"/>
            <w:vAlign w:val="center"/>
          </w:tcPr>
          <w:p w14:paraId="07909C22">
            <w:pPr>
              <w:shd w:val="clear" w:color="auto" w:fill="auto"/>
              <w:adjustRightInd w:val="0"/>
              <w:snapToGrid w:val="0"/>
              <w:jc w:val="center"/>
              <w:rPr>
                <w:rFonts w:hint="default"/>
                <w:bCs/>
                <w:color w:val="000000"/>
                <w:sz w:val="21"/>
                <w:szCs w:val="21"/>
                <w:highlight w:val="none"/>
                <w:lang w:val="en-US" w:eastAsia="zh-CN" w:bidi="zh-HK"/>
              </w:rPr>
            </w:pPr>
            <w:r>
              <w:rPr>
                <w:rFonts w:hint="eastAsia"/>
                <w:bCs/>
                <w:color w:val="000000"/>
                <w:sz w:val="21"/>
                <w:szCs w:val="21"/>
                <w:highlight w:val="none"/>
                <w:lang w:val="en-US" w:eastAsia="zh-CN" w:bidi="zh-HK"/>
              </w:rPr>
              <w:t>隔油池、化粪池、一体化污水处理站1座</w:t>
            </w:r>
          </w:p>
        </w:tc>
        <w:tc>
          <w:tcPr>
            <w:tcW w:w="1388" w:type="pct"/>
            <w:shd w:val="clear" w:color="auto" w:fill="auto"/>
            <w:noWrap w:val="0"/>
            <w:vAlign w:val="center"/>
          </w:tcPr>
          <w:p w14:paraId="5F8E0320">
            <w:pPr>
              <w:shd w:val="clear" w:color="auto" w:fill="auto"/>
              <w:adjustRightInd w:val="0"/>
              <w:snapToGrid w:val="0"/>
              <w:jc w:val="center"/>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《发酵酒精和白酒工业水污染物排放标准》（</w:t>
            </w:r>
            <w:r>
              <w:rPr>
                <w:rFonts w:hint="default" w:ascii="Times New Roman" w:hAnsi="Times New Roman" w:eastAsia="宋体" w:cs="Times New Roman"/>
                <w:color w:val="000000"/>
                <w:sz w:val="21"/>
                <w:szCs w:val="21"/>
                <w:highlight w:val="none"/>
                <w:lang w:val="en-US" w:eastAsia="zh-CN"/>
              </w:rPr>
              <w:t>GB 27631</w:t>
            </w:r>
            <w:r>
              <w:rPr>
                <w:rFonts w:hint="eastAsia" w:ascii="Times New Roman" w:hAnsi="Times New Roman" w:eastAsia="宋体" w:cs="Times New Roman"/>
                <w:color w:val="000000"/>
                <w:sz w:val="21"/>
                <w:szCs w:val="21"/>
                <w:highlight w:val="none"/>
                <w:lang w:val="en-US" w:eastAsia="zh-CN"/>
              </w:rPr>
              <w:t>-</w:t>
            </w:r>
            <w:r>
              <w:rPr>
                <w:rFonts w:hint="default" w:ascii="Times New Roman" w:hAnsi="Times New Roman" w:eastAsia="宋体" w:cs="Times New Roman"/>
                <w:color w:val="000000"/>
                <w:sz w:val="21"/>
                <w:szCs w:val="21"/>
                <w:highlight w:val="none"/>
                <w:lang w:val="en-US" w:eastAsia="zh-CN"/>
              </w:rPr>
              <w:t>2011</w:t>
            </w:r>
            <w:r>
              <w:rPr>
                <w:rFonts w:hint="eastAsia" w:ascii="Times New Roman" w:hAnsi="Times New Roman" w:eastAsia="宋体" w:cs="Times New Roman"/>
                <w:color w:val="000000"/>
                <w:sz w:val="21"/>
                <w:szCs w:val="21"/>
                <w:highlight w:val="none"/>
                <w:lang w:val="en-US" w:eastAsia="zh-CN"/>
              </w:rPr>
              <w:t>）</w:t>
            </w:r>
          </w:p>
        </w:tc>
      </w:tr>
      <w:tr w14:paraId="787683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8" w:hRule="atLeast"/>
          <w:jc w:val="center"/>
        </w:trPr>
        <w:tc>
          <w:tcPr>
            <w:tcW w:w="823" w:type="pct"/>
            <w:shd w:val="clear" w:color="auto" w:fill="auto"/>
            <w:noWrap w:val="0"/>
            <w:vAlign w:val="center"/>
          </w:tcPr>
          <w:p w14:paraId="5A73B5A2">
            <w:pPr>
              <w:shd w:val="clear" w:color="auto" w:fill="auto"/>
              <w:adjustRightInd w:val="0"/>
              <w:snapToGrid w:val="0"/>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声环境</w:t>
            </w:r>
          </w:p>
        </w:tc>
        <w:tc>
          <w:tcPr>
            <w:tcW w:w="905" w:type="pct"/>
            <w:shd w:val="clear" w:color="auto" w:fill="auto"/>
            <w:noWrap w:val="0"/>
            <w:vAlign w:val="center"/>
          </w:tcPr>
          <w:p w14:paraId="5107A63C">
            <w:pPr>
              <w:shd w:val="clear" w:color="auto" w:fill="auto"/>
              <w:adjustRightInd w:val="0"/>
              <w:snapToGrid w:val="0"/>
              <w:spacing w:line="240" w:lineRule="auto"/>
              <w:jc w:val="center"/>
              <w:rPr>
                <w:rFonts w:hint="default"/>
                <w:snapToGrid w:val="0"/>
                <w:color w:val="000000"/>
                <w:sz w:val="21"/>
                <w:szCs w:val="21"/>
                <w:highlight w:val="none"/>
                <w:lang w:val="en-US" w:eastAsia="zh-CN"/>
              </w:rPr>
            </w:pPr>
            <w:r>
              <w:rPr>
                <w:rFonts w:hint="eastAsia"/>
                <w:snapToGrid w:val="0"/>
                <w:color w:val="000000"/>
                <w:sz w:val="21"/>
                <w:szCs w:val="21"/>
                <w:highlight w:val="none"/>
                <w:lang w:val="en-US" w:eastAsia="zh-CN"/>
              </w:rPr>
              <w:t>厂界噪声/生产设备噪声</w:t>
            </w:r>
          </w:p>
        </w:tc>
        <w:tc>
          <w:tcPr>
            <w:tcW w:w="1883" w:type="pct"/>
            <w:gridSpan w:val="2"/>
            <w:shd w:val="clear" w:color="auto" w:fill="auto"/>
            <w:noWrap w:val="0"/>
            <w:vAlign w:val="center"/>
          </w:tcPr>
          <w:p w14:paraId="7DF6302C">
            <w:pPr>
              <w:shd w:val="clear" w:color="auto" w:fill="auto"/>
              <w:adjustRightInd w:val="0"/>
              <w:snapToGrid w:val="0"/>
              <w:jc w:val="center"/>
              <w:rPr>
                <w:rFonts w:hint="eastAsia"/>
                <w:snapToGrid w:val="0"/>
                <w:color w:val="000000"/>
                <w:sz w:val="21"/>
                <w:szCs w:val="21"/>
                <w:highlight w:val="none"/>
              </w:rPr>
            </w:pPr>
            <w:r>
              <w:rPr>
                <w:snapToGrid w:val="0"/>
                <w:color w:val="000000"/>
                <w:sz w:val="21"/>
                <w:szCs w:val="21"/>
                <w:highlight w:val="none"/>
              </w:rPr>
              <w:t>基础减振</w:t>
            </w:r>
            <w:r>
              <w:rPr>
                <w:rFonts w:hint="eastAsia"/>
                <w:snapToGrid w:val="0"/>
                <w:color w:val="000000"/>
                <w:sz w:val="21"/>
                <w:szCs w:val="21"/>
                <w:highlight w:val="none"/>
              </w:rPr>
              <w:t>、厂房隔声、</w:t>
            </w:r>
          </w:p>
          <w:p w14:paraId="0EA39D42">
            <w:pPr>
              <w:shd w:val="clear" w:color="auto" w:fill="auto"/>
              <w:adjustRightInd w:val="0"/>
              <w:snapToGrid w:val="0"/>
              <w:jc w:val="center"/>
              <w:rPr>
                <w:rFonts w:hint="eastAsia" w:eastAsia="宋体"/>
                <w:snapToGrid w:val="0"/>
                <w:color w:val="000000"/>
                <w:sz w:val="21"/>
                <w:szCs w:val="21"/>
                <w:highlight w:val="none"/>
                <w:lang w:val="en-US" w:eastAsia="zh-CN"/>
              </w:rPr>
            </w:pPr>
            <w:r>
              <w:rPr>
                <w:rFonts w:hint="eastAsia"/>
                <w:snapToGrid w:val="0"/>
                <w:color w:val="000000"/>
                <w:sz w:val="21"/>
                <w:szCs w:val="21"/>
                <w:highlight w:val="none"/>
                <w:lang w:val="en-US" w:eastAsia="zh-CN"/>
              </w:rPr>
              <w:t>风机安装隔声罩、锅炉排气筒安装消声器等</w:t>
            </w:r>
            <w:r>
              <w:rPr>
                <w:rFonts w:hint="eastAsia"/>
                <w:lang w:eastAsia="zh-CN"/>
              </w:rPr>
              <w:t>。</w:t>
            </w:r>
          </w:p>
        </w:tc>
        <w:tc>
          <w:tcPr>
            <w:tcW w:w="1388" w:type="pct"/>
            <w:shd w:val="clear" w:color="auto" w:fill="auto"/>
            <w:noWrap w:val="0"/>
            <w:vAlign w:val="center"/>
          </w:tcPr>
          <w:p w14:paraId="11BA6337">
            <w:pPr>
              <w:shd w:val="clear" w:color="auto" w:fill="auto"/>
              <w:adjustRightInd w:val="0"/>
              <w:snapToGrid w:val="0"/>
              <w:jc w:val="center"/>
              <w:rPr>
                <w:rFonts w:hint="eastAsia" w:ascii="宋体" w:hAnsi="宋体" w:cs="宋体"/>
                <w:color w:val="000000"/>
                <w:sz w:val="21"/>
                <w:szCs w:val="21"/>
                <w:highlight w:val="none"/>
              </w:rPr>
            </w:pPr>
            <w:r>
              <w:rPr>
                <w:color w:val="000000"/>
                <w:sz w:val="21"/>
                <w:szCs w:val="21"/>
                <w:highlight w:val="none"/>
              </w:rPr>
              <w:t>《工业企业厂界环境噪声排放标准》（GB12348-2008）</w:t>
            </w:r>
            <w:r>
              <w:rPr>
                <w:rFonts w:hint="eastAsia"/>
                <w:color w:val="000000"/>
                <w:sz w:val="21"/>
                <w:szCs w:val="21"/>
                <w:highlight w:val="none"/>
                <w:lang w:val="en-US" w:eastAsia="zh-CN"/>
              </w:rPr>
              <w:t>2</w:t>
            </w:r>
            <w:r>
              <w:rPr>
                <w:color w:val="000000"/>
                <w:sz w:val="21"/>
                <w:szCs w:val="21"/>
                <w:highlight w:val="none"/>
              </w:rPr>
              <w:t>类</w:t>
            </w:r>
            <w:r>
              <w:rPr>
                <w:rFonts w:hint="eastAsia"/>
                <w:color w:val="000000"/>
                <w:sz w:val="21"/>
                <w:szCs w:val="21"/>
                <w:highlight w:val="none"/>
              </w:rPr>
              <w:t>标准</w:t>
            </w:r>
          </w:p>
        </w:tc>
      </w:tr>
      <w:tr w14:paraId="0714D9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6" w:hRule="atLeast"/>
          <w:jc w:val="center"/>
        </w:trPr>
        <w:tc>
          <w:tcPr>
            <w:tcW w:w="823" w:type="pct"/>
            <w:vMerge w:val="restart"/>
            <w:shd w:val="clear" w:color="auto" w:fill="auto"/>
            <w:noWrap w:val="0"/>
            <w:vAlign w:val="center"/>
          </w:tcPr>
          <w:p w14:paraId="4396561E">
            <w:pPr>
              <w:shd w:val="clear" w:color="auto" w:fill="auto"/>
              <w:adjustRightInd w:val="0"/>
              <w:snapToGrid w:val="0"/>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固体废物</w:t>
            </w:r>
          </w:p>
        </w:tc>
        <w:tc>
          <w:tcPr>
            <w:tcW w:w="905" w:type="pct"/>
            <w:shd w:val="clear" w:color="auto" w:fill="auto"/>
            <w:noWrap w:val="0"/>
            <w:vAlign w:val="center"/>
          </w:tcPr>
          <w:p w14:paraId="6FF4388C">
            <w:pPr>
              <w:shd w:val="clear" w:color="auto" w:fill="auto"/>
              <w:adjustRightInd w:val="0"/>
              <w:snapToGrid w:val="0"/>
              <w:jc w:val="center"/>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生活垃圾</w:t>
            </w:r>
          </w:p>
        </w:tc>
        <w:tc>
          <w:tcPr>
            <w:tcW w:w="3271" w:type="pct"/>
            <w:gridSpan w:val="3"/>
            <w:shd w:val="clear" w:color="auto" w:fill="auto"/>
            <w:noWrap w:val="0"/>
            <w:vAlign w:val="center"/>
          </w:tcPr>
          <w:p w14:paraId="701AD6F6">
            <w:pPr>
              <w:shd w:val="clear" w:color="auto" w:fill="auto"/>
              <w:adjustRightInd w:val="0"/>
              <w:snapToGrid w:val="0"/>
              <w:jc w:val="center"/>
              <w:rPr>
                <w:rFonts w:hint="eastAsia" w:eastAsia="宋体"/>
                <w:color w:val="000000"/>
                <w:sz w:val="21"/>
                <w:szCs w:val="21"/>
                <w:highlight w:val="none"/>
                <w:lang w:val="en-US" w:eastAsia="zh-CN"/>
              </w:rPr>
            </w:pPr>
            <w:r>
              <w:rPr>
                <w:rFonts w:hint="eastAsia"/>
                <w:color w:val="000000"/>
                <w:sz w:val="21"/>
                <w:szCs w:val="21"/>
                <w:highlight w:val="none"/>
                <w:lang w:val="en-US" w:eastAsia="zh-CN"/>
              </w:rPr>
              <w:t>分类收集，定期交由环卫部门处理</w:t>
            </w:r>
            <w:r>
              <w:rPr>
                <w:rFonts w:hint="eastAsia"/>
                <w:lang w:eastAsia="zh-CN"/>
              </w:rPr>
              <w:t>。</w:t>
            </w:r>
          </w:p>
        </w:tc>
      </w:tr>
      <w:tr w14:paraId="05472C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2" w:hRule="atLeast"/>
          <w:jc w:val="center"/>
        </w:trPr>
        <w:tc>
          <w:tcPr>
            <w:tcW w:w="823" w:type="pct"/>
            <w:vMerge w:val="continue"/>
            <w:shd w:val="clear" w:color="auto" w:fill="auto"/>
            <w:noWrap w:val="0"/>
            <w:vAlign w:val="center"/>
          </w:tcPr>
          <w:p w14:paraId="26443559">
            <w:pPr>
              <w:shd w:val="clear" w:color="auto" w:fill="auto"/>
              <w:adjustRightInd w:val="0"/>
              <w:snapToGrid w:val="0"/>
              <w:jc w:val="center"/>
              <w:rPr>
                <w:rFonts w:hint="eastAsia" w:ascii="宋体" w:hAnsi="宋体" w:cs="宋体"/>
                <w:color w:val="000000"/>
                <w:sz w:val="21"/>
                <w:szCs w:val="21"/>
                <w:highlight w:val="none"/>
              </w:rPr>
            </w:pPr>
          </w:p>
        </w:tc>
        <w:tc>
          <w:tcPr>
            <w:tcW w:w="905" w:type="pct"/>
            <w:shd w:val="clear" w:color="auto" w:fill="auto"/>
            <w:noWrap w:val="0"/>
            <w:vAlign w:val="center"/>
          </w:tcPr>
          <w:p w14:paraId="36CC04B6">
            <w:pPr>
              <w:shd w:val="clear" w:color="auto" w:fill="auto"/>
              <w:bidi w:val="0"/>
              <w:jc w:val="center"/>
              <w:rPr>
                <w:rFonts w:hint="default"/>
                <w:color w:val="000000"/>
                <w:kern w:val="2"/>
                <w:sz w:val="21"/>
                <w:szCs w:val="21"/>
                <w:highlight w:val="none"/>
                <w:lang w:val="en-US" w:eastAsia="zh-CN" w:bidi="ar-SA"/>
              </w:rPr>
            </w:pPr>
            <w:r>
              <w:rPr>
                <w:rFonts w:hint="eastAsia"/>
                <w:color w:val="000000"/>
                <w:highlight w:val="none"/>
                <w:lang w:val="en-US" w:eastAsia="zh-CN"/>
              </w:rPr>
              <w:t>酒糟、收集粉尘</w:t>
            </w:r>
          </w:p>
        </w:tc>
        <w:tc>
          <w:tcPr>
            <w:tcW w:w="3271" w:type="pct"/>
            <w:gridSpan w:val="3"/>
            <w:shd w:val="clear" w:color="auto" w:fill="auto"/>
            <w:noWrap w:val="0"/>
            <w:vAlign w:val="center"/>
          </w:tcPr>
          <w:p w14:paraId="5E09127A">
            <w:pPr>
              <w:shd w:val="clear" w:color="auto" w:fill="auto"/>
              <w:adjustRightInd w:val="0"/>
              <w:snapToGrid w:val="0"/>
              <w:jc w:val="center"/>
              <w:rPr>
                <w:rFonts w:hint="eastAsia" w:ascii="宋体" w:hAnsi="宋体" w:cs="宋体"/>
                <w:color w:val="000000"/>
                <w:sz w:val="21"/>
                <w:szCs w:val="21"/>
                <w:highlight w:val="none"/>
              </w:rPr>
            </w:pPr>
            <w:r>
              <w:rPr>
                <w:rFonts w:hint="eastAsia"/>
                <w:color w:val="000000"/>
                <w:highlight w:val="none"/>
                <w:lang w:val="en-US" w:eastAsia="zh-CN"/>
              </w:rPr>
              <w:t>外售饲料厂综合利用</w:t>
            </w:r>
          </w:p>
        </w:tc>
      </w:tr>
      <w:tr w14:paraId="58B3D5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PrEx>
        <w:trPr>
          <w:trHeight w:val="454" w:hRule="atLeast"/>
          <w:jc w:val="center"/>
        </w:trPr>
        <w:tc>
          <w:tcPr>
            <w:tcW w:w="823" w:type="pct"/>
            <w:vMerge w:val="continue"/>
            <w:shd w:val="clear" w:color="auto" w:fill="auto"/>
            <w:noWrap w:val="0"/>
            <w:vAlign w:val="center"/>
          </w:tcPr>
          <w:p w14:paraId="1C3641D3">
            <w:pPr>
              <w:shd w:val="clear" w:color="auto" w:fill="auto"/>
              <w:adjustRightInd w:val="0"/>
              <w:snapToGrid w:val="0"/>
              <w:jc w:val="center"/>
              <w:rPr>
                <w:rFonts w:hint="eastAsia" w:ascii="宋体" w:hAnsi="宋体" w:cs="宋体"/>
                <w:color w:val="000000"/>
                <w:sz w:val="21"/>
                <w:szCs w:val="21"/>
                <w:highlight w:val="none"/>
              </w:rPr>
            </w:pPr>
          </w:p>
        </w:tc>
        <w:tc>
          <w:tcPr>
            <w:tcW w:w="905" w:type="pct"/>
            <w:shd w:val="clear" w:color="auto" w:fill="auto"/>
            <w:noWrap w:val="0"/>
            <w:vAlign w:val="center"/>
          </w:tcPr>
          <w:p w14:paraId="010039E2">
            <w:pPr>
              <w:shd w:val="clear" w:color="auto" w:fill="auto"/>
              <w:bidi w:val="0"/>
              <w:jc w:val="center"/>
              <w:rPr>
                <w:rFonts w:hint="eastAsia"/>
                <w:color w:val="000000"/>
                <w:highlight w:val="none"/>
                <w:lang w:val="en-US" w:eastAsia="zh-CN"/>
              </w:rPr>
            </w:pPr>
            <w:r>
              <w:rPr>
                <w:rFonts w:hint="eastAsia"/>
                <w:color w:val="000000"/>
                <w:highlight w:val="none"/>
                <w:lang w:val="en-US" w:eastAsia="zh-CN"/>
              </w:rPr>
              <w:t>废包装材料</w:t>
            </w:r>
          </w:p>
        </w:tc>
        <w:tc>
          <w:tcPr>
            <w:tcW w:w="3271" w:type="pct"/>
            <w:gridSpan w:val="3"/>
            <w:shd w:val="clear" w:color="auto" w:fill="auto"/>
            <w:noWrap w:val="0"/>
            <w:vAlign w:val="center"/>
          </w:tcPr>
          <w:p w14:paraId="0C89E664">
            <w:pPr>
              <w:shd w:val="clear" w:color="auto" w:fill="auto"/>
              <w:adjustRightInd w:val="0"/>
              <w:snapToGrid w:val="0"/>
              <w:jc w:val="center"/>
              <w:rPr>
                <w:rFonts w:hint="eastAsia"/>
                <w:color w:val="000000"/>
                <w:sz w:val="21"/>
                <w:szCs w:val="21"/>
                <w:highlight w:val="none"/>
              </w:rPr>
            </w:pPr>
            <w:r>
              <w:rPr>
                <w:rFonts w:hint="eastAsia"/>
                <w:color w:val="000000"/>
                <w:highlight w:val="none"/>
                <w:lang w:val="en-US" w:eastAsia="zh-CN"/>
              </w:rPr>
              <w:t>外售物资回收部门</w:t>
            </w:r>
          </w:p>
        </w:tc>
      </w:tr>
      <w:tr w14:paraId="598A0D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3" w:hRule="atLeast"/>
          <w:jc w:val="center"/>
        </w:trPr>
        <w:tc>
          <w:tcPr>
            <w:tcW w:w="823" w:type="pct"/>
            <w:vMerge w:val="continue"/>
            <w:shd w:val="clear" w:color="auto" w:fill="auto"/>
            <w:noWrap w:val="0"/>
            <w:vAlign w:val="center"/>
          </w:tcPr>
          <w:p w14:paraId="5F745160">
            <w:pPr>
              <w:shd w:val="clear" w:color="auto" w:fill="auto"/>
              <w:adjustRightInd w:val="0"/>
              <w:snapToGrid w:val="0"/>
              <w:jc w:val="center"/>
              <w:rPr>
                <w:rFonts w:hint="eastAsia" w:ascii="宋体" w:hAnsi="宋体" w:cs="宋体"/>
                <w:color w:val="000000"/>
                <w:sz w:val="21"/>
                <w:szCs w:val="21"/>
                <w:highlight w:val="none"/>
              </w:rPr>
            </w:pPr>
          </w:p>
        </w:tc>
        <w:tc>
          <w:tcPr>
            <w:tcW w:w="905" w:type="pct"/>
            <w:shd w:val="clear" w:color="auto" w:fill="auto"/>
            <w:noWrap w:val="0"/>
            <w:vAlign w:val="center"/>
          </w:tcPr>
          <w:p w14:paraId="26E91E45">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lang w:val="en-US" w:eastAsia="zh-CN"/>
              </w:rPr>
              <w:t>废反渗透膜、废离子交换树脂</w:t>
            </w:r>
          </w:p>
        </w:tc>
        <w:tc>
          <w:tcPr>
            <w:tcW w:w="3271" w:type="pct"/>
            <w:gridSpan w:val="3"/>
            <w:shd w:val="clear" w:color="auto" w:fill="auto"/>
            <w:noWrap w:val="0"/>
            <w:vAlign w:val="center"/>
          </w:tcPr>
          <w:p w14:paraId="6318E014">
            <w:pPr>
              <w:shd w:val="clear" w:color="auto" w:fill="auto"/>
              <w:adjustRightInd w:val="0"/>
              <w:snapToGrid w:val="0"/>
              <w:jc w:val="center"/>
              <w:rPr>
                <w:rFonts w:hint="eastAsia" w:ascii="宋体" w:hAnsi="宋体" w:cs="宋体"/>
                <w:color w:val="000000"/>
                <w:sz w:val="21"/>
                <w:szCs w:val="21"/>
                <w:highlight w:val="none"/>
              </w:rPr>
            </w:pPr>
            <w:r>
              <w:rPr>
                <w:rFonts w:hint="eastAsia"/>
                <w:color w:val="000000"/>
                <w:highlight w:val="none"/>
                <w:lang w:val="en-US" w:eastAsia="zh-CN"/>
              </w:rPr>
              <w:t>厂家更换后回收</w:t>
            </w:r>
          </w:p>
        </w:tc>
      </w:tr>
      <w:tr w14:paraId="4A5F3C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4" w:hRule="atLeast"/>
          <w:jc w:val="center"/>
        </w:trPr>
        <w:tc>
          <w:tcPr>
            <w:tcW w:w="823" w:type="pct"/>
            <w:vMerge w:val="continue"/>
            <w:shd w:val="clear" w:color="auto" w:fill="auto"/>
            <w:noWrap w:val="0"/>
            <w:vAlign w:val="center"/>
          </w:tcPr>
          <w:p w14:paraId="4BBC3CA5">
            <w:pPr>
              <w:shd w:val="clear" w:color="auto" w:fill="auto"/>
              <w:adjustRightInd w:val="0"/>
              <w:snapToGrid w:val="0"/>
              <w:jc w:val="center"/>
              <w:rPr>
                <w:rFonts w:hint="eastAsia" w:ascii="宋体" w:hAnsi="宋体" w:cs="宋体"/>
                <w:color w:val="000000"/>
                <w:sz w:val="21"/>
                <w:szCs w:val="21"/>
                <w:highlight w:val="none"/>
              </w:rPr>
            </w:pPr>
          </w:p>
        </w:tc>
        <w:tc>
          <w:tcPr>
            <w:tcW w:w="905" w:type="pct"/>
            <w:shd w:val="clear" w:color="auto" w:fill="auto"/>
            <w:noWrap w:val="0"/>
            <w:vAlign w:val="center"/>
          </w:tcPr>
          <w:p w14:paraId="0FE663E9">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lang w:val="en-US" w:eastAsia="zh-CN"/>
              </w:rPr>
              <w:t>污泥、废封窖泥、炉灰、锅炉除尘灰</w:t>
            </w:r>
          </w:p>
        </w:tc>
        <w:tc>
          <w:tcPr>
            <w:tcW w:w="3271" w:type="pct"/>
            <w:gridSpan w:val="3"/>
            <w:shd w:val="clear" w:color="auto" w:fill="auto"/>
            <w:noWrap w:val="0"/>
            <w:vAlign w:val="center"/>
          </w:tcPr>
          <w:p w14:paraId="0A7EBB76">
            <w:pPr>
              <w:shd w:val="clear" w:color="auto" w:fill="auto"/>
              <w:adjustRightInd w:val="0"/>
              <w:snapToGrid w:val="0"/>
              <w:jc w:val="center"/>
              <w:rPr>
                <w:rFonts w:hint="eastAsia" w:ascii="宋体" w:hAnsi="宋体" w:cs="宋体"/>
                <w:color w:val="000000"/>
                <w:sz w:val="21"/>
                <w:szCs w:val="21"/>
                <w:highlight w:val="none"/>
              </w:rPr>
            </w:pPr>
            <w:r>
              <w:rPr>
                <w:rFonts w:hint="eastAsia"/>
                <w:color w:val="000000"/>
                <w:highlight w:val="none"/>
                <w:lang w:val="en-US" w:eastAsia="zh-CN"/>
              </w:rPr>
              <w:t>附近村民拉运肥田</w:t>
            </w:r>
          </w:p>
        </w:tc>
      </w:tr>
      <w:tr w14:paraId="6D9484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3" w:hRule="atLeast"/>
          <w:jc w:val="center"/>
        </w:trPr>
        <w:tc>
          <w:tcPr>
            <w:tcW w:w="823" w:type="pct"/>
            <w:vMerge w:val="continue"/>
            <w:shd w:val="clear" w:color="auto" w:fill="auto"/>
            <w:noWrap w:val="0"/>
            <w:vAlign w:val="center"/>
          </w:tcPr>
          <w:p w14:paraId="090AB667">
            <w:pPr>
              <w:shd w:val="clear" w:color="auto" w:fill="auto"/>
              <w:adjustRightInd w:val="0"/>
              <w:snapToGrid w:val="0"/>
              <w:jc w:val="center"/>
              <w:rPr>
                <w:rFonts w:hint="eastAsia" w:ascii="宋体" w:hAnsi="宋体" w:cs="宋体"/>
                <w:color w:val="000000"/>
                <w:sz w:val="21"/>
                <w:szCs w:val="21"/>
                <w:highlight w:val="none"/>
              </w:rPr>
            </w:pPr>
          </w:p>
        </w:tc>
        <w:tc>
          <w:tcPr>
            <w:tcW w:w="905" w:type="pct"/>
            <w:shd w:val="clear" w:color="auto" w:fill="auto"/>
            <w:noWrap w:val="0"/>
            <w:vAlign w:val="center"/>
          </w:tcPr>
          <w:p w14:paraId="46F9ED0F">
            <w:pPr>
              <w:shd w:val="clear" w:color="auto" w:fill="auto"/>
              <w:bidi w:val="0"/>
              <w:jc w:val="center"/>
              <w:rPr>
                <w:rFonts w:hint="default" w:eastAsia="宋体"/>
                <w:color w:val="000000"/>
                <w:highlight w:val="none"/>
                <w:lang w:val="en-US" w:eastAsia="zh-CN"/>
              </w:rPr>
            </w:pPr>
            <w:r>
              <w:rPr>
                <w:rFonts w:hint="eastAsia"/>
                <w:color w:val="000000"/>
                <w:highlight w:val="none"/>
                <w:lang w:val="en-US" w:eastAsia="zh-CN"/>
              </w:rPr>
              <w:t>废机油</w:t>
            </w:r>
            <w:r>
              <w:rPr>
                <w:rFonts w:hint="eastAsia"/>
                <w:color w:val="000000"/>
                <w:highlight w:val="none"/>
                <w:lang w:eastAsia="zh-CN"/>
              </w:rPr>
              <w:t>、</w:t>
            </w:r>
            <w:r>
              <w:rPr>
                <w:rFonts w:hint="eastAsia"/>
                <w:color w:val="000000"/>
                <w:highlight w:val="none"/>
                <w:lang w:val="en-US" w:eastAsia="zh-CN"/>
              </w:rPr>
              <w:t>废油桶、含油抹布手套、实验室废液、废</w:t>
            </w:r>
            <w:r>
              <w:t>活性炭等</w:t>
            </w:r>
          </w:p>
        </w:tc>
        <w:tc>
          <w:tcPr>
            <w:tcW w:w="3271" w:type="pct"/>
            <w:gridSpan w:val="3"/>
            <w:shd w:val="clear" w:color="auto" w:fill="auto"/>
            <w:noWrap w:val="0"/>
            <w:vAlign w:val="center"/>
          </w:tcPr>
          <w:p w14:paraId="11D41DAF">
            <w:pPr>
              <w:shd w:val="clear" w:color="auto" w:fill="auto"/>
              <w:bidi w:val="0"/>
              <w:jc w:val="center"/>
              <w:rPr>
                <w:rFonts w:hint="eastAsia"/>
                <w:color w:val="000000"/>
                <w:highlight w:val="none"/>
                <w:lang w:val="en-US" w:eastAsia="zh-CN"/>
              </w:rPr>
            </w:pPr>
          </w:p>
          <w:p w14:paraId="59E838DA">
            <w:pPr>
              <w:shd w:val="clear" w:color="auto" w:fill="auto"/>
              <w:bidi w:val="0"/>
              <w:jc w:val="center"/>
              <w:rPr>
                <w:rFonts w:hint="eastAsia" w:ascii="宋体" w:hAnsi="宋体" w:eastAsia="宋体" w:cs="宋体"/>
                <w:color w:val="000000"/>
                <w:sz w:val="21"/>
                <w:szCs w:val="21"/>
                <w:highlight w:val="none"/>
                <w:lang w:eastAsia="zh-CN"/>
              </w:rPr>
            </w:pPr>
            <w:r>
              <w:rPr>
                <w:rFonts w:hint="eastAsia"/>
                <w:color w:val="000000"/>
                <w:highlight w:val="none"/>
                <w:lang w:val="en-US" w:eastAsia="zh-CN"/>
              </w:rPr>
              <w:t>建设危废贮存间1座</w:t>
            </w:r>
            <w:r>
              <w:rPr>
                <w:rFonts w:hint="eastAsia"/>
                <w:color w:val="000000"/>
                <w:highlight w:val="none"/>
                <w:lang w:eastAsia="zh-CN"/>
              </w:rPr>
              <w:t>（</w:t>
            </w:r>
            <w:r>
              <w:rPr>
                <w:rFonts w:hint="eastAsia"/>
                <w:color w:val="000000"/>
                <w:highlight w:val="none"/>
                <w:lang w:val="en-US" w:eastAsia="zh-CN"/>
              </w:rPr>
              <w:t>20㎡</w:t>
            </w:r>
            <w:r>
              <w:rPr>
                <w:rFonts w:hint="eastAsia"/>
                <w:color w:val="000000"/>
                <w:highlight w:val="none"/>
                <w:lang w:eastAsia="zh-CN"/>
              </w:rPr>
              <w:t>）</w:t>
            </w:r>
            <w:r>
              <w:rPr>
                <w:color w:val="000000"/>
                <w:highlight w:val="none"/>
              </w:rPr>
              <w:t>，</w:t>
            </w:r>
            <w:r>
              <w:rPr>
                <w:rFonts w:hint="eastAsia"/>
                <w:color w:val="000000"/>
                <w:highlight w:val="none"/>
                <w:lang w:val="en-US" w:eastAsia="zh-CN"/>
              </w:rPr>
              <w:t>危险废物分类暂存于危废贮存间，定期</w:t>
            </w:r>
            <w:r>
              <w:rPr>
                <w:color w:val="000000"/>
                <w:highlight w:val="none"/>
              </w:rPr>
              <w:t>委托有危废处理资质单位处置</w:t>
            </w:r>
            <w:r>
              <w:rPr>
                <w:rFonts w:hint="eastAsia"/>
                <w:lang w:eastAsia="zh-CN"/>
              </w:rPr>
              <w:t>。</w:t>
            </w:r>
          </w:p>
        </w:tc>
      </w:tr>
      <w:tr w14:paraId="67D53D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3" w:hRule="atLeast"/>
          <w:jc w:val="center"/>
        </w:trPr>
        <w:tc>
          <w:tcPr>
            <w:tcW w:w="823" w:type="pct"/>
            <w:shd w:val="clear" w:color="auto" w:fill="auto"/>
            <w:noWrap w:val="0"/>
            <w:vAlign w:val="center"/>
          </w:tcPr>
          <w:p w14:paraId="7E19908B">
            <w:pPr>
              <w:shd w:val="clear" w:color="auto" w:fill="auto"/>
              <w:adjustRightInd w:val="0"/>
              <w:snapToGrid w:val="0"/>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土壤及地下水</w:t>
            </w:r>
          </w:p>
          <w:p w14:paraId="4B8ADE45">
            <w:pPr>
              <w:shd w:val="clear" w:color="auto" w:fill="auto"/>
              <w:adjustRightInd w:val="0"/>
              <w:snapToGrid w:val="0"/>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污染防治措施</w:t>
            </w:r>
          </w:p>
        </w:tc>
        <w:tc>
          <w:tcPr>
            <w:tcW w:w="4176" w:type="pct"/>
            <w:gridSpan w:val="4"/>
            <w:shd w:val="clear" w:color="auto" w:fill="auto"/>
            <w:noWrap w:val="0"/>
            <w:vAlign w:val="center"/>
          </w:tcPr>
          <w:p w14:paraId="0B55C82F">
            <w:pPr>
              <w:shd w:val="clear" w:color="auto" w:fill="auto"/>
              <w:adjustRightInd w:val="0"/>
              <w:snapToGrid w:val="0"/>
              <w:jc w:val="center"/>
              <w:rPr>
                <w:rFonts w:hint="eastAsia" w:ascii="宋体" w:hAnsi="宋体" w:cs="宋体"/>
                <w:color w:val="000000"/>
                <w:sz w:val="21"/>
                <w:szCs w:val="21"/>
                <w:highlight w:val="none"/>
              </w:rPr>
            </w:pPr>
            <w:r>
              <w:rPr>
                <w:rFonts w:hint="default" w:ascii="Times New Roman" w:hAnsi="Times New Roman" w:eastAsia="宋体" w:cs="Times New Roman"/>
                <w:color w:val="000000"/>
                <w:sz w:val="21"/>
                <w:szCs w:val="21"/>
                <w:highlight w:val="none"/>
                <w:lang w:val="en-US" w:eastAsia="zh-CN"/>
              </w:rPr>
              <w:t>分区防渗</w:t>
            </w:r>
            <w:r>
              <w:rPr>
                <w:rFonts w:hint="eastAsia" w:ascii="Times New Roman" w:hAnsi="Times New Roman" w:eastAsia="宋体" w:cs="Times New Roman"/>
                <w:color w:val="000000"/>
                <w:sz w:val="21"/>
                <w:szCs w:val="21"/>
                <w:highlight w:val="none"/>
                <w:lang w:val="en-US" w:eastAsia="zh-CN"/>
              </w:rPr>
              <w:t>，</w:t>
            </w:r>
            <w:r>
              <w:rPr>
                <w:rFonts w:hint="eastAsia" w:cs="Times New Roman"/>
                <w:color w:val="000000"/>
                <w:highlight w:val="none"/>
                <w:lang w:val="en-US" w:eastAsia="zh-CN"/>
              </w:rPr>
              <w:t>危险废物贮存间</w:t>
            </w:r>
            <w:r>
              <w:rPr>
                <w:rFonts w:hint="eastAsia" w:ascii="Times New Roman" w:hAnsi="Times New Roman" w:cs="Times New Roman"/>
                <w:color w:val="000000"/>
                <w:highlight w:val="none"/>
                <w:lang w:val="en-US" w:eastAsia="zh-CN"/>
              </w:rPr>
              <w:t>、污水处理站、尿素溶液储罐区</w:t>
            </w:r>
            <w:r>
              <w:rPr>
                <w:rFonts w:hint="default" w:ascii="Times New Roman" w:hAnsi="Times New Roman" w:cs="Times New Roman"/>
                <w:color w:val="000000"/>
                <w:highlight w:val="none"/>
                <w:lang w:val="en-US" w:eastAsia="zh-CN"/>
              </w:rPr>
              <w:t>采取重点防腐防渗措施，</w:t>
            </w:r>
            <w:r>
              <w:rPr>
                <w:rFonts w:hint="eastAsia" w:ascii="Times New Roman" w:hAnsi="Times New Roman" w:cs="Times New Roman"/>
                <w:color w:val="000000"/>
                <w:highlight w:val="none"/>
                <w:lang w:val="en-US" w:eastAsia="zh-CN"/>
              </w:rPr>
              <w:t>其他生产区域</w:t>
            </w:r>
            <w:r>
              <w:rPr>
                <w:rFonts w:hint="eastAsia" w:ascii="Times New Roman" w:hAnsi="Times New Roman" w:eastAsia="宋体" w:cs="Times New Roman"/>
                <w:color w:val="000000"/>
                <w:sz w:val="21"/>
                <w:szCs w:val="21"/>
                <w:highlight w:val="none"/>
                <w:lang w:val="en-US" w:eastAsia="zh-CN"/>
              </w:rPr>
              <w:t>采取一般防渗</w:t>
            </w:r>
            <w:r>
              <w:rPr>
                <w:rFonts w:hint="default" w:ascii="Times New Roman" w:hAnsi="Times New Roman" w:eastAsia="宋体" w:cs="Times New Roman"/>
                <w:color w:val="000000"/>
                <w:sz w:val="21"/>
                <w:szCs w:val="21"/>
                <w:highlight w:val="none"/>
                <w:lang w:val="en-US" w:eastAsia="zh-CN"/>
              </w:rPr>
              <w:t>。</w:t>
            </w:r>
          </w:p>
        </w:tc>
      </w:tr>
      <w:tr w14:paraId="690EC4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4" w:hRule="atLeast"/>
          <w:jc w:val="center"/>
        </w:trPr>
        <w:tc>
          <w:tcPr>
            <w:tcW w:w="823" w:type="pct"/>
            <w:shd w:val="clear" w:color="auto" w:fill="auto"/>
            <w:noWrap w:val="0"/>
            <w:vAlign w:val="center"/>
          </w:tcPr>
          <w:p w14:paraId="551CB4BB">
            <w:pPr>
              <w:shd w:val="clear" w:color="auto" w:fill="auto"/>
              <w:adjustRightInd w:val="0"/>
              <w:snapToGrid w:val="0"/>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生态保护措施</w:t>
            </w:r>
          </w:p>
        </w:tc>
        <w:tc>
          <w:tcPr>
            <w:tcW w:w="4176" w:type="pct"/>
            <w:gridSpan w:val="4"/>
            <w:shd w:val="clear" w:color="auto" w:fill="auto"/>
            <w:noWrap w:val="0"/>
            <w:vAlign w:val="center"/>
          </w:tcPr>
          <w:p w14:paraId="28B700AB">
            <w:pPr>
              <w:shd w:val="clear" w:color="auto" w:fill="auto"/>
              <w:adjustRightInd w:val="0"/>
              <w:snapToGrid w:val="0"/>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w:t>
            </w:r>
          </w:p>
        </w:tc>
      </w:tr>
      <w:tr w14:paraId="153B74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9" w:hRule="atLeast"/>
          <w:jc w:val="center"/>
        </w:trPr>
        <w:tc>
          <w:tcPr>
            <w:tcW w:w="823" w:type="pct"/>
            <w:shd w:val="clear" w:color="auto" w:fill="auto"/>
            <w:noWrap w:val="0"/>
            <w:vAlign w:val="center"/>
          </w:tcPr>
          <w:p w14:paraId="2357DAD0">
            <w:pPr>
              <w:shd w:val="clear" w:color="auto" w:fill="auto"/>
              <w:adjustRightInd w:val="0"/>
              <w:snapToGrid w:val="0"/>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电磁辐射</w:t>
            </w:r>
          </w:p>
        </w:tc>
        <w:tc>
          <w:tcPr>
            <w:tcW w:w="4176" w:type="pct"/>
            <w:gridSpan w:val="4"/>
            <w:shd w:val="clear" w:color="auto" w:fill="auto"/>
            <w:noWrap w:val="0"/>
            <w:vAlign w:val="center"/>
          </w:tcPr>
          <w:p w14:paraId="6F164264">
            <w:pPr>
              <w:shd w:val="clear" w:color="auto" w:fill="auto"/>
              <w:adjustRightInd w:val="0"/>
              <w:snapToGrid w:val="0"/>
              <w:jc w:val="center"/>
              <w:rPr>
                <w:rFonts w:hint="eastAsia" w:ascii="宋体" w:hAnsi="宋体" w:cs="宋体"/>
                <w:color w:val="000000"/>
                <w:sz w:val="21"/>
                <w:szCs w:val="21"/>
                <w:highlight w:val="none"/>
              </w:rPr>
            </w:pPr>
            <w:r>
              <w:rPr>
                <w:rFonts w:hint="eastAsia" w:ascii="宋体" w:hAnsi="宋体" w:cs="宋体"/>
                <w:color w:val="000000"/>
                <w:sz w:val="21"/>
                <w:szCs w:val="21"/>
                <w:highlight w:val="none"/>
              </w:rPr>
              <w:t>/</w:t>
            </w:r>
          </w:p>
        </w:tc>
      </w:tr>
      <w:tr w14:paraId="766775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76" w:hRule="atLeast"/>
          <w:jc w:val="center"/>
        </w:trPr>
        <w:tc>
          <w:tcPr>
            <w:tcW w:w="823" w:type="pct"/>
            <w:shd w:val="clear" w:color="auto" w:fill="auto"/>
            <w:noWrap w:val="0"/>
            <w:vAlign w:val="center"/>
          </w:tcPr>
          <w:p w14:paraId="40DC4923">
            <w:pPr>
              <w:shd w:val="clear" w:color="auto" w:fill="auto"/>
              <w:adjustRightInd w:val="0"/>
              <w:snapToGrid w:val="0"/>
              <w:jc w:val="center"/>
              <w:rPr>
                <w:rFonts w:ascii="宋体" w:hAnsi="宋体" w:cs="宋体"/>
                <w:color w:val="000000"/>
                <w:spacing w:val="-8"/>
                <w:sz w:val="21"/>
                <w:szCs w:val="21"/>
                <w:highlight w:val="none"/>
              </w:rPr>
            </w:pPr>
            <w:r>
              <w:rPr>
                <w:rFonts w:hint="eastAsia" w:ascii="宋体" w:hAnsi="宋体" w:cs="宋体"/>
                <w:color w:val="000000"/>
                <w:spacing w:val="-8"/>
                <w:sz w:val="21"/>
                <w:szCs w:val="21"/>
                <w:highlight w:val="none"/>
              </w:rPr>
              <w:t>环境风险</w:t>
            </w:r>
          </w:p>
          <w:p w14:paraId="79FF57C4">
            <w:pPr>
              <w:shd w:val="clear" w:color="auto" w:fill="auto"/>
              <w:adjustRightInd w:val="0"/>
              <w:snapToGrid w:val="0"/>
              <w:jc w:val="center"/>
              <w:rPr>
                <w:rFonts w:hint="eastAsia" w:ascii="宋体" w:hAnsi="宋体" w:cs="宋体"/>
                <w:color w:val="000000"/>
                <w:spacing w:val="-8"/>
                <w:sz w:val="21"/>
                <w:szCs w:val="21"/>
                <w:highlight w:val="none"/>
              </w:rPr>
            </w:pPr>
            <w:r>
              <w:rPr>
                <w:rFonts w:hint="eastAsia" w:ascii="宋体" w:hAnsi="宋体" w:cs="宋体"/>
                <w:color w:val="000000"/>
                <w:spacing w:val="-8"/>
                <w:sz w:val="21"/>
                <w:szCs w:val="21"/>
                <w:highlight w:val="none"/>
              </w:rPr>
              <w:t>防范措施</w:t>
            </w:r>
          </w:p>
        </w:tc>
        <w:tc>
          <w:tcPr>
            <w:tcW w:w="4176" w:type="pct"/>
            <w:gridSpan w:val="4"/>
            <w:shd w:val="clear" w:color="auto" w:fill="auto"/>
            <w:noWrap w:val="0"/>
            <w:vAlign w:val="center"/>
          </w:tcPr>
          <w:p w14:paraId="19286644">
            <w:pPr>
              <w:keepNext w:val="0"/>
              <w:keepLines w:val="0"/>
              <w:pageBreakBefore w:val="0"/>
              <w:widowControl w:val="0"/>
              <w:numPr>
                <w:ilvl w:val="0"/>
                <w:numId w:val="8"/>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危废间、尿素溶液储罐设置围堰，按照规范要求进行“三防”措施；</w:t>
            </w:r>
          </w:p>
          <w:p w14:paraId="4EF92BB5">
            <w:pPr>
              <w:keepNext w:val="0"/>
              <w:keepLines w:val="0"/>
              <w:pageBreakBefore w:val="0"/>
              <w:widowControl w:val="0"/>
              <w:numPr>
                <w:ilvl w:val="0"/>
                <w:numId w:val="8"/>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厂区分区防渗，设置事故池；</w:t>
            </w:r>
          </w:p>
          <w:p w14:paraId="600293E8">
            <w:pPr>
              <w:keepNext w:val="0"/>
              <w:keepLines w:val="0"/>
              <w:pageBreakBefore w:val="0"/>
              <w:widowControl w:val="0"/>
              <w:numPr>
                <w:ilvl w:val="0"/>
                <w:numId w:val="8"/>
              </w:numPr>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color w:val="000000"/>
                <w:sz w:val="21"/>
                <w:szCs w:val="21"/>
                <w:highlight w:val="none"/>
              </w:rPr>
            </w:pPr>
            <w:r>
              <w:rPr>
                <w:rFonts w:hint="default" w:ascii="Times New Roman" w:hAnsi="Times New Roman" w:eastAsia="宋体" w:cs="Times New Roman"/>
                <w:color w:val="000000"/>
                <w:sz w:val="21"/>
                <w:szCs w:val="21"/>
                <w:highlight w:val="none"/>
              </w:rPr>
              <w:t>加强管理工作</w:t>
            </w:r>
            <w:r>
              <w:rPr>
                <w:rFonts w:hint="default" w:ascii="Times New Roman" w:hAnsi="Times New Roman" w:eastAsia="宋体" w:cs="Times New Roman"/>
                <w:color w:val="000000"/>
                <w:sz w:val="21"/>
                <w:szCs w:val="21"/>
                <w:highlight w:val="none"/>
                <w:lang w:eastAsia="zh-CN"/>
              </w:rPr>
              <w:t>，</w:t>
            </w:r>
            <w:r>
              <w:rPr>
                <w:rFonts w:hint="default" w:ascii="Times New Roman" w:hAnsi="Times New Roman" w:eastAsia="宋体" w:cs="Times New Roman"/>
                <w:color w:val="000000"/>
                <w:sz w:val="21"/>
                <w:szCs w:val="21"/>
                <w:highlight w:val="none"/>
              </w:rPr>
              <w:t>设专人负责危险废物的安全贮存、厂区内</w:t>
            </w:r>
            <w:r>
              <w:rPr>
                <w:rFonts w:hint="eastAsia" w:cs="Times New Roman"/>
                <w:color w:val="000000"/>
                <w:sz w:val="21"/>
                <w:szCs w:val="21"/>
                <w:highlight w:val="none"/>
                <w:lang w:eastAsia="zh-CN"/>
              </w:rPr>
              <w:t>运输</w:t>
            </w:r>
            <w:r>
              <w:rPr>
                <w:rFonts w:hint="default" w:ascii="Times New Roman" w:hAnsi="Times New Roman" w:eastAsia="宋体" w:cs="Times New Roman"/>
                <w:color w:val="000000"/>
                <w:sz w:val="21"/>
                <w:szCs w:val="21"/>
                <w:highlight w:val="none"/>
                <w:lang w:eastAsia="zh-CN"/>
              </w:rPr>
              <w:t>，</w:t>
            </w:r>
            <w:r>
              <w:rPr>
                <w:rFonts w:hint="default" w:ascii="Times New Roman" w:hAnsi="Times New Roman" w:eastAsia="宋体" w:cs="Times New Roman"/>
                <w:color w:val="000000"/>
                <w:sz w:val="21"/>
                <w:szCs w:val="21"/>
                <w:highlight w:val="none"/>
              </w:rPr>
              <w:t>按照其物化性质、危险特性等特征采取相应的安全贮存方式；</w:t>
            </w:r>
          </w:p>
          <w:p w14:paraId="65B46E64">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（3）针对危险废物的贮存、</w:t>
            </w:r>
            <w:r>
              <w:rPr>
                <w:rFonts w:hint="eastAsia" w:cs="Times New Roman"/>
                <w:color w:val="000000"/>
                <w:sz w:val="21"/>
                <w:szCs w:val="21"/>
                <w:highlight w:val="none"/>
                <w:lang w:eastAsia="zh-CN"/>
              </w:rPr>
              <w:t>运输</w:t>
            </w:r>
            <w:r>
              <w:rPr>
                <w:rFonts w:hint="default" w:ascii="Times New Roman" w:hAnsi="Times New Roman" w:cs="Times New Roman"/>
                <w:color w:val="000000"/>
                <w:sz w:val="21"/>
                <w:szCs w:val="21"/>
                <w:highlight w:val="none"/>
              </w:rPr>
              <w:t>制定安全条例</w:t>
            </w:r>
            <w:r>
              <w:rPr>
                <w:rFonts w:hint="default"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rPr>
              <w:t>严禁靠近明火；</w:t>
            </w:r>
          </w:p>
          <w:p w14:paraId="7F3C6532">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left"/>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（4）</w:t>
            </w:r>
            <w:r>
              <w:rPr>
                <w:rFonts w:hint="eastAsia" w:ascii="Times New Roman" w:hAnsi="Times New Roman" w:cs="Times New Roman"/>
                <w:color w:val="000000"/>
                <w:sz w:val="21"/>
                <w:szCs w:val="21"/>
                <w:highlight w:val="none"/>
                <w:lang w:val="en-US" w:eastAsia="zh-CN"/>
              </w:rPr>
              <w:t>编制突发环境事件</w:t>
            </w:r>
            <w:r>
              <w:rPr>
                <w:rFonts w:hint="default" w:ascii="Times New Roman" w:hAnsi="Times New Roman" w:cs="Times New Roman"/>
                <w:color w:val="000000"/>
                <w:sz w:val="21"/>
                <w:szCs w:val="21"/>
                <w:highlight w:val="none"/>
              </w:rPr>
              <w:t>应急预案</w:t>
            </w:r>
            <w:r>
              <w:rPr>
                <w:rFonts w:hint="eastAsia" w:ascii="Times New Roman" w:hAnsi="Times New Roman" w:cs="Times New Roman"/>
                <w:color w:val="000000"/>
                <w:sz w:val="21"/>
                <w:szCs w:val="21"/>
                <w:highlight w:val="none"/>
                <w:lang w:val="en-US" w:eastAsia="zh-CN"/>
              </w:rPr>
              <w:t>并在生态环境部门备案</w:t>
            </w:r>
            <w:r>
              <w:rPr>
                <w:rFonts w:hint="default"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rPr>
              <w:t>一旦发生事故后能够及时采取有效措施进行科学处置</w:t>
            </w:r>
            <w:r>
              <w:rPr>
                <w:rFonts w:hint="default"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rPr>
              <w:t>将事故破坏降至最低限度</w:t>
            </w:r>
            <w:r>
              <w:rPr>
                <w:rFonts w:hint="default"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rPr>
              <w:t>同时考虑各种处置方案的科学合理性以及有效性。</w:t>
            </w:r>
          </w:p>
          <w:p w14:paraId="2D03AB69">
            <w:pPr>
              <w:shd w:val="clear" w:color="auto" w:fill="auto"/>
              <w:adjustRightInd w:val="0"/>
              <w:snapToGrid w:val="0"/>
              <w:spacing w:line="360" w:lineRule="auto"/>
              <w:ind w:firstLine="420" w:firstLineChars="200"/>
              <w:jc w:val="left"/>
              <w:rPr>
                <w:rFonts w:hint="eastAsia" w:ascii="宋体" w:hAnsi="宋体" w:cs="宋体"/>
                <w:color w:val="000000"/>
                <w:sz w:val="21"/>
                <w:szCs w:val="21"/>
                <w:highlight w:val="none"/>
              </w:rPr>
            </w:pPr>
            <w:r>
              <w:rPr>
                <w:rFonts w:hint="default" w:ascii="Times New Roman" w:hAnsi="Times New Roman" w:cs="Times New Roman"/>
                <w:color w:val="000000"/>
                <w:sz w:val="21"/>
                <w:szCs w:val="21"/>
                <w:highlight w:val="none"/>
              </w:rPr>
              <w:t>（</w:t>
            </w:r>
            <w:r>
              <w:rPr>
                <w:rFonts w:hint="eastAsia" w:ascii="Times New Roman" w:hAnsi="Times New Roman" w:cs="Times New Roman"/>
                <w:color w:val="000000"/>
                <w:sz w:val="21"/>
                <w:szCs w:val="21"/>
                <w:highlight w:val="none"/>
                <w:lang w:val="en-US" w:eastAsia="zh-CN"/>
              </w:rPr>
              <w:t>5</w:t>
            </w:r>
            <w:r>
              <w:rPr>
                <w:rFonts w:hint="default" w:ascii="Times New Roman" w:hAnsi="Times New Roman" w:cs="Times New Roman"/>
                <w:color w:val="000000"/>
                <w:sz w:val="21"/>
                <w:szCs w:val="21"/>
                <w:highlight w:val="none"/>
              </w:rPr>
              <w:t>）履行危险废物申报登记制度、建立台账管理制度、执行报批和转移联单制度。</w:t>
            </w:r>
          </w:p>
        </w:tc>
      </w:tr>
      <w:tr w14:paraId="216BBF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02" w:hRule="atLeast"/>
          <w:jc w:val="center"/>
        </w:trPr>
        <w:tc>
          <w:tcPr>
            <w:tcW w:w="823" w:type="pct"/>
            <w:shd w:val="clear" w:color="auto" w:fill="auto"/>
            <w:noWrap w:val="0"/>
            <w:vAlign w:val="center"/>
          </w:tcPr>
          <w:p w14:paraId="4FBDAD40">
            <w:pPr>
              <w:shd w:val="clear" w:color="auto" w:fill="auto"/>
              <w:adjustRightInd w:val="0"/>
              <w:snapToGrid w:val="0"/>
              <w:jc w:val="center"/>
              <w:rPr>
                <w:rFonts w:ascii="宋体" w:hAnsi="宋体" w:cs="宋体"/>
                <w:color w:val="000000"/>
                <w:spacing w:val="-8"/>
                <w:sz w:val="21"/>
                <w:szCs w:val="21"/>
                <w:highlight w:val="none"/>
              </w:rPr>
            </w:pPr>
            <w:r>
              <w:rPr>
                <w:rFonts w:hint="eastAsia" w:ascii="宋体" w:hAnsi="宋体" w:cs="宋体"/>
                <w:color w:val="000000"/>
                <w:spacing w:val="-8"/>
                <w:sz w:val="21"/>
                <w:szCs w:val="21"/>
                <w:highlight w:val="none"/>
              </w:rPr>
              <w:t>其他环境</w:t>
            </w:r>
          </w:p>
          <w:p w14:paraId="2D94C694">
            <w:pPr>
              <w:shd w:val="clear" w:color="auto" w:fill="auto"/>
              <w:adjustRightInd w:val="0"/>
              <w:snapToGrid w:val="0"/>
              <w:jc w:val="center"/>
              <w:rPr>
                <w:rFonts w:hint="eastAsia" w:ascii="宋体" w:hAnsi="宋体" w:cs="宋体"/>
                <w:color w:val="000000"/>
                <w:spacing w:val="-8"/>
                <w:sz w:val="21"/>
                <w:szCs w:val="21"/>
                <w:highlight w:val="none"/>
              </w:rPr>
            </w:pPr>
            <w:r>
              <w:rPr>
                <w:rFonts w:hint="eastAsia" w:ascii="宋体" w:hAnsi="宋体" w:cs="宋体"/>
                <w:color w:val="000000"/>
                <w:spacing w:val="-8"/>
                <w:sz w:val="21"/>
                <w:szCs w:val="21"/>
                <w:highlight w:val="none"/>
              </w:rPr>
              <w:t>管理要求</w:t>
            </w:r>
          </w:p>
        </w:tc>
        <w:tc>
          <w:tcPr>
            <w:tcW w:w="4176" w:type="pct"/>
            <w:gridSpan w:val="4"/>
            <w:shd w:val="clear" w:color="auto" w:fill="auto"/>
            <w:noWrap w:val="0"/>
            <w:vAlign w:val="center"/>
          </w:tcPr>
          <w:p w14:paraId="177A940C">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422" w:firstLineChars="200"/>
              <w:textAlignment w:val="auto"/>
              <w:rPr>
                <w:rFonts w:hint="default" w:ascii="Times New Roman" w:hAnsi="Times New Roman" w:cs="Times New Roman"/>
                <w:b/>
                <w:bCs/>
                <w:color w:val="000000"/>
                <w:sz w:val="21"/>
                <w:szCs w:val="21"/>
                <w:highlight w:val="none"/>
              </w:rPr>
            </w:pPr>
            <w:r>
              <w:rPr>
                <w:rFonts w:hint="eastAsia" w:cs="Times New Roman"/>
                <w:b/>
                <w:bCs/>
                <w:color w:val="000000"/>
                <w:sz w:val="21"/>
                <w:szCs w:val="21"/>
                <w:highlight w:val="none"/>
                <w:lang w:val="en-US" w:eastAsia="zh-CN"/>
              </w:rPr>
              <w:t>1.</w:t>
            </w:r>
            <w:r>
              <w:rPr>
                <w:rFonts w:hint="default" w:ascii="Times New Roman" w:hAnsi="Times New Roman" w:cs="Times New Roman"/>
                <w:b/>
                <w:bCs/>
                <w:color w:val="000000"/>
                <w:sz w:val="21"/>
                <w:szCs w:val="21"/>
                <w:highlight w:val="none"/>
              </w:rPr>
              <w:t>企业信息公开</w:t>
            </w:r>
          </w:p>
          <w:p w14:paraId="3C00DDD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default" w:ascii="Times New Roman" w:hAnsi="Times New Roman" w:cs="Times New Roman"/>
                <w:color w:val="000000"/>
                <w:sz w:val="21"/>
                <w:szCs w:val="21"/>
                <w:highlight w:val="none"/>
              </w:rPr>
            </w:pPr>
            <w:r>
              <w:rPr>
                <w:rFonts w:hint="default" w:ascii="Times New Roman" w:hAnsi="Times New Roman" w:cs="Times New Roman"/>
                <w:color w:val="000000"/>
                <w:sz w:val="21"/>
                <w:szCs w:val="21"/>
                <w:highlight w:val="none"/>
              </w:rPr>
              <w:t>根据《企业事业单位环境信息公开办法》（</w:t>
            </w:r>
            <w:r>
              <w:rPr>
                <w:rFonts w:hint="eastAsia" w:ascii="Times New Roman" w:hAnsi="Times New Roman" w:cs="Times New Roman"/>
                <w:color w:val="000000"/>
                <w:sz w:val="21"/>
                <w:szCs w:val="21"/>
                <w:highlight w:val="none"/>
                <w:lang w:val="en-US" w:eastAsia="zh-CN"/>
              </w:rPr>
              <w:t>原</w:t>
            </w:r>
            <w:r>
              <w:rPr>
                <w:rFonts w:hint="default" w:ascii="Times New Roman" w:hAnsi="Times New Roman" w:cs="Times New Roman"/>
                <w:color w:val="000000"/>
                <w:sz w:val="21"/>
                <w:szCs w:val="21"/>
                <w:highlight w:val="none"/>
              </w:rPr>
              <w:t>环保部令第31号）的规定，企业事业单位应当按照强制公开和自愿公开相结合的原则，及时、如实地公开其环境信息。如环境信息涉及国家秘密、商业秘密或者个人隐私的，依法可以不公开；法律、法规另有规定的，从其规定。企业事业单位应当建立健全本单位环境信息公开制度，指定机构负责本单位环境信息公开日常工作。</w:t>
            </w:r>
          </w:p>
          <w:p w14:paraId="621B0A89">
            <w:pPr>
              <w:keepNext w:val="0"/>
              <w:keepLines w:val="0"/>
              <w:pageBreakBefore w:val="0"/>
              <w:widowControl/>
              <w:numPr>
                <w:ilvl w:val="0"/>
                <w:numId w:val="0"/>
              </w:numPr>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422" w:firstLineChars="200"/>
              <w:textAlignment w:val="auto"/>
              <w:rPr>
                <w:rFonts w:hint="default" w:ascii="Times New Roman" w:hAnsi="Times New Roman" w:cs="Times New Roman"/>
                <w:b/>
                <w:bCs/>
                <w:color w:val="000000"/>
                <w:sz w:val="21"/>
                <w:szCs w:val="21"/>
                <w:highlight w:val="none"/>
                <w:lang w:val="en-US" w:eastAsia="zh-CN"/>
              </w:rPr>
            </w:pPr>
            <w:r>
              <w:rPr>
                <w:rFonts w:hint="eastAsia" w:cs="Times New Roman"/>
                <w:b/>
                <w:bCs/>
                <w:color w:val="000000"/>
                <w:sz w:val="21"/>
                <w:szCs w:val="21"/>
                <w:highlight w:val="none"/>
                <w:lang w:val="en-US" w:eastAsia="zh-CN"/>
              </w:rPr>
              <w:t>2.</w:t>
            </w:r>
            <w:r>
              <w:rPr>
                <w:rFonts w:hint="default" w:ascii="Times New Roman" w:hAnsi="Times New Roman" w:cs="Times New Roman"/>
                <w:b/>
                <w:bCs/>
                <w:color w:val="000000"/>
                <w:sz w:val="21"/>
                <w:szCs w:val="21"/>
                <w:highlight w:val="none"/>
                <w:lang w:val="en-US" w:eastAsia="zh-CN"/>
              </w:rPr>
              <w:t>排污口规范化</w:t>
            </w:r>
          </w:p>
          <w:p w14:paraId="2A156B7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根据国家环保总局</w:t>
            </w:r>
            <w:r>
              <w:rPr>
                <w:rFonts w:hint="default" w:ascii="Times New Roman" w:hAnsi="Times New Roman" w:eastAsia="宋体" w:cs="Times New Roman"/>
                <w:color w:val="000000"/>
                <w:sz w:val="21"/>
                <w:szCs w:val="21"/>
                <w:highlight w:val="none"/>
                <w:lang w:val="en-US" w:eastAsia="zh-CN"/>
              </w:rPr>
              <w:t>《排污口规范化整治技术要求（试行）》（环监</w:t>
            </w:r>
            <w:r>
              <w:rPr>
                <w:rFonts w:hint="eastAsia" w:cs="Times New Roman"/>
                <w:color w:val="000000"/>
                <w:sz w:val="21"/>
                <w:szCs w:val="21"/>
                <w:highlight w:val="none"/>
                <w:lang w:val="en-US" w:eastAsia="zh-CN"/>
              </w:rPr>
              <w:t>〔1996〕470号</w:t>
            </w:r>
            <w:r>
              <w:rPr>
                <w:rFonts w:hint="default" w:ascii="Times New Roman" w:hAnsi="Times New Roman" w:eastAsia="宋体" w:cs="Times New Roman"/>
                <w:color w:val="000000"/>
                <w:sz w:val="21"/>
                <w:szCs w:val="21"/>
                <w:highlight w:val="none"/>
                <w:lang w:val="en-US" w:eastAsia="zh-CN"/>
              </w:rPr>
              <w:t>）的相关规定，</w:t>
            </w:r>
            <w:r>
              <w:rPr>
                <w:rFonts w:hint="default" w:ascii="Times New Roman" w:hAnsi="Times New Roman" w:cs="Times New Roman"/>
                <w:color w:val="000000"/>
                <w:sz w:val="21"/>
                <w:szCs w:val="21"/>
                <w:highlight w:val="none"/>
                <w:lang w:val="en-US" w:eastAsia="zh-CN"/>
              </w:rPr>
              <w:t>企业所有</w:t>
            </w:r>
            <w:r>
              <w:rPr>
                <w:rFonts w:hint="eastAsia" w:ascii="Times New Roman" w:hAnsi="Times New Roman" w:cs="Times New Roman"/>
                <w:color w:val="000000"/>
                <w:sz w:val="21"/>
                <w:szCs w:val="21"/>
                <w:highlight w:val="none"/>
                <w:lang w:val="en-US" w:eastAsia="zh-CN"/>
              </w:rPr>
              <w:t>排污口</w:t>
            </w:r>
            <w:r>
              <w:rPr>
                <w:rFonts w:hint="default" w:ascii="Times New Roman" w:hAnsi="Times New Roman" w:cs="Times New Roman"/>
                <w:color w:val="000000"/>
                <w:sz w:val="21"/>
                <w:szCs w:val="21"/>
                <w:highlight w:val="none"/>
                <w:lang w:val="en-US" w:eastAsia="zh-CN"/>
              </w:rPr>
              <w:t>，必须按照</w:t>
            </w:r>
            <w:r>
              <w:rPr>
                <w:rFonts w:hint="eastAsia" w:ascii="Times New Roman" w:hAnsi="Times New Roman" w:cs="Times New Roman"/>
                <w:color w:val="000000"/>
                <w:sz w:val="21"/>
                <w:szCs w:val="21"/>
                <w:highlight w:val="none"/>
                <w:lang w:val="en-US" w:eastAsia="zh-CN"/>
              </w:rPr>
              <w:t>“</w:t>
            </w:r>
            <w:r>
              <w:rPr>
                <w:rFonts w:hint="default" w:ascii="Times New Roman" w:hAnsi="Times New Roman" w:cs="Times New Roman"/>
                <w:color w:val="000000"/>
                <w:sz w:val="21"/>
                <w:szCs w:val="21"/>
                <w:highlight w:val="none"/>
                <w:lang w:val="en-US" w:eastAsia="zh-CN"/>
              </w:rPr>
              <w:t>便于计量监测、便于日常现场监督检查</w:t>
            </w:r>
            <w:r>
              <w:rPr>
                <w:rFonts w:hint="eastAsia" w:ascii="Times New Roman" w:hAnsi="Times New Roman" w:cs="Times New Roman"/>
                <w:color w:val="000000"/>
                <w:sz w:val="21"/>
                <w:szCs w:val="21"/>
                <w:highlight w:val="none"/>
                <w:lang w:val="en-US" w:eastAsia="zh-CN"/>
              </w:rPr>
              <w:t>”</w:t>
            </w:r>
            <w:r>
              <w:rPr>
                <w:rFonts w:hint="default" w:ascii="Times New Roman" w:hAnsi="Times New Roman" w:cs="Times New Roman"/>
                <w:color w:val="000000"/>
                <w:sz w:val="21"/>
                <w:szCs w:val="21"/>
                <w:highlight w:val="none"/>
                <w:lang w:val="en-US" w:eastAsia="zh-CN"/>
              </w:rPr>
              <w:t>的规范化要求，设置与之相适应的环境保护图形标志牌，绘制企业排污口分布图，对治理设施安装运行监控装置，以便环境监管部门监管。</w:t>
            </w:r>
          </w:p>
          <w:p w14:paraId="6FCDFF9B">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（1）废气排气筒</w:t>
            </w:r>
          </w:p>
          <w:p w14:paraId="635E9005">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A</w:t>
            </w:r>
            <w:r>
              <w:rPr>
                <w:rFonts w:hint="eastAsia" w:cs="Times New Roman"/>
                <w:b w:val="0"/>
                <w:bCs w:val="0"/>
                <w:color w:val="000000"/>
                <w:sz w:val="21"/>
                <w:szCs w:val="21"/>
                <w:highlight w:val="none"/>
                <w:lang w:val="en-US" w:eastAsia="zh-CN"/>
              </w:rPr>
              <w:t>.</w:t>
            </w:r>
            <w:r>
              <w:rPr>
                <w:rFonts w:hint="eastAsia" w:ascii="Times New Roman" w:hAnsi="Times New Roman" w:eastAsia="宋体" w:cs="Times New Roman"/>
                <w:b w:val="0"/>
                <w:bCs w:val="0"/>
                <w:color w:val="000000"/>
                <w:sz w:val="21"/>
                <w:szCs w:val="21"/>
                <w:highlight w:val="none"/>
                <w:lang w:val="en-US" w:eastAsia="zh-CN"/>
              </w:rPr>
              <w:t>采样口设置要求</w:t>
            </w:r>
          </w:p>
          <w:p w14:paraId="5F6D5AC2">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①依据《固定污染源排气中颗粒物测定与气态污染物采样方法》（GB/T16157-1996）及其修改单的要求，其</w:t>
            </w:r>
            <w:r>
              <w:rPr>
                <w:rFonts w:hint="eastAsia" w:ascii="Times New Roman" w:hAnsi="Times New Roman" w:eastAsia="宋体" w:cs="Times New Roman"/>
                <w:color w:val="000000"/>
                <w:sz w:val="21"/>
                <w:szCs w:val="21"/>
                <w:highlight w:val="none"/>
                <w:lang w:val="en-US" w:eastAsia="zh-CN"/>
              </w:rPr>
              <w:t>采样</w:t>
            </w:r>
            <w:r>
              <w:rPr>
                <w:rFonts w:hint="default" w:ascii="Times New Roman" w:hAnsi="Times New Roman" w:eastAsia="宋体" w:cs="Times New Roman"/>
                <w:color w:val="000000"/>
                <w:sz w:val="21"/>
                <w:szCs w:val="21"/>
                <w:highlight w:val="none"/>
                <w:lang w:val="en-US" w:eastAsia="zh-CN"/>
              </w:rPr>
              <w:t>位置优先选择在垂直管段，并设置在距离弯头、阀门、变径管下游方向不小于6倍直径和距离上述部件上游方向不小于3倍直径处。采样口内径应不小于80mm，长度应不大于50mm，不使用时采用盖板、管堵或管帽封闭。</w:t>
            </w:r>
          </w:p>
          <w:p w14:paraId="204C9B75">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②废气净化设施的进出口均设置采样口。</w:t>
            </w:r>
          </w:p>
          <w:p w14:paraId="596DC4F1">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③在排气筒附近地面醒目处设置环境保护图形标志牌。</w:t>
            </w:r>
          </w:p>
          <w:p w14:paraId="4365F82F">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B</w:t>
            </w:r>
            <w:r>
              <w:rPr>
                <w:rFonts w:hint="eastAsia" w:cs="Times New Roman"/>
                <w:b w:val="0"/>
                <w:bCs w:val="0"/>
                <w:color w:val="000000"/>
                <w:sz w:val="21"/>
                <w:szCs w:val="21"/>
                <w:highlight w:val="none"/>
                <w:lang w:val="en-US" w:eastAsia="zh-CN"/>
              </w:rPr>
              <w:t>.</w:t>
            </w:r>
            <w:r>
              <w:rPr>
                <w:rFonts w:hint="eastAsia" w:ascii="Times New Roman" w:hAnsi="Times New Roman" w:eastAsia="宋体" w:cs="Times New Roman"/>
                <w:b w:val="0"/>
                <w:bCs w:val="0"/>
                <w:color w:val="000000"/>
                <w:sz w:val="21"/>
                <w:szCs w:val="21"/>
                <w:highlight w:val="none"/>
                <w:lang w:val="en-US" w:eastAsia="zh-CN"/>
              </w:rPr>
              <w:t>采样平台设置要求</w:t>
            </w:r>
          </w:p>
          <w:p w14:paraId="54BA63A6">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①</w:t>
            </w:r>
            <w:r>
              <w:rPr>
                <w:rFonts w:hint="eastAsia" w:ascii="Times New Roman" w:hAnsi="Times New Roman" w:eastAsia="宋体" w:cs="Times New Roman"/>
                <w:color w:val="000000"/>
                <w:sz w:val="21"/>
                <w:szCs w:val="21"/>
                <w:highlight w:val="none"/>
                <w:lang w:val="en-US" w:eastAsia="zh-CN"/>
              </w:rPr>
              <w:t>监测平台不少于1.5㎡</w:t>
            </w:r>
            <w:r>
              <w:rPr>
                <w:rFonts w:hint="eastAsia" w:ascii="Times New Roman" w:hAnsi="Times New Roman" w:eastAsia="宋体" w:cs="Times New Roman"/>
                <w:color w:val="000000"/>
                <w:sz w:val="21"/>
                <w:szCs w:val="21"/>
                <w:highlight w:val="none"/>
                <w:vertAlign w:val="baseline"/>
                <w:lang w:val="en-US" w:eastAsia="zh-CN"/>
              </w:rPr>
              <w:t>，</w:t>
            </w:r>
            <w:r>
              <w:rPr>
                <w:rFonts w:hint="eastAsia" w:ascii="Times New Roman" w:hAnsi="Times New Roman" w:eastAsia="宋体" w:cs="Times New Roman"/>
                <w:color w:val="000000"/>
                <w:sz w:val="21"/>
                <w:szCs w:val="21"/>
                <w:highlight w:val="none"/>
                <w:lang w:val="en-US" w:eastAsia="zh-CN"/>
              </w:rPr>
              <w:t>并设置有1.2m高的护栏和不低于10cm的脚步挡板。</w:t>
            </w:r>
          </w:p>
          <w:p w14:paraId="5194570B">
            <w:pPr>
              <w:pStyle w:val="61"/>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textAlignment w:val="auto"/>
              <w:rPr>
                <w:rFonts w:hint="default"/>
                <w:color w:val="000000"/>
                <w:highlight w:val="none"/>
                <w:lang w:val="en-US" w:eastAsia="zh-CN"/>
              </w:rPr>
            </w:pPr>
            <w:r>
              <w:rPr>
                <w:rFonts w:hint="default" w:ascii="Times New Roman" w:hAnsi="Times New Roman" w:eastAsia="宋体" w:cs="Times New Roman"/>
                <w:color w:val="000000"/>
                <w:sz w:val="21"/>
                <w:szCs w:val="21"/>
                <w:highlight w:val="none"/>
                <w:lang w:val="en-US" w:eastAsia="zh-CN"/>
              </w:rPr>
              <w:t>②</w:t>
            </w:r>
            <w:r>
              <w:rPr>
                <w:rFonts w:hint="eastAsia" w:ascii="Times New Roman" w:hAnsi="Times New Roman" w:eastAsia="宋体" w:cs="Times New Roman"/>
                <w:color w:val="000000"/>
                <w:sz w:val="21"/>
                <w:szCs w:val="21"/>
                <w:highlight w:val="none"/>
                <w:lang w:val="en-US" w:eastAsia="zh-CN"/>
              </w:rPr>
              <w:t>平台、爬楼梯杆高度不低于1.5m，爬楼梯型式应该是斜爬梯或Z型，宽度范围为600mm-800mm。</w:t>
            </w:r>
          </w:p>
          <w:p w14:paraId="73A1702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eastAsia"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③</w:t>
            </w:r>
            <w:r>
              <w:rPr>
                <w:rFonts w:hint="eastAsia" w:ascii="Times New Roman" w:hAnsi="Times New Roman" w:eastAsia="宋体" w:cs="Times New Roman"/>
                <w:color w:val="000000"/>
                <w:sz w:val="21"/>
                <w:szCs w:val="21"/>
                <w:highlight w:val="none"/>
                <w:lang w:val="en-US" w:eastAsia="zh-CN"/>
              </w:rPr>
              <w:t>平台设置位置应监测人员操作有危险的场所，采样平台的承重应不小于200kg/m³，采样平台距采样孔约为1.2m-1.3m。</w:t>
            </w:r>
          </w:p>
          <w:p w14:paraId="2C5E0553">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（2）</w:t>
            </w:r>
            <w:r>
              <w:rPr>
                <w:rFonts w:hint="default" w:ascii="Times New Roman" w:hAnsi="Times New Roman" w:eastAsia="宋体" w:cs="Times New Roman"/>
                <w:b w:val="0"/>
                <w:bCs w:val="0"/>
                <w:color w:val="000000"/>
                <w:sz w:val="21"/>
                <w:szCs w:val="21"/>
                <w:highlight w:val="none"/>
                <w:lang w:val="en-US" w:eastAsia="zh-CN"/>
              </w:rPr>
              <w:t>废水排放口</w:t>
            </w:r>
          </w:p>
          <w:p w14:paraId="2CF681CF">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厂区不设置废水</w:t>
            </w:r>
            <w:r>
              <w:t>排放口</w:t>
            </w:r>
            <w:r>
              <w:rPr>
                <w:rFonts w:hint="eastAsia" w:ascii="Times New Roman" w:hAnsi="Times New Roman" w:eastAsia="宋体" w:cs="Times New Roman"/>
                <w:color w:val="000000"/>
                <w:sz w:val="21"/>
                <w:szCs w:val="21"/>
                <w:highlight w:val="none"/>
                <w:lang w:val="en-US" w:eastAsia="zh-CN"/>
              </w:rPr>
              <w:t>。</w:t>
            </w:r>
          </w:p>
          <w:p w14:paraId="1146757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w:t>
            </w:r>
            <w:r>
              <w:rPr>
                <w:rFonts w:hint="eastAsia" w:cs="Times New Roman"/>
                <w:b w:val="0"/>
                <w:bCs w:val="0"/>
                <w:color w:val="000000"/>
                <w:sz w:val="21"/>
                <w:szCs w:val="21"/>
                <w:highlight w:val="none"/>
                <w:lang w:val="en-US" w:eastAsia="zh-CN"/>
              </w:rPr>
              <w:t>3</w:t>
            </w:r>
            <w:r>
              <w:rPr>
                <w:rFonts w:hint="eastAsia" w:ascii="Times New Roman" w:hAnsi="Times New Roman" w:eastAsia="宋体" w:cs="Times New Roman"/>
                <w:b w:val="0"/>
                <w:bCs w:val="0"/>
                <w:color w:val="000000"/>
                <w:sz w:val="21"/>
                <w:szCs w:val="21"/>
                <w:highlight w:val="none"/>
                <w:lang w:val="en-US" w:eastAsia="zh-CN"/>
              </w:rPr>
              <w:t>）</w:t>
            </w:r>
            <w:r>
              <w:rPr>
                <w:rFonts w:hint="default" w:ascii="Times New Roman" w:hAnsi="Times New Roman" w:cs="Times New Roman"/>
                <w:color w:val="000000"/>
                <w:sz w:val="21"/>
                <w:szCs w:val="21"/>
                <w:highlight w:val="none"/>
                <w:lang w:val="en-US" w:eastAsia="zh-CN"/>
              </w:rPr>
              <w:t>固定噪声源</w:t>
            </w:r>
          </w:p>
          <w:p w14:paraId="761A60C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在固定噪声源对厂界噪声影响最大处，设置环境保护图形标志牌。</w:t>
            </w:r>
          </w:p>
          <w:p w14:paraId="63568B6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（4）固体废物贮存场所</w:t>
            </w:r>
          </w:p>
          <w:p w14:paraId="4E55EBE6">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sz w:val="21"/>
                <w:szCs w:val="21"/>
                <w:highlight w:val="none"/>
                <w:lang w:eastAsia="zh-CN"/>
              </w:rPr>
            </w:pPr>
            <w:r>
              <w:rPr>
                <w:rFonts w:hint="default" w:ascii="Times New Roman" w:hAnsi="Times New Roman" w:cs="Times New Roman"/>
                <w:color w:val="000000"/>
                <w:sz w:val="21"/>
                <w:szCs w:val="21"/>
                <w:highlight w:val="none"/>
                <w:lang w:eastAsia="zh-CN"/>
              </w:rPr>
              <w:t>本项目设置2个固废贮</w:t>
            </w:r>
            <w:r>
              <w:rPr>
                <w:rFonts w:hint="eastAsia" w:ascii="Times New Roman" w:hAnsi="Times New Roman" w:cs="Times New Roman"/>
                <w:color w:val="000000"/>
                <w:sz w:val="21"/>
                <w:szCs w:val="21"/>
                <w:highlight w:val="none"/>
                <w:lang w:val="en-US" w:eastAsia="zh-CN"/>
              </w:rPr>
              <w:t>存场所</w:t>
            </w:r>
            <w:r>
              <w:rPr>
                <w:rFonts w:hint="default" w:ascii="Times New Roman" w:hAnsi="Times New Roman" w:cs="Times New Roman"/>
                <w:color w:val="000000"/>
                <w:sz w:val="21"/>
                <w:szCs w:val="21"/>
                <w:highlight w:val="none"/>
                <w:lang w:eastAsia="zh-CN"/>
              </w:rPr>
              <w:t>，</w:t>
            </w:r>
            <w:r>
              <w:rPr>
                <w:rFonts w:hint="eastAsia" w:ascii="Times New Roman" w:hAnsi="Times New Roman" w:cs="Times New Roman"/>
                <w:color w:val="000000"/>
                <w:sz w:val="21"/>
                <w:szCs w:val="21"/>
                <w:highlight w:val="none"/>
                <w:lang w:val="en-US" w:eastAsia="zh-CN"/>
              </w:rPr>
              <w:t>分别为</w:t>
            </w:r>
            <w:r>
              <w:rPr>
                <w:rFonts w:hint="default" w:ascii="Times New Roman" w:hAnsi="Times New Roman" w:cs="Times New Roman"/>
                <w:color w:val="000000"/>
                <w:sz w:val="21"/>
                <w:szCs w:val="21"/>
                <w:highlight w:val="none"/>
                <w:lang w:eastAsia="zh-CN"/>
              </w:rPr>
              <w:t>一般固废</w:t>
            </w:r>
            <w:r>
              <w:rPr>
                <w:rFonts w:hint="eastAsia" w:ascii="Times New Roman" w:hAnsi="Times New Roman" w:cs="Times New Roman"/>
                <w:color w:val="000000"/>
                <w:sz w:val="21"/>
                <w:szCs w:val="21"/>
                <w:highlight w:val="none"/>
                <w:lang w:val="en-US" w:eastAsia="zh-CN"/>
              </w:rPr>
              <w:t>暂存间和危废贮存间</w:t>
            </w:r>
            <w:r>
              <w:rPr>
                <w:rFonts w:hint="default" w:ascii="Times New Roman" w:hAnsi="Times New Roman" w:cs="Times New Roman"/>
                <w:color w:val="000000"/>
                <w:sz w:val="21"/>
                <w:szCs w:val="21"/>
                <w:highlight w:val="none"/>
                <w:lang w:eastAsia="zh-CN"/>
              </w:rPr>
              <w:t>。</w:t>
            </w:r>
          </w:p>
          <w:p w14:paraId="63D20AD5">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固体废物贮存场所要求：</w:t>
            </w:r>
          </w:p>
          <w:p w14:paraId="45B13BD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①固体废物贮存场所要有防火、防扬散、防流失、防渗漏、防雨</w:t>
            </w:r>
            <w:r>
              <w:rPr>
                <w:rFonts w:hint="eastAsia" w:ascii="Times New Roman" w:hAnsi="Times New Roman" w:cs="Times New Roman"/>
                <w:color w:val="000000"/>
                <w:sz w:val="21"/>
                <w:szCs w:val="21"/>
                <w:highlight w:val="none"/>
                <w:lang w:val="en-US" w:eastAsia="zh-CN"/>
              </w:rPr>
              <w:t>等</w:t>
            </w:r>
            <w:r>
              <w:rPr>
                <w:rFonts w:hint="default" w:ascii="Times New Roman" w:hAnsi="Times New Roman" w:cs="Times New Roman"/>
                <w:color w:val="000000"/>
                <w:sz w:val="21"/>
                <w:szCs w:val="21"/>
                <w:highlight w:val="none"/>
                <w:lang w:val="en-US" w:eastAsia="zh-CN"/>
              </w:rPr>
              <w:t>措施；</w:t>
            </w:r>
          </w:p>
          <w:p w14:paraId="53C4C91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②固体废物贮存场所在醒目处设置一个标志牌，具体按照《环境保护图形标志》规定制作。</w:t>
            </w:r>
          </w:p>
          <w:p w14:paraId="5E276CB0">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本项目产生的废机油等危险废物</w:t>
            </w:r>
            <w:r>
              <w:rPr>
                <w:rFonts w:hint="default" w:ascii="Times New Roman" w:hAnsi="Times New Roman" w:cs="Times New Roman"/>
                <w:color w:val="000000"/>
                <w:sz w:val="21"/>
                <w:szCs w:val="21"/>
                <w:highlight w:val="none"/>
                <w:lang w:val="en-US" w:eastAsia="zh-CN"/>
              </w:rPr>
              <w:t>应按照</w:t>
            </w:r>
            <w:r>
              <w:rPr>
                <w:rFonts w:hint="default" w:ascii="Times New Roman" w:hAnsi="Times New Roman" w:eastAsia="宋体" w:cs="Times New Roman"/>
                <w:color w:val="000000"/>
                <w:sz w:val="21"/>
                <w:szCs w:val="21"/>
                <w:highlight w:val="none"/>
                <w:lang w:val="en-US" w:eastAsia="zh-CN"/>
              </w:rPr>
              <w:t>《危险废物贮存污染控制标准》中要求进行分质贮存和处置。</w:t>
            </w:r>
          </w:p>
          <w:p w14:paraId="66E80DEB">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（5）环境保护图形标志</w:t>
            </w:r>
          </w:p>
          <w:p w14:paraId="6FC6642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在厂区的废气排放口、噪声排放源、固体废物贮存处置场应设置环境保护图形标志，图形符号分为提示图形</w:t>
            </w:r>
            <w:r>
              <w:rPr>
                <w:rFonts w:hint="eastAsia" w:ascii="Times New Roman" w:hAnsi="Times New Roman" w:cs="Times New Roman"/>
                <w:color w:val="000000"/>
                <w:sz w:val="21"/>
                <w:szCs w:val="21"/>
                <w:highlight w:val="none"/>
                <w:lang w:val="en-US" w:eastAsia="zh-CN"/>
              </w:rPr>
              <w:t>符号</w:t>
            </w:r>
            <w:r>
              <w:rPr>
                <w:rFonts w:hint="default" w:ascii="Times New Roman" w:hAnsi="Times New Roman" w:cs="Times New Roman"/>
                <w:color w:val="000000"/>
                <w:sz w:val="21"/>
                <w:szCs w:val="21"/>
                <w:highlight w:val="none"/>
                <w:lang w:val="en-US" w:eastAsia="zh-CN"/>
              </w:rPr>
              <w:t>和警告图形符号两种，分别按GB15562.1-1995、GB15562.2-1995</w:t>
            </w:r>
            <w:r>
              <w:rPr>
                <w:rFonts w:hint="eastAsia" w:ascii="Times New Roman" w:hAnsi="Times New Roman" w:cs="Times New Roman"/>
                <w:color w:val="000000"/>
                <w:sz w:val="21"/>
                <w:szCs w:val="21"/>
                <w:highlight w:val="none"/>
                <w:lang w:val="en-US" w:eastAsia="zh-CN"/>
              </w:rPr>
              <w:t>、</w:t>
            </w:r>
            <w:r>
              <w:rPr>
                <w:rFonts w:hint="eastAsia"/>
                <w:color w:val="000000"/>
                <w:sz w:val="21"/>
                <w:szCs w:val="21"/>
                <w:highlight w:val="none"/>
                <w:lang w:eastAsia="zh-CN"/>
              </w:rPr>
              <w:t>GB18597-2023</w:t>
            </w:r>
            <w:r>
              <w:rPr>
                <w:rFonts w:hint="default" w:ascii="Times New Roman" w:hAnsi="Times New Roman" w:cs="Times New Roman"/>
                <w:color w:val="000000"/>
                <w:sz w:val="21"/>
                <w:szCs w:val="21"/>
                <w:highlight w:val="none"/>
                <w:lang w:val="en-US" w:eastAsia="zh-CN"/>
              </w:rPr>
              <w:t>执行。</w:t>
            </w:r>
          </w:p>
          <w:p w14:paraId="464D1D13">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leftChars="0" w:right="0" w:firstLine="420" w:firstLineChars="200"/>
              <w:jc w:val="left"/>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环境保护图形符号见下表。</w:t>
            </w:r>
          </w:p>
          <w:p w14:paraId="5375F3FC">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highlight w:val="none"/>
                <w:lang w:val="en-US" w:eastAsia="zh-CN"/>
              </w:rPr>
            </w:pPr>
            <w:r>
              <w:rPr>
                <w:rFonts w:hint="default" w:ascii="Times New Roman" w:hAnsi="Times New Roman" w:eastAsia="宋体" w:cs="Times New Roman"/>
                <w:b/>
                <w:bCs/>
                <w:color w:val="000000"/>
                <w:sz w:val="21"/>
                <w:szCs w:val="21"/>
                <w:highlight w:val="none"/>
                <w:lang w:val="en-US" w:eastAsia="zh-CN"/>
              </w:rPr>
              <w:t>表5-1</w:t>
            </w:r>
            <w:r>
              <w:rPr>
                <w:rFonts w:hint="eastAsia" w:cs="Times New Roman"/>
                <w:b/>
                <w:bCs/>
                <w:color w:val="000000"/>
                <w:sz w:val="21"/>
                <w:szCs w:val="21"/>
                <w:highlight w:val="none"/>
                <w:lang w:val="en-US" w:eastAsia="zh-CN"/>
              </w:rPr>
              <w:t xml:space="preserve">   </w:t>
            </w:r>
            <w:r>
              <w:rPr>
                <w:rFonts w:hint="default" w:ascii="Times New Roman" w:hAnsi="Times New Roman" w:eastAsia="宋体" w:cs="Times New Roman"/>
                <w:b/>
                <w:bCs/>
                <w:color w:val="000000"/>
                <w:sz w:val="21"/>
                <w:szCs w:val="21"/>
                <w:highlight w:val="none"/>
                <w:lang w:val="en-US" w:eastAsia="zh-CN"/>
              </w:rPr>
              <w:t>环境保护图形符号一览表</w:t>
            </w:r>
          </w:p>
          <w:tbl>
            <w:tblPr>
              <w:tblStyle w:val="21"/>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931"/>
              <w:gridCol w:w="2843"/>
              <w:gridCol w:w="2560"/>
            </w:tblGrid>
            <w:tr w14:paraId="5AFDF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1316" w:type="pct"/>
                  <w:tcBorders>
                    <w:tl2br w:val="nil"/>
                    <w:tr2bl w:val="nil"/>
                  </w:tcBorders>
                  <w:shd w:val="clear" w:color="auto" w:fill="auto"/>
                  <w:noWrap w:val="0"/>
                  <w:vAlign w:val="center"/>
                </w:tcPr>
                <w:p w14:paraId="4BDD345D">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highlight w:val="none"/>
                    </w:rPr>
                  </w:pPr>
                  <w:bookmarkStart w:id="38" w:name="10.2.4企业环境信息公开"/>
                  <w:bookmarkEnd w:id="38"/>
                  <w:r>
                    <w:rPr>
                      <w:rFonts w:hint="default" w:ascii="Times New Roman" w:hAnsi="Times New Roman" w:eastAsia="宋体" w:cs="Times New Roman"/>
                      <w:b/>
                      <w:bCs/>
                      <w:color w:val="000000"/>
                      <w:sz w:val="21"/>
                      <w:szCs w:val="21"/>
                      <w:highlight w:val="none"/>
                    </w:rPr>
                    <w:t>图形标志</w:t>
                  </w:r>
                </w:p>
              </w:tc>
              <w:tc>
                <w:tcPr>
                  <w:tcW w:w="1938" w:type="pct"/>
                  <w:tcBorders>
                    <w:tl2br w:val="nil"/>
                    <w:tr2bl w:val="nil"/>
                  </w:tcBorders>
                  <w:shd w:val="clear" w:color="auto" w:fill="auto"/>
                  <w:noWrap w:val="0"/>
                  <w:vAlign w:val="center"/>
                </w:tcPr>
                <w:p w14:paraId="07A544B2">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图形代表意义</w:t>
                  </w:r>
                </w:p>
              </w:tc>
              <w:tc>
                <w:tcPr>
                  <w:tcW w:w="1745" w:type="pct"/>
                  <w:tcBorders>
                    <w:tl2br w:val="nil"/>
                    <w:tr2bl w:val="nil"/>
                  </w:tcBorders>
                  <w:shd w:val="clear" w:color="auto" w:fill="auto"/>
                  <w:noWrap w:val="0"/>
                  <w:vAlign w:val="center"/>
                </w:tcPr>
                <w:p w14:paraId="364F091C">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符号简介</w:t>
                  </w:r>
                </w:p>
              </w:tc>
            </w:tr>
            <w:tr w14:paraId="6060F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1316" w:type="pct"/>
                  <w:tcBorders>
                    <w:tl2br w:val="nil"/>
                    <w:tr2bl w:val="nil"/>
                  </w:tcBorders>
                  <w:shd w:val="clear" w:color="auto" w:fill="auto"/>
                  <w:noWrap w:val="0"/>
                  <w:vAlign w:val="center"/>
                </w:tcPr>
                <w:p w14:paraId="29D70626">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drawing>
                      <wp:inline distT="0" distB="0" distL="114300" distR="114300">
                        <wp:extent cx="761365" cy="772160"/>
                        <wp:effectExtent l="0" t="0" r="635" b="8890"/>
                        <wp:docPr id="567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 name="图片 50"/>
                                <pic:cNvPicPr>
                                  <a:picLocks noChangeAspect="1"/>
                                </pic:cNvPicPr>
                              </pic:nvPicPr>
                              <pic:blipFill>
                                <a:blip r:embed="rId30"/>
                                <a:stretch>
                                  <a:fillRect/>
                                </a:stretch>
                              </pic:blipFill>
                              <pic:spPr>
                                <a:xfrm>
                                  <a:off x="0" y="0"/>
                                  <a:ext cx="761365" cy="772160"/>
                                </a:xfrm>
                                <a:prstGeom prst="rect">
                                  <a:avLst/>
                                </a:prstGeom>
                                <a:noFill/>
                                <a:ln>
                                  <a:noFill/>
                                </a:ln>
                              </pic:spPr>
                            </pic:pic>
                          </a:graphicData>
                        </a:graphic>
                      </wp:inline>
                    </w:drawing>
                  </w:r>
                </w:p>
              </w:tc>
              <w:tc>
                <w:tcPr>
                  <w:tcW w:w="1938" w:type="pct"/>
                  <w:tcBorders>
                    <w:tl2br w:val="nil"/>
                    <w:tr2bl w:val="nil"/>
                  </w:tcBorders>
                  <w:shd w:val="clear" w:color="auto" w:fill="auto"/>
                  <w:noWrap w:val="0"/>
                  <w:vAlign w:val="center"/>
                </w:tcPr>
                <w:p w14:paraId="0FDDBED2">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标志名称：废气排放口国标代码：GB15562.1-1995</w:t>
                  </w:r>
                </w:p>
              </w:tc>
              <w:tc>
                <w:tcPr>
                  <w:tcW w:w="1745" w:type="pct"/>
                  <w:tcBorders>
                    <w:tl2br w:val="nil"/>
                    <w:tr2bl w:val="nil"/>
                  </w:tcBorders>
                  <w:shd w:val="clear" w:color="auto" w:fill="auto"/>
                  <w:noWrap w:val="0"/>
                  <w:vAlign w:val="center"/>
                </w:tcPr>
                <w:p w14:paraId="54FED2D8">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提示图形符号废气排放口</w:t>
                  </w:r>
                </w:p>
                <w:p w14:paraId="02C36D8C">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表示废气向大气环境排放</w:t>
                  </w:r>
                </w:p>
              </w:tc>
            </w:tr>
            <w:tr w14:paraId="0C0DE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1316" w:type="pct"/>
                  <w:tcBorders>
                    <w:tl2br w:val="nil"/>
                    <w:tr2bl w:val="nil"/>
                  </w:tcBorders>
                  <w:shd w:val="clear" w:color="auto" w:fill="auto"/>
                  <w:noWrap w:val="0"/>
                  <w:vAlign w:val="center"/>
                </w:tcPr>
                <w:p w14:paraId="55AD8E8C">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drawing>
                      <wp:inline distT="0" distB="0" distL="114300" distR="114300">
                        <wp:extent cx="720090" cy="722630"/>
                        <wp:effectExtent l="0" t="0" r="3810" b="1270"/>
                        <wp:docPr id="567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 name="图片 52"/>
                                <pic:cNvPicPr>
                                  <a:picLocks noChangeAspect="1"/>
                                </pic:cNvPicPr>
                              </pic:nvPicPr>
                              <pic:blipFill>
                                <a:blip r:embed="rId31"/>
                                <a:stretch>
                                  <a:fillRect/>
                                </a:stretch>
                              </pic:blipFill>
                              <pic:spPr>
                                <a:xfrm>
                                  <a:off x="0" y="0"/>
                                  <a:ext cx="720090" cy="722630"/>
                                </a:xfrm>
                                <a:prstGeom prst="rect">
                                  <a:avLst/>
                                </a:prstGeom>
                                <a:noFill/>
                                <a:ln>
                                  <a:noFill/>
                                </a:ln>
                              </pic:spPr>
                            </pic:pic>
                          </a:graphicData>
                        </a:graphic>
                      </wp:inline>
                    </w:drawing>
                  </w:r>
                </w:p>
              </w:tc>
              <w:tc>
                <w:tcPr>
                  <w:tcW w:w="1938" w:type="pct"/>
                  <w:tcBorders>
                    <w:tl2br w:val="nil"/>
                    <w:tr2bl w:val="nil"/>
                  </w:tcBorders>
                  <w:shd w:val="clear" w:color="auto" w:fill="auto"/>
                  <w:noWrap w:val="0"/>
                  <w:vAlign w:val="center"/>
                </w:tcPr>
                <w:p w14:paraId="6B368F22">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标志名称：噪声排放源国标代码：GB15562.1-1995</w:t>
                  </w:r>
                </w:p>
              </w:tc>
              <w:tc>
                <w:tcPr>
                  <w:tcW w:w="1745" w:type="pct"/>
                  <w:tcBorders>
                    <w:tl2br w:val="nil"/>
                    <w:tr2bl w:val="nil"/>
                  </w:tcBorders>
                  <w:shd w:val="clear" w:color="auto" w:fill="auto"/>
                  <w:noWrap w:val="0"/>
                  <w:vAlign w:val="center"/>
                </w:tcPr>
                <w:p w14:paraId="165DC742">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提示图形符号噪声排放源</w:t>
                  </w:r>
                </w:p>
                <w:p w14:paraId="73710E59">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表示噪声向外环境排放</w:t>
                  </w:r>
                </w:p>
              </w:tc>
            </w:tr>
            <w:tr w14:paraId="1EB7A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1316" w:type="pct"/>
                  <w:tcBorders>
                    <w:tl2br w:val="nil"/>
                    <w:tr2bl w:val="nil"/>
                  </w:tcBorders>
                  <w:shd w:val="clear" w:color="auto" w:fill="auto"/>
                  <w:noWrap w:val="0"/>
                  <w:vAlign w:val="center"/>
                </w:tcPr>
                <w:p w14:paraId="1BD7E675">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drawing>
                      <wp:inline distT="0" distB="0" distL="114300" distR="114300">
                        <wp:extent cx="754380" cy="731520"/>
                        <wp:effectExtent l="0" t="0" r="7620" b="11430"/>
                        <wp:docPr id="567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 name="图片 53"/>
                                <pic:cNvPicPr>
                                  <a:picLocks noChangeAspect="1"/>
                                </pic:cNvPicPr>
                              </pic:nvPicPr>
                              <pic:blipFill>
                                <a:blip r:embed="rId32"/>
                                <a:stretch>
                                  <a:fillRect/>
                                </a:stretch>
                              </pic:blipFill>
                              <pic:spPr>
                                <a:xfrm>
                                  <a:off x="0" y="0"/>
                                  <a:ext cx="754380" cy="731520"/>
                                </a:xfrm>
                                <a:prstGeom prst="rect">
                                  <a:avLst/>
                                </a:prstGeom>
                                <a:noFill/>
                                <a:ln>
                                  <a:noFill/>
                                </a:ln>
                              </pic:spPr>
                            </pic:pic>
                          </a:graphicData>
                        </a:graphic>
                      </wp:inline>
                    </w:drawing>
                  </w:r>
                </w:p>
              </w:tc>
              <w:tc>
                <w:tcPr>
                  <w:tcW w:w="1938" w:type="pct"/>
                  <w:tcBorders>
                    <w:tl2br w:val="nil"/>
                    <w:tr2bl w:val="nil"/>
                  </w:tcBorders>
                  <w:shd w:val="clear" w:color="auto" w:fill="auto"/>
                  <w:noWrap w:val="0"/>
                  <w:vAlign w:val="center"/>
                </w:tcPr>
                <w:p w14:paraId="0241FC9D">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标志名称：噪声排放源国标代码：GB15562.1-1995</w:t>
                  </w:r>
                </w:p>
              </w:tc>
              <w:tc>
                <w:tcPr>
                  <w:tcW w:w="1745" w:type="pct"/>
                  <w:tcBorders>
                    <w:tl2br w:val="nil"/>
                    <w:tr2bl w:val="nil"/>
                  </w:tcBorders>
                  <w:shd w:val="clear" w:color="auto" w:fill="auto"/>
                  <w:noWrap w:val="0"/>
                  <w:vAlign w:val="center"/>
                </w:tcPr>
                <w:p w14:paraId="1097A866">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警告图形符号噪声排放源</w:t>
                  </w:r>
                </w:p>
                <w:p w14:paraId="3F35E371">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表示噪声向外环境排放</w:t>
                  </w:r>
                </w:p>
              </w:tc>
            </w:tr>
            <w:tr w14:paraId="002E8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1316" w:type="pct"/>
                  <w:tcBorders>
                    <w:tl2br w:val="nil"/>
                    <w:tr2bl w:val="nil"/>
                  </w:tcBorders>
                  <w:shd w:val="clear" w:color="auto" w:fill="auto"/>
                  <w:noWrap w:val="0"/>
                  <w:vAlign w:val="center"/>
                </w:tcPr>
                <w:p w14:paraId="6B5CF5BD">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drawing>
                      <wp:inline distT="0" distB="0" distL="114300" distR="114300">
                        <wp:extent cx="851535" cy="701675"/>
                        <wp:effectExtent l="0" t="0" r="5715" b="3175"/>
                        <wp:docPr id="567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 name="图片 54"/>
                                <pic:cNvPicPr>
                                  <a:picLocks noChangeAspect="1"/>
                                </pic:cNvPicPr>
                              </pic:nvPicPr>
                              <pic:blipFill>
                                <a:blip r:embed="rId33"/>
                                <a:stretch>
                                  <a:fillRect/>
                                </a:stretch>
                              </pic:blipFill>
                              <pic:spPr>
                                <a:xfrm>
                                  <a:off x="0" y="0"/>
                                  <a:ext cx="851535" cy="701675"/>
                                </a:xfrm>
                                <a:prstGeom prst="rect">
                                  <a:avLst/>
                                </a:prstGeom>
                                <a:noFill/>
                                <a:ln>
                                  <a:noFill/>
                                </a:ln>
                              </pic:spPr>
                            </pic:pic>
                          </a:graphicData>
                        </a:graphic>
                      </wp:inline>
                    </w:drawing>
                  </w:r>
                </w:p>
              </w:tc>
              <w:tc>
                <w:tcPr>
                  <w:tcW w:w="1938" w:type="pct"/>
                  <w:tcBorders>
                    <w:tl2br w:val="nil"/>
                    <w:tr2bl w:val="nil"/>
                  </w:tcBorders>
                  <w:shd w:val="clear" w:color="auto" w:fill="auto"/>
                  <w:noWrap w:val="0"/>
                  <w:vAlign w:val="center"/>
                </w:tcPr>
                <w:p w14:paraId="4BE1E526">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标志名称：固体废物提示国标代码：GB15562.1-1995</w:t>
                  </w:r>
                </w:p>
              </w:tc>
              <w:tc>
                <w:tcPr>
                  <w:tcW w:w="1745" w:type="pct"/>
                  <w:tcBorders>
                    <w:tl2br w:val="nil"/>
                    <w:tr2bl w:val="nil"/>
                  </w:tcBorders>
                  <w:shd w:val="clear" w:color="auto" w:fill="auto"/>
                  <w:noWrap w:val="0"/>
                  <w:vAlign w:val="center"/>
                </w:tcPr>
                <w:p w14:paraId="43D19DA7">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固体废物提示</w:t>
                  </w:r>
                </w:p>
              </w:tc>
            </w:tr>
            <w:tr w14:paraId="738B1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1316" w:type="pct"/>
                  <w:tcBorders>
                    <w:tl2br w:val="nil"/>
                    <w:tr2bl w:val="nil"/>
                  </w:tcBorders>
                  <w:shd w:val="clear" w:color="auto" w:fill="auto"/>
                  <w:noWrap w:val="0"/>
                  <w:vAlign w:val="center"/>
                </w:tcPr>
                <w:p w14:paraId="6F85AA7C">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drawing>
                      <wp:inline distT="0" distB="0" distL="114300" distR="114300">
                        <wp:extent cx="802640" cy="755650"/>
                        <wp:effectExtent l="0" t="0" r="16510" b="6350"/>
                        <wp:docPr id="567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 name="图片 55"/>
                                <pic:cNvPicPr>
                                  <a:picLocks noChangeAspect="1"/>
                                </pic:cNvPicPr>
                              </pic:nvPicPr>
                              <pic:blipFill>
                                <a:blip r:embed="rId34"/>
                                <a:stretch>
                                  <a:fillRect/>
                                </a:stretch>
                              </pic:blipFill>
                              <pic:spPr>
                                <a:xfrm>
                                  <a:off x="0" y="0"/>
                                  <a:ext cx="802640" cy="755650"/>
                                </a:xfrm>
                                <a:prstGeom prst="rect">
                                  <a:avLst/>
                                </a:prstGeom>
                                <a:noFill/>
                                <a:ln>
                                  <a:noFill/>
                                </a:ln>
                              </pic:spPr>
                            </pic:pic>
                          </a:graphicData>
                        </a:graphic>
                      </wp:inline>
                    </w:drawing>
                  </w:r>
                </w:p>
              </w:tc>
              <w:tc>
                <w:tcPr>
                  <w:tcW w:w="1938" w:type="pct"/>
                  <w:tcBorders>
                    <w:tl2br w:val="nil"/>
                    <w:tr2bl w:val="nil"/>
                  </w:tcBorders>
                  <w:shd w:val="clear" w:color="auto" w:fill="auto"/>
                  <w:noWrap w:val="0"/>
                  <w:vAlign w:val="center"/>
                </w:tcPr>
                <w:p w14:paraId="3EF43490">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标志名称：一般固体废物国标代码：GB15562.1-1995</w:t>
                  </w:r>
                </w:p>
              </w:tc>
              <w:tc>
                <w:tcPr>
                  <w:tcW w:w="1745" w:type="pct"/>
                  <w:tcBorders>
                    <w:tl2br w:val="nil"/>
                    <w:tr2bl w:val="nil"/>
                  </w:tcBorders>
                  <w:shd w:val="clear" w:color="auto" w:fill="auto"/>
                  <w:noWrap w:val="0"/>
                  <w:vAlign w:val="center"/>
                </w:tcPr>
                <w:p w14:paraId="48CBA89A">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一般固体废物</w:t>
                  </w:r>
                </w:p>
              </w:tc>
            </w:tr>
            <w:tr w14:paraId="49E42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1316" w:type="pct"/>
                  <w:tcBorders>
                    <w:tl2br w:val="nil"/>
                    <w:tr2bl w:val="nil"/>
                  </w:tcBorders>
                  <w:shd w:val="clear" w:color="auto" w:fill="auto"/>
                  <w:noWrap w:val="0"/>
                  <w:vAlign w:val="center"/>
                </w:tcPr>
                <w:p w14:paraId="23798126">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color w:val="000000"/>
                      <w:highlight w:val="none"/>
                    </w:rPr>
                    <w:drawing>
                      <wp:inline distT="0" distB="0" distL="114300" distR="114300">
                        <wp:extent cx="902970" cy="772160"/>
                        <wp:effectExtent l="0" t="0" r="11430" b="8890"/>
                        <wp:docPr id="567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 name="图片 82"/>
                                <pic:cNvPicPr>
                                  <a:picLocks noChangeAspect="1"/>
                                </pic:cNvPicPr>
                              </pic:nvPicPr>
                              <pic:blipFill>
                                <a:blip r:embed="rId35"/>
                                <a:stretch>
                                  <a:fillRect/>
                                </a:stretch>
                              </pic:blipFill>
                              <pic:spPr>
                                <a:xfrm>
                                  <a:off x="0" y="0"/>
                                  <a:ext cx="902970" cy="772160"/>
                                </a:xfrm>
                                <a:prstGeom prst="rect">
                                  <a:avLst/>
                                </a:prstGeom>
                                <a:noFill/>
                                <a:ln>
                                  <a:noFill/>
                                </a:ln>
                              </pic:spPr>
                            </pic:pic>
                          </a:graphicData>
                        </a:graphic>
                      </wp:inline>
                    </w:drawing>
                  </w:r>
                </w:p>
              </w:tc>
              <w:tc>
                <w:tcPr>
                  <w:tcW w:w="1938" w:type="pct"/>
                  <w:tcBorders>
                    <w:tl2br w:val="nil"/>
                    <w:tr2bl w:val="nil"/>
                  </w:tcBorders>
                  <w:shd w:val="clear" w:color="auto" w:fill="auto"/>
                  <w:noWrap w:val="0"/>
                  <w:vAlign w:val="center"/>
                </w:tcPr>
                <w:p w14:paraId="522650B0">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标</w:t>
                  </w:r>
                  <w:r>
                    <w:rPr>
                      <w:rFonts w:hint="default" w:ascii="Times New Roman" w:hAnsi="Times New Roman" w:eastAsia="宋体" w:cs="Times New Roman"/>
                      <w:color w:val="000000"/>
                      <w:sz w:val="21"/>
                      <w:szCs w:val="21"/>
                      <w:highlight w:val="none"/>
                    </w:rPr>
                    <w:t>志名称：危险废物</w:t>
                  </w:r>
                </w:p>
                <w:p w14:paraId="0757EA20">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rPr>
                    <w:t>国标代码：GB15562.1-</w:t>
                  </w:r>
                  <w:r>
                    <w:rPr>
                      <w:rFonts w:hint="eastAsia" w:ascii="Times New Roman" w:hAnsi="Times New Roman" w:eastAsia="宋体" w:cs="Times New Roman"/>
                      <w:color w:val="000000"/>
                      <w:sz w:val="21"/>
                      <w:szCs w:val="21"/>
                      <w:highlight w:val="none"/>
                      <w:lang w:val="en-US" w:eastAsia="zh-CN"/>
                    </w:rPr>
                    <w:t>2023</w:t>
                  </w:r>
                </w:p>
              </w:tc>
              <w:tc>
                <w:tcPr>
                  <w:tcW w:w="1745" w:type="pct"/>
                  <w:tcBorders>
                    <w:tl2br w:val="nil"/>
                    <w:tr2bl w:val="nil"/>
                  </w:tcBorders>
                  <w:shd w:val="clear" w:color="auto" w:fill="auto"/>
                  <w:noWrap w:val="0"/>
                  <w:vAlign w:val="center"/>
                </w:tcPr>
                <w:p w14:paraId="36D2941A">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危险废物</w:t>
                  </w:r>
                  <w:r>
                    <w:rPr>
                      <w:rFonts w:hint="eastAsia" w:ascii="Times New Roman" w:hAnsi="Times New Roman" w:eastAsia="宋体" w:cs="Times New Roman"/>
                      <w:color w:val="000000"/>
                      <w:sz w:val="21"/>
                      <w:szCs w:val="21"/>
                      <w:highlight w:val="none"/>
                      <w:lang w:val="en-US" w:eastAsia="zh-CN"/>
                    </w:rPr>
                    <w:t>暂存</w:t>
                  </w:r>
                  <w:r>
                    <w:rPr>
                      <w:rFonts w:hint="default" w:ascii="Times New Roman" w:hAnsi="Times New Roman" w:eastAsia="宋体" w:cs="Times New Roman"/>
                      <w:color w:val="000000"/>
                      <w:sz w:val="21"/>
                      <w:szCs w:val="21"/>
                      <w:highlight w:val="none"/>
                    </w:rPr>
                    <w:t>场所</w:t>
                  </w:r>
                </w:p>
              </w:tc>
            </w:tr>
          </w:tbl>
          <w:p w14:paraId="70095313">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（6）排污口规范化管理</w:t>
            </w:r>
          </w:p>
          <w:p w14:paraId="127F2FDA">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highlight w:val="none"/>
                <w:lang w:eastAsia="zh-CN"/>
              </w:rPr>
              <w:t>排污口规范化管理</w:t>
            </w:r>
            <w:r>
              <w:rPr>
                <w:rFonts w:hint="default" w:ascii="Times New Roman" w:hAnsi="Times New Roman" w:eastAsia="宋体" w:cs="Times New Roman"/>
                <w:color w:val="000000"/>
                <w:sz w:val="21"/>
                <w:szCs w:val="21"/>
                <w:highlight w:val="none"/>
                <w:lang w:val="en-US" w:eastAsia="zh-CN"/>
              </w:rPr>
              <w:t>具体要求见下表。</w:t>
            </w:r>
          </w:p>
          <w:p w14:paraId="1FB8B755">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highlight w:val="none"/>
                <w:vertAlign w:val="baseline"/>
                <w:lang w:eastAsia="zh-CN"/>
              </w:rPr>
            </w:pPr>
            <w:r>
              <w:rPr>
                <w:rFonts w:hint="default" w:ascii="Times New Roman" w:hAnsi="Times New Roman" w:eastAsia="宋体" w:cs="Times New Roman"/>
                <w:b/>
                <w:bCs/>
                <w:color w:val="000000"/>
                <w:sz w:val="21"/>
                <w:szCs w:val="21"/>
                <w:highlight w:val="none"/>
                <w:vertAlign w:val="baseline"/>
                <w:lang w:eastAsia="zh-CN"/>
              </w:rPr>
              <w:t>表</w:t>
            </w:r>
            <w:r>
              <w:rPr>
                <w:rFonts w:hint="default" w:ascii="Times New Roman" w:hAnsi="Times New Roman" w:eastAsia="宋体" w:cs="Times New Roman"/>
                <w:b/>
                <w:bCs/>
                <w:color w:val="000000"/>
                <w:sz w:val="21"/>
                <w:szCs w:val="21"/>
                <w:highlight w:val="none"/>
                <w:vertAlign w:val="baseline"/>
                <w:lang w:val="en-US" w:eastAsia="zh-CN"/>
              </w:rPr>
              <w:t xml:space="preserve">5-2  </w:t>
            </w:r>
            <w:r>
              <w:rPr>
                <w:rFonts w:hint="default" w:ascii="Times New Roman" w:hAnsi="Times New Roman" w:eastAsia="宋体" w:cs="Times New Roman"/>
                <w:b/>
                <w:bCs/>
                <w:color w:val="000000"/>
                <w:sz w:val="21"/>
                <w:szCs w:val="21"/>
                <w:highlight w:val="none"/>
                <w:vertAlign w:val="baseline"/>
                <w:lang w:eastAsia="zh-CN"/>
              </w:rPr>
              <w:t>排污口规范化管理要求表</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66"/>
              <w:gridCol w:w="6571"/>
            </w:tblGrid>
            <w:tr w14:paraId="56330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522" w:type="pct"/>
                  <w:tcBorders>
                    <w:tl2br w:val="nil"/>
                    <w:tr2bl w:val="nil"/>
                  </w:tcBorders>
                  <w:shd w:val="clear" w:color="auto" w:fill="auto"/>
                  <w:noWrap w:val="0"/>
                  <w:vAlign w:val="center"/>
                </w:tcPr>
                <w:p w14:paraId="1E75F959">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highlight w:val="none"/>
                      <w:vertAlign w:val="baseline"/>
                      <w:lang w:eastAsia="zh-CN"/>
                    </w:rPr>
                  </w:pPr>
                  <w:r>
                    <w:rPr>
                      <w:rFonts w:hint="default" w:ascii="Times New Roman" w:hAnsi="Times New Roman" w:eastAsia="宋体" w:cs="Times New Roman"/>
                      <w:b/>
                      <w:bCs/>
                      <w:color w:val="000000"/>
                      <w:sz w:val="21"/>
                      <w:szCs w:val="21"/>
                      <w:highlight w:val="none"/>
                      <w:vertAlign w:val="baseline"/>
                      <w:lang w:eastAsia="zh-CN"/>
                    </w:rPr>
                    <w:t>项目</w:t>
                  </w:r>
                </w:p>
              </w:tc>
              <w:tc>
                <w:tcPr>
                  <w:tcW w:w="4477" w:type="pct"/>
                  <w:tcBorders>
                    <w:tl2br w:val="nil"/>
                    <w:tr2bl w:val="nil"/>
                  </w:tcBorders>
                  <w:shd w:val="clear" w:color="auto" w:fill="auto"/>
                  <w:noWrap w:val="0"/>
                  <w:vAlign w:val="top"/>
                </w:tcPr>
                <w:p w14:paraId="084BA12F">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highlight w:val="none"/>
                      <w:vertAlign w:val="baseline"/>
                      <w:lang w:eastAsia="zh-CN"/>
                    </w:rPr>
                  </w:pPr>
                  <w:r>
                    <w:rPr>
                      <w:rFonts w:hint="default" w:ascii="Times New Roman" w:hAnsi="Times New Roman" w:eastAsia="宋体" w:cs="Times New Roman"/>
                      <w:b/>
                      <w:bCs/>
                      <w:color w:val="000000"/>
                      <w:sz w:val="21"/>
                      <w:szCs w:val="21"/>
                      <w:highlight w:val="none"/>
                      <w:vertAlign w:val="baseline"/>
                      <w:lang w:eastAsia="zh-CN"/>
                    </w:rPr>
                    <w:t>主要要求内容</w:t>
                  </w:r>
                </w:p>
              </w:tc>
            </w:tr>
            <w:tr w14:paraId="71CE6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522" w:type="pct"/>
                  <w:tcBorders>
                    <w:tl2br w:val="nil"/>
                    <w:tr2bl w:val="nil"/>
                  </w:tcBorders>
                  <w:shd w:val="clear" w:color="auto" w:fill="auto"/>
                  <w:noWrap w:val="0"/>
                  <w:vAlign w:val="center"/>
                </w:tcPr>
                <w:p w14:paraId="14900E32">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highlight w:val="none"/>
                      <w:vertAlign w:val="baseline"/>
                      <w:lang w:eastAsia="zh-CN"/>
                    </w:rPr>
                  </w:pPr>
                  <w:r>
                    <w:rPr>
                      <w:rFonts w:hint="default" w:ascii="Times New Roman" w:hAnsi="Times New Roman" w:eastAsia="宋体" w:cs="Times New Roman"/>
                      <w:b w:val="0"/>
                      <w:bCs w:val="0"/>
                      <w:color w:val="000000"/>
                      <w:sz w:val="21"/>
                      <w:szCs w:val="21"/>
                      <w:highlight w:val="none"/>
                      <w:vertAlign w:val="baseline"/>
                      <w:lang w:eastAsia="zh-CN"/>
                    </w:rPr>
                    <w:t>基本原则</w:t>
                  </w:r>
                </w:p>
              </w:tc>
              <w:tc>
                <w:tcPr>
                  <w:tcW w:w="4477" w:type="pct"/>
                  <w:tcBorders>
                    <w:tl2br w:val="nil"/>
                    <w:tr2bl w:val="nil"/>
                  </w:tcBorders>
                  <w:shd w:val="clear" w:color="auto" w:fill="auto"/>
                  <w:noWrap w:val="0"/>
                  <w:vAlign w:val="top"/>
                </w:tcPr>
                <w:p w14:paraId="69B3026B">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000000"/>
                      <w:sz w:val="21"/>
                      <w:szCs w:val="21"/>
                      <w:highlight w:val="none"/>
                      <w:vertAlign w:val="baseline"/>
                      <w:lang w:eastAsia="zh-CN"/>
                    </w:rPr>
                  </w:pPr>
                  <w:r>
                    <w:rPr>
                      <w:rFonts w:hint="default" w:ascii="Times New Roman" w:hAnsi="Times New Roman" w:eastAsia="宋体" w:cs="Times New Roman"/>
                      <w:b w:val="0"/>
                      <w:bCs w:val="0"/>
                      <w:color w:val="000000"/>
                      <w:sz w:val="21"/>
                      <w:szCs w:val="21"/>
                      <w:highlight w:val="none"/>
                      <w:vertAlign w:val="baseline"/>
                      <w:lang w:eastAsia="zh-CN"/>
                    </w:rPr>
                    <w:t>1</w:t>
                  </w:r>
                  <w:r>
                    <w:rPr>
                      <w:rFonts w:hint="eastAsia" w:cs="Times New Roman"/>
                      <w:b w:val="0"/>
                      <w:bCs w:val="0"/>
                      <w:color w:val="000000"/>
                      <w:sz w:val="21"/>
                      <w:szCs w:val="21"/>
                      <w:highlight w:val="none"/>
                      <w:vertAlign w:val="baseline"/>
                      <w:lang w:val="en-US" w:eastAsia="zh-CN"/>
                    </w:rPr>
                    <w:t>.</w:t>
                  </w:r>
                  <w:r>
                    <w:rPr>
                      <w:rFonts w:hint="default" w:ascii="Times New Roman" w:hAnsi="Times New Roman" w:eastAsia="宋体" w:cs="Times New Roman"/>
                      <w:b w:val="0"/>
                      <w:bCs w:val="0"/>
                      <w:color w:val="000000"/>
                      <w:sz w:val="21"/>
                      <w:szCs w:val="21"/>
                      <w:highlight w:val="none"/>
                      <w:vertAlign w:val="baseline"/>
                      <w:lang w:eastAsia="zh-CN"/>
                    </w:rPr>
                    <w:t>凡向环境排放污染物的一切</w:t>
                  </w:r>
                  <w:r>
                    <w:t>排污口都</w:t>
                  </w:r>
                  <w:r>
                    <w:rPr>
                      <w:rFonts w:hint="default" w:ascii="Times New Roman" w:hAnsi="Times New Roman" w:eastAsia="宋体" w:cs="Times New Roman"/>
                      <w:b w:val="0"/>
                      <w:bCs w:val="0"/>
                      <w:color w:val="000000"/>
                      <w:sz w:val="21"/>
                      <w:szCs w:val="21"/>
                      <w:highlight w:val="none"/>
                      <w:vertAlign w:val="baseline"/>
                      <w:lang w:eastAsia="zh-CN"/>
                    </w:rPr>
                    <w:t>必须进行规范化管理；</w:t>
                  </w:r>
                </w:p>
                <w:p w14:paraId="4AC881B6">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000000"/>
                      <w:sz w:val="21"/>
                      <w:szCs w:val="21"/>
                      <w:highlight w:val="none"/>
                      <w:vertAlign w:val="baseline"/>
                      <w:lang w:eastAsia="zh-CN"/>
                    </w:rPr>
                  </w:pPr>
                  <w:r>
                    <w:rPr>
                      <w:rFonts w:hint="eastAsia" w:ascii="Times New Roman" w:hAnsi="Times New Roman" w:eastAsia="宋体" w:cs="Times New Roman"/>
                      <w:b w:val="0"/>
                      <w:bCs w:val="0"/>
                      <w:color w:val="000000"/>
                      <w:sz w:val="21"/>
                      <w:szCs w:val="21"/>
                      <w:highlight w:val="none"/>
                      <w:vertAlign w:val="baseline"/>
                      <w:lang w:val="en-US" w:eastAsia="zh-CN"/>
                    </w:rPr>
                    <w:t>2</w:t>
                  </w:r>
                  <w:r>
                    <w:rPr>
                      <w:rFonts w:hint="eastAsia" w:cs="Times New Roman"/>
                      <w:b w:val="0"/>
                      <w:bCs w:val="0"/>
                      <w:color w:val="000000"/>
                      <w:sz w:val="21"/>
                      <w:szCs w:val="21"/>
                      <w:highlight w:val="none"/>
                      <w:vertAlign w:val="baseline"/>
                      <w:lang w:val="en-US" w:eastAsia="zh-CN"/>
                    </w:rPr>
                    <w:t>.</w:t>
                  </w:r>
                  <w:r>
                    <w:rPr>
                      <w:rFonts w:hint="default" w:ascii="Times New Roman" w:hAnsi="Times New Roman" w:eastAsia="宋体" w:cs="Times New Roman"/>
                      <w:b w:val="0"/>
                      <w:bCs w:val="0"/>
                      <w:color w:val="000000"/>
                      <w:sz w:val="21"/>
                      <w:szCs w:val="21"/>
                      <w:highlight w:val="none"/>
                      <w:vertAlign w:val="baseline"/>
                      <w:lang w:eastAsia="zh-CN"/>
                    </w:rPr>
                    <w:t>排污口设置应便于采样和计量监测</w:t>
                  </w:r>
                  <w:r>
                    <w:rPr>
                      <w:rFonts w:hint="eastAsia"/>
                      <w:lang w:eastAsia="zh-CN"/>
                    </w:rPr>
                    <w:t>、</w:t>
                  </w:r>
                  <w:r>
                    <w:rPr>
                      <w:rFonts w:hint="default" w:ascii="Times New Roman" w:hAnsi="Times New Roman" w:eastAsia="宋体" w:cs="Times New Roman"/>
                      <w:b w:val="0"/>
                      <w:bCs w:val="0"/>
                      <w:color w:val="000000"/>
                      <w:sz w:val="21"/>
                      <w:szCs w:val="21"/>
                      <w:highlight w:val="none"/>
                      <w:vertAlign w:val="baseline"/>
                      <w:lang w:eastAsia="zh-CN"/>
                    </w:rPr>
                    <w:t>日常现场监督和检查；</w:t>
                  </w:r>
                </w:p>
                <w:p w14:paraId="5671D48F">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bCs/>
                      <w:color w:val="000000"/>
                      <w:sz w:val="21"/>
                      <w:szCs w:val="21"/>
                      <w:highlight w:val="none"/>
                      <w:vertAlign w:val="baseline"/>
                      <w:lang w:eastAsia="zh-CN"/>
                    </w:rPr>
                  </w:pPr>
                  <w:r>
                    <w:rPr>
                      <w:rFonts w:hint="eastAsia" w:ascii="Times New Roman" w:hAnsi="Times New Roman" w:eastAsia="宋体" w:cs="Times New Roman"/>
                      <w:b w:val="0"/>
                      <w:bCs w:val="0"/>
                      <w:color w:val="000000"/>
                      <w:sz w:val="21"/>
                      <w:szCs w:val="21"/>
                      <w:highlight w:val="none"/>
                      <w:vertAlign w:val="baseline"/>
                      <w:lang w:val="en-US" w:eastAsia="zh-CN"/>
                    </w:rPr>
                    <w:t>3</w:t>
                  </w:r>
                  <w:r>
                    <w:rPr>
                      <w:rFonts w:hint="eastAsia" w:cs="Times New Roman"/>
                      <w:b w:val="0"/>
                      <w:bCs w:val="0"/>
                      <w:color w:val="000000"/>
                      <w:sz w:val="21"/>
                      <w:szCs w:val="21"/>
                      <w:highlight w:val="none"/>
                      <w:vertAlign w:val="baseline"/>
                      <w:lang w:val="en-US" w:eastAsia="zh-CN"/>
                    </w:rPr>
                    <w:t>.</w:t>
                  </w:r>
                  <w:r>
                    <w:rPr>
                      <w:rFonts w:hint="default" w:ascii="Times New Roman" w:hAnsi="Times New Roman" w:eastAsia="宋体" w:cs="Times New Roman"/>
                      <w:b w:val="0"/>
                      <w:bCs w:val="0"/>
                      <w:color w:val="000000"/>
                      <w:sz w:val="21"/>
                      <w:szCs w:val="21"/>
                      <w:highlight w:val="none"/>
                      <w:vertAlign w:val="baseline"/>
                      <w:lang w:eastAsia="zh-CN"/>
                    </w:rPr>
                    <w:t>如实向环保行政主管部门申报排污口位置，排污种类、数量、浓度与排放去向等。</w:t>
                  </w:r>
                </w:p>
              </w:tc>
            </w:tr>
            <w:tr w14:paraId="1A6A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522" w:type="pct"/>
                  <w:tcBorders>
                    <w:tl2br w:val="nil"/>
                    <w:tr2bl w:val="nil"/>
                  </w:tcBorders>
                  <w:shd w:val="clear" w:color="auto" w:fill="auto"/>
                  <w:noWrap w:val="0"/>
                  <w:vAlign w:val="center"/>
                </w:tcPr>
                <w:p w14:paraId="29E29416">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highlight w:val="none"/>
                      <w:vertAlign w:val="baseline"/>
                      <w:lang w:eastAsia="zh-CN"/>
                    </w:rPr>
                  </w:pPr>
                  <w:r>
                    <w:rPr>
                      <w:rFonts w:hint="default" w:ascii="Times New Roman" w:hAnsi="Times New Roman" w:eastAsia="宋体" w:cs="Times New Roman"/>
                      <w:b w:val="0"/>
                      <w:bCs w:val="0"/>
                      <w:color w:val="000000"/>
                      <w:sz w:val="21"/>
                      <w:szCs w:val="21"/>
                      <w:highlight w:val="none"/>
                      <w:vertAlign w:val="baseline"/>
                      <w:lang w:eastAsia="zh-CN"/>
                    </w:rPr>
                    <w:t>技术要求</w:t>
                  </w:r>
                </w:p>
              </w:tc>
              <w:tc>
                <w:tcPr>
                  <w:tcW w:w="4477" w:type="pct"/>
                  <w:tcBorders>
                    <w:tl2br w:val="nil"/>
                    <w:tr2bl w:val="nil"/>
                  </w:tcBorders>
                  <w:shd w:val="clear" w:color="auto" w:fill="auto"/>
                  <w:noWrap w:val="0"/>
                  <w:vAlign w:val="top"/>
                </w:tcPr>
                <w:p w14:paraId="1FFBB3D6">
                  <w:pPr>
                    <w:keepNext w:val="0"/>
                    <w:keepLines w:val="0"/>
                    <w:pageBreakBefore w:val="0"/>
                    <w:numPr>
                      <w:ilvl w:val="0"/>
                      <w:numId w:val="0"/>
                    </w:numPr>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000000"/>
                      <w:sz w:val="21"/>
                      <w:szCs w:val="21"/>
                      <w:highlight w:val="none"/>
                      <w:vertAlign w:val="baseline"/>
                      <w:lang w:eastAsia="zh-CN"/>
                    </w:rPr>
                  </w:pPr>
                  <w:r>
                    <w:rPr>
                      <w:rFonts w:hint="default" w:ascii="Times New Roman" w:hAnsi="Times New Roman" w:eastAsia="宋体" w:cs="Times New Roman"/>
                      <w:b w:val="0"/>
                      <w:bCs w:val="0"/>
                      <w:color w:val="000000"/>
                      <w:sz w:val="21"/>
                      <w:szCs w:val="21"/>
                      <w:highlight w:val="none"/>
                      <w:vertAlign w:val="baseline"/>
                      <w:lang w:val="en-US" w:eastAsia="zh-CN"/>
                    </w:rPr>
                    <w:t>1</w:t>
                  </w:r>
                  <w:r>
                    <w:rPr>
                      <w:rFonts w:hint="eastAsia" w:cs="Times New Roman"/>
                      <w:b w:val="0"/>
                      <w:bCs w:val="0"/>
                      <w:color w:val="000000"/>
                      <w:sz w:val="21"/>
                      <w:szCs w:val="21"/>
                      <w:highlight w:val="none"/>
                      <w:vertAlign w:val="baseline"/>
                      <w:lang w:val="en-US" w:eastAsia="zh-CN"/>
                    </w:rPr>
                    <w:t>.</w:t>
                  </w:r>
                  <w:r>
                    <w:rPr>
                      <w:rFonts w:hint="default" w:ascii="Times New Roman" w:hAnsi="Times New Roman" w:eastAsia="宋体" w:cs="Times New Roman"/>
                      <w:b w:val="0"/>
                      <w:bCs w:val="0"/>
                      <w:color w:val="000000"/>
                      <w:sz w:val="21"/>
                      <w:szCs w:val="21"/>
                      <w:highlight w:val="none"/>
                      <w:vertAlign w:val="baseline"/>
                      <w:lang w:eastAsia="zh-CN"/>
                    </w:rPr>
                    <w:t>排污口位置必须按照环监</w:t>
                  </w:r>
                  <w:r>
                    <w:t>〔1996〕</w:t>
                  </w:r>
                  <w:r>
                    <w:rPr>
                      <w:rFonts w:hint="default" w:ascii="Times New Roman" w:hAnsi="Times New Roman" w:eastAsia="宋体" w:cs="Times New Roman"/>
                      <w:b w:val="0"/>
                      <w:bCs w:val="0"/>
                      <w:color w:val="000000"/>
                      <w:sz w:val="21"/>
                      <w:szCs w:val="21"/>
                      <w:highlight w:val="none"/>
                      <w:vertAlign w:val="baseline"/>
                      <w:lang w:eastAsia="zh-CN"/>
                    </w:rPr>
                    <w:t>470号文要求合理确定，实行规范化管理；</w:t>
                  </w:r>
                </w:p>
                <w:p w14:paraId="58690BDA">
                  <w:pPr>
                    <w:keepNext w:val="0"/>
                    <w:keepLines w:val="0"/>
                    <w:pageBreakBefore w:val="0"/>
                    <w:numPr>
                      <w:ilvl w:val="0"/>
                      <w:numId w:val="0"/>
                    </w:numPr>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000000"/>
                      <w:sz w:val="21"/>
                      <w:szCs w:val="21"/>
                      <w:highlight w:val="none"/>
                      <w:vertAlign w:val="baseline"/>
                      <w:lang w:eastAsia="zh-CN"/>
                    </w:rPr>
                  </w:pPr>
                  <w:r>
                    <w:rPr>
                      <w:rFonts w:hint="default" w:ascii="Times New Roman" w:hAnsi="Times New Roman" w:eastAsia="宋体" w:cs="Times New Roman"/>
                      <w:b w:val="0"/>
                      <w:bCs w:val="0"/>
                      <w:color w:val="000000"/>
                      <w:sz w:val="21"/>
                      <w:szCs w:val="21"/>
                      <w:highlight w:val="none"/>
                      <w:vertAlign w:val="baseline"/>
                      <w:lang w:eastAsia="zh-CN"/>
                    </w:rPr>
                    <w:t>2</w:t>
                  </w:r>
                  <w:r>
                    <w:rPr>
                      <w:rFonts w:hint="eastAsia" w:cs="Times New Roman"/>
                      <w:b w:val="0"/>
                      <w:bCs w:val="0"/>
                      <w:color w:val="000000"/>
                      <w:sz w:val="21"/>
                      <w:szCs w:val="21"/>
                      <w:highlight w:val="none"/>
                      <w:vertAlign w:val="baseline"/>
                      <w:lang w:val="en-US" w:eastAsia="zh-CN"/>
                    </w:rPr>
                    <w:t>.</w:t>
                  </w:r>
                  <w:r>
                    <w:rPr>
                      <w:rFonts w:hint="default" w:ascii="Times New Roman" w:hAnsi="Times New Roman" w:eastAsia="宋体" w:cs="Times New Roman"/>
                      <w:b w:val="0"/>
                      <w:bCs w:val="0"/>
                      <w:color w:val="000000"/>
                      <w:sz w:val="21"/>
                      <w:szCs w:val="21"/>
                      <w:highlight w:val="none"/>
                      <w:vertAlign w:val="baseline"/>
                      <w:lang w:eastAsia="zh-CN"/>
                    </w:rPr>
                    <w:t>危险废物贮存设施应根据贮存的废物种类和特性按照GB18597附录A设置标志；</w:t>
                  </w:r>
                </w:p>
                <w:p w14:paraId="7D92AB09">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bCs/>
                      <w:color w:val="000000"/>
                      <w:sz w:val="21"/>
                      <w:szCs w:val="21"/>
                      <w:highlight w:val="none"/>
                      <w:vertAlign w:val="baseline"/>
                      <w:lang w:eastAsia="zh-CN"/>
                    </w:rPr>
                  </w:pPr>
                  <w:r>
                    <w:rPr>
                      <w:rFonts w:hint="default" w:ascii="Times New Roman" w:hAnsi="Times New Roman" w:eastAsia="宋体" w:cs="Times New Roman"/>
                      <w:b w:val="0"/>
                      <w:bCs w:val="0"/>
                      <w:color w:val="000000"/>
                      <w:sz w:val="21"/>
                      <w:szCs w:val="21"/>
                      <w:highlight w:val="none"/>
                      <w:vertAlign w:val="baseline"/>
                      <w:lang w:eastAsia="zh-CN"/>
                    </w:rPr>
                    <w:t>3</w:t>
                  </w:r>
                  <w:r>
                    <w:rPr>
                      <w:rFonts w:hint="eastAsia" w:cs="Times New Roman"/>
                      <w:b w:val="0"/>
                      <w:bCs w:val="0"/>
                      <w:color w:val="000000"/>
                      <w:sz w:val="21"/>
                      <w:szCs w:val="21"/>
                      <w:highlight w:val="none"/>
                      <w:vertAlign w:val="baseline"/>
                      <w:lang w:val="en-US" w:eastAsia="zh-CN"/>
                    </w:rPr>
                    <w:t>.</w:t>
                  </w:r>
                  <w:r>
                    <w:rPr>
                      <w:rFonts w:hint="default" w:ascii="Times New Roman" w:hAnsi="Times New Roman" w:eastAsia="宋体" w:cs="Times New Roman"/>
                      <w:b w:val="0"/>
                      <w:bCs w:val="0"/>
                      <w:color w:val="000000"/>
                      <w:sz w:val="21"/>
                      <w:szCs w:val="21"/>
                      <w:highlight w:val="none"/>
                      <w:vertAlign w:val="baseline"/>
                      <w:lang w:eastAsia="zh-CN"/>
                    </w:rPr>
                    <w:t>具体设置应符合《污染源监测技术规范》的规定与要求。</w:t>
                  </w:r>
                </w:p>
              </w:tc>
            </w:tr>
            <w:tr w14:paraId="2E938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522" w:type="pct"/>
                  <w:tcBorders>
                    <w:tl2br w:val="nil"/>
                    <w:tr2bl w:val="nil"/>
                  </w:tcBorders>
                  <w:shd w:val="clear" w:color="auto" w:fill="auto"/>
                  <w:noWrap w:val="0"/>
                  <w:vAlign w:val="center"/>
                </w:tcPr>
                <w:p w14:paraId="7AD30F1A">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highlight w:val="none"/>
                      <w:vertAlign w:val="baseline"/>
                      <w:lang w:eastAsia="zh-CN"/>
                    </w:rPr>
                  </w:pPr>
                  <w:r>
                    <w:rPr>
                      <w:rFonts w:hint="default" w:ascii="Times New Roman" w:hAnsi="Times New Roman" w:eastAsia="宋体" w:cs="Times New Roman"/>
                      <w:b w:val="0"/>
                      <w:bCs w:val="0"/>
                      <w:color w:val="000000"/>
                      <w:sz w:val="21"/>
                      <w:szCs w:val="21"/>
                      <w:highlight w:val="none"/>
                      <w:vertAlign w:val="baseline"/>
                      <w:lang w:eastAsia="zh-CN"/>
                    </w:rPr>
                    <w:t>立标管理</w:t>
                  </w:r>
                </w:p>
              </w:tc>
              <w:tc>
                <w:tcPr>
                  <w:tcW w:w="4477" w:type="pct"/>
                  <w:tcBorders>
                    <w:tl2br w:val="nil"/>
                    <w:tr2bl w:val="nil"/>
                  </w:tcBorders>
                  <w:shd w:val="clear" w:color="auto" w:fill="auto"/>
                  <w:noWrap w:val="0"/>
                  <w:vAlign w:val="top"/>
                </w:tcPr>
                <w:p w14:paraId="79E4FE0C">
                  <w:pPr>
                    <w:keepNext w:val="0"/>
                    <w:keepLines w:val="0"/>
                    <w:pageBreakBefore w:val="0"/>
                    <w:numPr>
                      <w:ilvl w:val="0"/>
                      <w:numId w:val="0"/>
                    </w:numPr>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000000"/>
                      <w:sz w:val="21"/>
                      <w:szCs w:val="21"/>
                      <w:highlight w:val="none"/>
                      <w:vertAlign w:val="baseline"/>
                      <w:lang w:eastAsia="zh-CN"/>
                    </w:rPr>
                  </w:pPr>
                  <w:r>
                    <w:rPr>
                      <w:rFonts w:hint="default" w:ascii="Times New Roman" w:hAnsi="Times New Roman" w:eastAsia="宋体" w:cs="Times New Roman"/>
                      <w:b w:val="0"/>
                      <w:bCs w:val="0"/>
                      <w:color w:val="000000"/>
                      <w:sz w:val="21"/>
                      <w:szCs w:val="21"/>
                      <w:highlight w:val="none"/>
                      <w:vertAlign w:val="baseline"/>
                      <w:lang w:val="en-US" w:eastAsia="zh-CN"/>
                    </w:rPr>
                    <w:t>1</w:t>
                  </w:r>
                  <w:r>
                    <w:rPr>
                      <w:rFonts w:hint="eastAsia" w:cs="Times New Roman"/>
                      <w:b w:val="0"/>
                      <w:bCs w:val="0"/>
                      <w:color w:val="000000"/>
                      <w:sz w:val="21"/>
                      <w:szCs w:val="21"/>
                      <w:highlight w:val="none"/>
                      <w:vertAlign w:val="baseline"/>
                      <w:lang w:val="en-US" w:eastAsia="zh-CN"/>
                    </w:rPr>
                    <w:t>.</w:t>
                  </w:r>
                  <w:r>
                    <w:rPr>
                      <w:rFonts w:hint="default" w:ascii="Times New Roman" w:hAnsi="Times New Roman" w:eastAsia="宋体" w:cs="Times New Roman"/>
                      <w:b w:val="0"/>
                      <w:bCs w:val="0"/>
                      <w:color w:val="000000"/>
                      <w:sz w:val="21"/>
                      <w:szCs w:val="21"/>
                      <w:highlight w:val="none"/>
                      <w:vertAlign w:val="baseline"/>
                      <w:lang w:eastAsia="zh-CN"/>
                    </w:rPr>
                    <w:t>排污口必须按照国家《环境保护图形标志》相关规定，设置环保图形标志牌；</w:t>
                  </w:r>
                </w:p>
                <w:p w14:paraId="543016BD">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000000"/>
                      <w:sz w:val="21"/>
                      <w:szCs w:val="21"/>
                      <w:highlight w:val="none"/>
                      <w:vertAlign w:val="baseline"/>
                      <w:lang w:eastAsia="zh-CN"/>
                    </w:rPr>
                  </w:pPr>
                  <w:r>
                    <w:rPr>
                      <w:rFonts w:hint="default" w:ascii="Times New Roman" w:hAnsi="Times New Roman" w:eastAsia="宋体" w:cs="Times New Roman"/>
                      <w:b w:val="0"/>
                      <w:bCs w:val="0"/>
                      <w:color w:val="000000"/>
                      <w:sz w:val="21"/>
                      <w:szCs w:val="21"/>
                      <w:highlight w:val="none"/>
                      <w:vertAlign w:val="baseline"/>
                      <w:lang w:eastAsia="zh-CN"/>
                    </w:rPr>
                    <w:t>2</w:t>
                  </w:r>
                  <w:r>
                    <w:rPr>
                      <w:rFonts w:hint="eastAsia" w:cs="Times New Roman"/>
                      <w:b w:val="0"/>
                      <w:bCs w:val="0"/>
                      <w:color w:val="000000"/>
                      <w:sz w:val="21"/>
                      <w:szCs w:val="21"/>
                      <w:highlight w:val="none"/>
                      <w:vertAlign w:val="baseline"/>
                      <w:lang w:val="en-US" w:eastAsia="zh-CN"/>
                    </w:rPr>
                    <w:t>.</w:t>
                  </w:r>
                  <w:r>
                    <w:rPr>
                      <w:rFonts w:hint="default" w:ascii="Times New Roman" w:hAnsi="Times New Roman" w:eastAsia="宋体" w:cs="Times New Roman"/>
                      <w:b w:val="0"/>
                      <w:bCs w:val="0"/>
                      <w:color w:val="000000"/>
                      <w:sz w:val="21"/>
                      <w:szCs w:val="21"/>
                      <w:highlight w:val="none"/>
                      <w:vertAlign w:val="baseline"/>
                      <w:lang w:eastAsia="zh-CN"/>
                    </w:rPr>
                    <w:t>标志牌位置应距排污口及固体废物贮存</w:t>
                  </w:r>
                  <w:r>
                    <w:rPr>
                      <w:rFonts w:hint="eastAsia" w:ascii="Times New Roman" w:hAnsi="Times New Roman" w:eastAsia="宋体" w:cs="Times New Roman"/>
                      <w:b w:val="0"/>
                      <w:bCs w:val="0"/>
                      <w:color w:val="000000"/>
                      <w:sz w:val="21"/>
                      <w:szCs w:val="21"/>
                      <w:highlight w:val="none"/>
                      <w:vertAlign w:val="baseline"/>
                      <w:lang w:eastAsia="zh-CN"/>
                    </w:rPr>
                    <w:t>（</w:t>
                  </w:r>
                  <w:r>
                    <w:rPr>
                      <w:rFonts w:hint="default" w:ascii="Times New Roman" w:hAnsi="Times New Roman" w:eastAsia="宋体" w:cs="Times New Roman"/>
                      <w:b w:val="0"/>
                      <w:bCs w:val="0"/>
                      <w:color w:val="000000"/>
                      <w:sz w:val="21"/>
                      <w:szCs w:val="21"/>
                      <w:highlight w:val="none"/>
                      <w:vertAlign w:val="baseline"/>
                      <w:lang w:eastAsia="zh-CN"/>
                    </w:rPr>
                    <w:t>处置</w:t>
                  </w:r>
                  <w:r>
                    <w:rPr>
                      <w:rFonts w:hint="eastAsia" w:ascii="Times New Roman" w:hAnsi="Times New Roman" w:eastAsia="宋体" w:cs="Times New Roman"/>
                      <w:b w:val="0"/>
                      <w:bCs w:val="0"/>
                      <w:color w:val="000000"/>
                      <w:sz w:val="21"/>
                      <w:szCs w:val="21"/>
                      <w:highlight w:val="none"/>
                      <w:vertAlign w:val="baseline"/>
                      <w:lang w:eastAsia="zh-CN"/>
                    </w:rPr>
                    <w:t>）</w:t>
                  </w:r>
                  <w:r>
                    <w:rPr>
                      <w:rFonts w:hint="default" w:ascii="Times New Roman" w:hAnsi="Times New Roman" w:eastAsia="宋体" w:cs="Times New Roman"/>
                      <w:b w:val="0"/>
                      <w:bCs w:val="0"/>
                      <w:color w:val="000000"/>
                      <w:sz w:val="21"/>
                      <w:szCs w:val="21"/>
                      <w:highlight w:val="none"/>
                      <w:vertAlign w:val="baseline"/>
                      <w:lang w:eastAsia="zh-CN"/>
                    </w:rPr>
                    <w:t>场或采样点较近且醒目处，设置高度一般为标志牌上缘距离地面约2m；</w:t>
                  </w:r>
                </w:p>
                <w:p w14:paraId="11DBA918">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bCs/>
                      <w:color w:val="000000"/>
                      <w:sz w:val="21"/>
                      <w:szCs w:val="21"/>
                      <w:highlight w:val="none"/>
                      <w:vertAlign w:val="baseline"/>
                      <w:lang w:eastAsia="zh-CN"/>
                    </w:rPr>
                  </w:pPr>
                  <w:r>
                    <w:rPr>
                      <w:rFonts w:hint="eastAsia" w:ascii="Times New Roman" w:hAnsi="Times New Roman" w:eastAsia="宋体" w:cs="Times New Roman"/>
                      <w:b w:val="0"/>
                      <w:bCs w:val="0"/>
                      <w:color w:val="000000"/>
                      <w:sz w:val="21"/>
                      <w:szCs w:val="21"/>
                      <w:highlight w:val="none"/>
                      <w:vertAlign w:val="baseline"/>
                      <w:lang w:val="en-US" w:eastAsia="zh-CN"/>
                    </w:rPr>
                    <w:t>3</w:t>
                  </w:r>
                  <w:r>
                    <w:rPr>
                      <w:rFonts w:hint="eastAsia" w:cs="Times New Roman"/>
                      <w:b w:val="0"/>
                      <w:bCs w:val="0"/>
                      <w:color w:val="000000"/>
                      <w:sz w:val="21"/>
                      <w:szCs w:val="21"/>
                      <w:highlight w:val="none"/>
                      <w:vertAlign w:val="baseline"/>
                      <w:lang w:val="en-US" w:eastAsia="zh-CN"/>
                    </w:rPr>
                    <w:t>.</w:t>
                  </w:r>
                  <w:r>
                    <w:rPr>
                      <w:rFonts w:hint="default" w:ascii="Times New Roman" w:hAnsi="Times New Roman" w:eastAsia="宋体" w:cs="Times New Roman"/>
                      <w:b w:val="0"/>
                      <w:bCs w:val="0"/>
                      <w:color w:val="000000"/>
                      <w:sz w:val="21"/>
                      <w:szCs w:val="21"/>
                      <w:highlight w:val="none"/>
                      <w:vertAlign w:val="baseline"/>
                      <w:lang w:eastAsia="zh-CN"/>
                    </w:rPr>
                    <w:t>对危险物贮存、处置场所，必须设置警告性环境保护图形标志牌。</w:t>
                  </w:r>
                </w:p>
              </w:tc>
            </w:tr>
            <w:tr w14:paraId="7C0B7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522" w:type="pct"/>
                  <w:tcBorders>
                    <w:tl2br w:val="nil"/>
                    <w:tr2bl w:val="nil"/>
                  </w:tcBorders>
                  <w:shd w:val="clear" w:color="auto" w:fill="auto"/>
                  <w:noWrap w:val="0"/>
                  <w:vAlign w:val="center"/>
                </w:tcPr>
                <w:p w14:paraId="3B375D90">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highlight w:val="none"/>
                      <w:vertAlign w:val="baseline"/>
                      <w:lang w:eastAsia="zh-CN"/>
                    </w:rPr>
                  </w:pPr>
                  <w:r>
                    <w:rPr>
                      <w:rFonts w:hint="default" w:ascii="Times New Roman" w:hAnsi="Times New Roman" w:eastAsia="宋体" w:cs="Times New Roman"/>
                      <w:b w:val="0"/>
                      <w:bCs w:val="0"/>
                      <w:color w:val="000000"/>
                      <w:sz w:val="21"/>
                      <w:szCs w:val="21"/>
                      <w:highlight w:val="none"/>
                      <w:vertAlign w:val="baseline"/>
                      <w:lang w:eastAsia="zh-CN"/>
                    </w:rPr>
                    <w:t>建档管</w:t>
                  </w:r>
                  <w:r>
                    <w:rPr>
                      <w:rFonts w:hint="default" w:ascii="Times New Roman" w:hAnsi="Times New Roman" w:eastAsia="宋体" w:cs="Times New Roman"/>
                      <w:b w:val="0"/>
                      <w:bCs w:val="0"/>
                      <w:color w:val="000000"/>
                      <w:sz w:val="21"/>
                      <w:szCs w:val="21"/>
                      <w:highlight w:val="none"/>
                      <w:vertAlign w:val="baseline"/>
                      <w:lang w:val="en-US" w:eastAsia="zh-CN"/>
                    </w:rPr>
                    <w:t>理</w:t>
                  </w:r>
                </w:p>
              </w:tc>
              <w:tc>
                <w:tcPr>
                  <w:tcW w:w="4477" w:type="pct"/>
                  <w:tcBorders>
                    <w:tl2br w:val="nil"/>
                    <w:tr2bl w:val="nil"/>
                  </w:tcBorders>
                  <w:shd w:val="clear" w:color="auto" w:fill="auto"/>
                  <w:noWrap w:val="0"/>
                  <w:vAlign w:val="top"/>
                </w:tcPr>
                <w:p w14:paraId="206C37C0">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000000"/>
                      <w:sz w:val="21"/>
                      <w:szCs w:val="21"/>
                      <w:highlight w:val="none"/>
                      <w:vertAlign w:val="baseline"/>
                      <w:lang w:eastAsia="zh-CN"/>
                    </w:rPr>
                  </w:pPr>
                  <w:r>
                    <w:rPr>
                      <w:rFonts w:hint="default" w:ascii="Times New Roman" w:hAnsi="Times New Roman" w:eastAsia="宋体" w:cs="Times New Roman"/>
                      <w:b w:val="0"/>
                      <w:bCs w:val="0"/>
                      <w:color w:val="000000"/>
                      <w:sz w:val="21"/>
                      <w:szCs w:val="21"/>
                      <w:highlight w:val="none"/>
                      <w:vertAlign w:val="baseline"/>
                      <w:lang w:eastAsia="zh-CN"/>
                    </w:rPr>
                    <w:t>1</w:t>
                  </w:r>
                  <w:r>
                    <w:rPr>
                      <w:rFonts w:hint="eastAsia" w:cs="Times New Roman"/>
                      <w:b w:val="0"/>
                      <w:bCs w:val="0"/>
                      <w:color w:val="000000"/>
                      <w:sz w:val="21"/>
                      <w:szCs w:val="21"/>
                      <w:highlight w:val="none"/>
                      <w:vertAlign w:val="baseline"/>
                      <w:lang w:val="en-US" w:eastAsia="zh-CN"/>
                    </w:rPr>
                    <w:t>.</w:t>
                  </w:r>
                  <w:r>
                    <w:rPr>
                      <w:rFonts w:hint="default" w:ascii="Times New Roman" w:hAnsi="Times New Roman" w:eastAsia="宋体" w:cs="Times New Roman"/>
                      <w:b w:val="0"/>
                      <w:bCs w:val="0"/>
                      <w:color w:val="000000"/>
                      <w:sz w:val="21"/>
                      <w:szCs w:val="21"/>
                      <w:highlight w:val="none"/>
                      <w:vertAlign w:val="baseline"/>
                      <w:lang w:eastAsia="zh-CN"/>
                    </w:rPr>
                    <w:t>使用《中华人民共和国规范化排污口标志登记证》，并按要求填写有关内容；</w:t>
                  </w:r>
                </w:p>
                <w:p w14:paraId="1E1EC10C">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val="0"/>
                      <w:color w:val="000000"/>
                      <w:sz w:val="21"/>
                      <w:szCs w:val="21"/>
                      <w:highlight w:val="none"/>
                      <w:vertAlign w:val="baseline"/>
                      <w:lang w:eastAsia="zh-CN"/>
                    </w:rPr>
                  </w:pPr>
                  <w:r>
                    <w:rPr>
                      <w:rFonts w:hint="default" w:ascii="Times New Roman" w:hAnsi="Times New Roman" w:eastAsia="宋体" w:cs="Times New Roman"/>
                      <w:b w:val="0"/>
                      <w:bCs w:val="0"/>
                      <w:color w:val="000000"/>
                      <w:sz w:val="21"/>
                      <w:szCs w:val="21"/>
                      <w:highlight w:val="none"/>
                      <w:vertAlign w:val="baseline"/>
                      <w:lang w:eastAsia="zh-CN"/>
                    </w:rPr>
                    <w:t>2</w:t>
                  </w:r>
                  <w:r>
                    <w:rPr>
                      <w:rFonts w:hint="eastAsia" w:cs="Times New Roman"/>
                      <w:b w:val="0"/>
                      <w:bCs w:val="0"/>
                      <w:color w:val="000000"/>
                      <w:sz w:val="21"/>
                      <w:szCs w:val="21"/>
                      <w:highlight w:val="none"/>
                      <w:vertAlign w:val="baseline"/>
                      <w:lang w:val="en-US" w:eastAsia="zh-CN"/>
                    </w:rPr>
                    <w:t>.</w:t>
                  </w:r>
                  <w:r>
                    <w:rPr>
                      <w:rFonts w:hint="default" w:ascii="Times New Roman" w:hAnsi="Times New Roman" w:eastAsia="宋体" w:cs="Times New Roman"/>
                      <w:b w:val="0"/>
                      <w:bCs w:val="0"/>
                      <w:color w:val="000000"/>
                      <w:sz w:val="21"/>
                      <w:szCs w:val="21"/>
                      <w:highlight w:val="none"/>
                      <w:vertAlign w:val="baseline"/>
                      <w:lang w:eastAsia="zh-CN"/>
                    </w:rPr>
                    <w:t>严格按照环境管理监控计划及排污口管理内容要求，在工程建成后将主要污染物种类、数量、排放浓度与去向</w:t>
                  </w:r>
                  <w:r>
                    <w:rPr>
                      <w:rFonts w:hint="eastAsia" w:cs="Times New Roman"/>
                      <w:b w:val="0"/>
                      <w:bCs w:val="0"/>
                      <w:color w:val="000000"/>
                      <w:sz w:val="21"/>
                      <w:szCs w:val="21"/>
                      <w:highlight w:val="none"/>
                      <w:vertAlign w:val="baseline"/>
                      <w:lang w:eastAsia="zh-CN"/>
                    </w:rPr>
                    <w:t>、</w:t>
                  </w:r>
                  <w:r>
                    <w:rPr>
                      <w:rFonts w:hint="default" w:ascii="Times New Roman" w:hAnsi="Times New Roman" w:eastAsia="宋体" w:cs="Times New Roman"/>
                      <w:b w:val="0"/>
                      <w:bCs w:val="0"/>
                      <w:color w:val="000000"/>
                      <w:sz w:val="21"/>
                      <w:szCs w:val="21"/>
                      <w:highlight w:val="none"/>
                      <w:vertAlign w:val="baseline"/>
                      <w:lang w:eastAsia="zh-CN"/>
                    </w:rPr>
                    <w:t>立标及环保设施运行情况记录在案，并及时上报</w:t>
                  </w:r>
                  <w:r>
                    <w:rPr>
                      <w:rFonts w:hint="eastAsia" w:ascii="Times New Roman" w:hAnsi="Times New Roman" w:eastAsia="宋体" w:cs="Times New Roman"/>
                      <w:b w:val="0"/>
                      <w:bCs w:val="0"/>
                      <w:color w:val="000000"/>
                      <w:sz w:val="21"/>
                      <w:szCs w:val="21"/>
                      <w:highlight w:val="none"/>
                      <w:vertAlign w:val="baseline"/>
                      <w:lang w:eastAsia="zh-CN"/>
                    </w:rPr>
                    <w:t>；</w:t>
                  </w:r>
                </w:p>
                <w:p w14:paraId="2E8DEC93">
                  <w:pPr>
                    <w:keepNext w:val="0"/>
                    <w:keepLines w:val="0"/>
                    <w:pageBreakBefore w:val="0"/>
                    <w:suppressLineNumbers w:val="0"/>
                    <w:shd w:val="clear" w:color="auto" w:fill="auto"/>
                    <w:kinsoku/>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bCs/>
                      <w:color w:val="000000"/>
                      <w:sz w:val="21"/>
                      <w:szCs w:val="21"/>
                      <w:highlight w:val="none"/>
                      <w:vertAlign w:val="baseline"/>
                      <w:lang w:eastAsia="zh-CN"/>
                    </w:rPr>
                  </w:pPr>
                  <w:r>
                    <w:rPr>
                      <w:rFonts w:hint="default" w:ascii="Times New Roman" w:hAnsi="Times New Roman" w:eastAsia="宋体" w:cs="Times New Roman"/>
                      <w:b w:val="0"/>
                      <w:bCs w:val="0"/>
                      <w:color w:val="000000"/>
                      <w:sz w:val="21"/>
                      <w:szCs w:val="21"/>
                      <w:highlight w:val="none"/>
                      <w:vertAlign w:val="baseline"/>
                      <w:lang w:eastAsia="zh-CN"/>
                    </w:rPr>
                    <w:t>3</w:t>
                  </w:r>
                  <w:r>
                    <w:rPr>
                      <w:rFonts w:hint="eastAsia" w:cs="Times New Roman"/>
                      <w:b w:val="0"/>
                      <w:bCs w:val="0"/>
                      <w:color w:val="000000"/>
                      <w:sz w:val="21"/>
                      <w:szCs w:val="21"/>
                      <w:highlight w:val="none"/>
                      <w:vertAlign w:val="baseline"/>
                      <w:lang w:val="en-US" w:eastAsia="zh-CN"/>
                    </w:rPr>
                    <w:t>.</w:t>
                  </w:r>
                  <w:r>
                    <w:rPr>
                      <w:rFonts w:hint="default" w:ascii="Times New Roman" w:hAnsi="Times New Roman" w:eastAsia="宋体" w:cs="Times New Roman"/>
                      <w:b w:val="0"/>
                      <w:bCs w:val="0"/>
                      <w:color w:val="000000"/>
                      <w:sz w:val="21"/>
                      <w:szCs w:val="21"/>
                      <w:highlight w:val="none"/>
                      <w:vertAlign w:val="baseline"/>
                      <w:lang w:eastAsia="zh-CN"/>
                    </w:rPr>
                    <w:t>选派有专业技能</w:t>
                  </w:r>
                  <w:r>
                    <w:rPr>
                      <w:rFonts w:hint="eastAsia" w:ascii="Times New Roman" w:hAnsi="Times New Roman" w:eastAsia="宋体" w:cs="Times New Roman"/>
                      <w:b w:val="0"/>
                      <w:bCs w:val="0"/>
                      <w:color w:val="000000"/>
                      <w:sz w:val="21"/>
                      <w:szCs w:val="21"/>
                      <w:highlight w:val="none"/>
                      <w:vertAlign w:val="baseline"/>
                      <w:lang w:val="en-US" w:eastAsia="zh-CN"/>
                    </w:rPr>
                    <w:t>的</w:t>
                  </w:r>
                  <w:r>
                    <w:rPr>
                      <w:rFonts w:hint="default" w:ascii="Times New Roman" w:hAnsi="Times New Roman" w:eastAsia="宋体" w:cs="Times New Roman"/>
                      <w:b w:val="0"/>
                      <w:bCs w:val="0"/>
                      <w:color w:val="000000"/>
                      <w:sz w:val="21"/>
                      <w:szCs w:val="21"/>
                      <w:highlight w:val="none"/>
                      <w:vertAlign w:val="baseline"/>
                      <w:lang w:eastAsia="zh-CN"/>
                    </w:rPr>
                    <w:t>环保人员对排污口进行管理，做到责任明确、奖罚分明。</w:t>
                  </w:r>
                </w:p>
              </w:tc>
            </w:tr>
          </w:tbl>
          <w:p w14:paraId="763C8B9D">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right="0"/>
              <w:jc w:val="left"/>
              <w:textAlignment w:val="auto"/>
              <w:rPr>
                <w:color w:val="000000"/>
                <w:sz w:val="21"/>
                <w:szCs w:val="21"/>
                <w:highlight w:val="none"/>
              </w:rPr>
            </w:pPr>
          </w:p>
        </w:tc>
      </w:tr>
    </w:tbl>
    <w:p w14:paraId="3EDE9861">
      <w:pPr>
        <w:pStyle w:val="66"/>
        <w:shd w:val="clear" w:color="auto" w:fill="auto"/>
        <w:jc w:val="center"/>
        <w:outlineLvl w:val="0"/>
        <w:rPr>
          <w:rFonts w:hint="eastAsia" w:ascii="黑体" w:hAnsi="黑体" w:eastAsia="黑体"/>
          <w:snapToGrid w:val="0"/>
          <w:color w:val="000000"/>
          <w:sz w:val="21"/>
          <w:szCs w:val="21"/>
          <w:highlight w:val="none"/>
        </w:rPr>
        <w:sectPr>
          <w:pgSz w:w="11906" w:h="16838"/>
          <w:pgMar w:top="1701" w:right="1531" w:bottom="1701" w:left="1531" w:header="851" w:footer="1134" w:gutter="0"/>
          <w:pgBorders>
            <w:top w:val="none" w:sz="0" w:space="0"/>
            <w:left w:val="none" w:sz="0" w:space="0"/>
            <w:bottom w:val="none" w:sz="0" w:space="0"/>
            <w:right w:val="none" w:sz="0" w:space="0"/>
          </w:pgBorders>
          <w:pgNumType w:fmt="decimal"/>
          <w:cols w:space="720" w:num="1"/>
          <w:docGrid w:linePitch="312" w:charSpace="0"/>
        </w:sectPr>
      </w:pPr>
    </w:p>
    <w:p w14:paraId="4894B268">
      <w:pPr>
        <w:pStyle w:val="66"/>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ascii="黑体" w:hAnsi="黑体" w:eastAsia="黑体"/>
          <w:snapToGrid w:val="0"/>
          <w:color w:val="000000"/>
          <w:sz w:val="30"/>
          <w:szCs w:val="30"/>
          <w:highlight w:val="none"/>
        </w:rPr>
      </w:pPr>
      <w:r>
        <w:rPr>
          <w:rFonts w:hint="eastAsia" w:ascii="黑体" w:hAnsi="黑体" w:eastAsia="黑体"/>
          <w:snapToGrid w:val="0"/>
          <w:color w:val="000000"/>
          <w:sz w:val="30"/>
          <w:szCs w:val="30"/>
          <w:highlight w:val="none"/>
        </w:rPr>
        <w:t>六、结论</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060"/>
      </w:tblGrid>
      <w:tr w14:paraId="6B270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8" w:hRule="atLeast"/>
        </w:trPr>
        <w:tc>
          <w:tcPr>
            <w:tcW w:w="9060" w:type="dxa"/>
            <w:shd w:val="clear" w:color="auto" w:fill="auto"/>
            <w:noWrap w:val="0"/>
            <w:vAlign w:val="center"/>
          </w:tcPr>
          <w:p w14:paraId="0F3C14AA">
            <w:pPr>
              <w:widowControl/>
              <w:shd w:val="clear" w:color="auto" w:fill="auto"/>
              <w:adjustRightInd w:val="0"/>
              <w:spacing w:line="360" w:lineRule="auto"/>
              <w:ind w:firstLine="420" w:firstLineChars="200"/>
              <w:rPr>
                <w:snapToGrid w:val="0"/>
                <w:color w:val="000000"/>
                <w:kern w:val="0"/>
                <w:sz w:val="21"/>
                <w:szCs w:val="21"/>
                <w:highlight w:val="none"/>
              </w:rPr>
            </w:pPr>
            <w:r>
              <w:rPr>
                <w:snapToGrid w:val="0"/>
                <w:color w:val="000000"/>
                <w:kern w:val="0"/>
                <w:sz w:val="21"/>
                <w:szCs w:val="21"/>
                <w:highlight w:val="none"/>
              </w:rPr>
              <w:t>项目</w:t>
            </w:r>
            <w:r>
              <w:rPr>
                <w:rFonts w:hint="eastAsia"/>
                <w:snapToGrid w:val="0"/>
                <w:color w:val="000000"/>
                <w:kern w:val="0"/>
                <w:sz w:val="21"/>
                <w:szCs w:val="21"/>
                <w:highlight w:val="none"/>
              </w:rPr>
              <w:t>建设</w:t>
            </w:r>
            <w:r>
              <w:rPr>
                <w:snapToGrid w:val="0"/>
                <w:color w:val="000000"/>
                <w:kern w:val="0"/>
                <w:sz w:val="21"/>
                <w:szCs w:val="21"/>
                <w:highlight w:val="none"/>
              </w:rPr>
              <w:t>符合国家产业政策和地方规划要求，总体布局较为合理，并具有较明显的社会、经济、环境综合效益</w:t>
            </w:r>
            <w:r>
              <w:rPr>
                <w:rFonts w:hint="eastAsia"/>
                <w:snapToGrid w:val="0"/>
                <w:color w:val="000000"/>
                <w:kern w:val="0"/>
                <w:sz w:val="21"/>
                <w:szCs w:val="21"/>
                <w:highlight w:val="none"/>
              </w:rPr>
              <w:t>；采取的</w:t>
            </w:r>
            <w:r>
              <w:rPr>
                <w:snapToGrid w:val="0"/>
                <w:color w:val="000000"/>
                <w:kern w:val="0"/>
                <w:sz w:val="21"/>
                <w:szCs w:val="21"/>
                <w:highlight w:val="none"/>
              </w:rPr>
              <w:t>污染防治措施</w:t>
            </w:r>
            <w:r>
              <w:rPr>
                <w:rFonts w:hint="eastAsia"/>
                <w:snapToGrid w:val="0"/>
                <w:color w:val="000000"/>
                <w:kern w:val="0"/>
                <w:sz w:val="21"/>
                <w:szCs w:val="21"/>
                <w:highlight w:val="none"/>
              </w:rPr>
              <w:t>可行，落实</w:t>
            </w:r>
            <w:r>
              <w:rPr>
                <w:snapToGrid w:val="0"/>
                <w:color w:val="000000"/>
                <w:kern w:val="0"/>
                <w:sz w:val="21"/>
                <w:szCs w:val="21"/>
                <w:highlight w:val="none"/>
              </w:rPr>
              <w:t>环评提出的各项要求，污染物可做到达标排放</w:t>
            </w:r>
            <w:r>
              <w:rPr>
                <w:rFonts w:hint="eastAsia"/>
                <w:snapToGrid w:val="0"/>
                <w:color w:val="000000"/>
                <w:kern w:val="0"/>
                <w:sz w:val="21"/>
                <w:szCs w:val="21"/>
                <w:highlight w:val="none"/>
              </w:rPr>
              <w:t>和合理处置</w:t>
            </w:r>
            <w:r>
              <w:rPr>
                <w:snapToGrid w:val="0"/>
                <w:color w:val="000000"/>
                <w:kern w:val="0"/>
                <w:sz w:val="21"/>
                <w:szCs w:val="21"/>
                <w:highlight w:val="none"/>
              </w:rPr>
              <w:t>，对环境影响较小</w:t>
            </w:r>
            <w:r>
              <w:rPr>
                <w:rFonts w:hint="eastAsia"/>
                <w:snapToGrid w:val="0"/>
                <w:color w:val="000000"/>
                <w:kern w:val="0"/>
                <w:sz w:val="21"/>
                <w:szCs w:val="21"/>
                <w:highlight w:val="none"/>
              </w:rPr>
              <w:t>，</w:t>
            </w:r>
            <w:r>
              <w:rPr>
                <w:snapToGrid w:val="0"/>
                <w:color w:val="000000"/>
                <w:kern w:val="0"/>
                <w:sz w:val="21"/>
                <w:szCs w:val="21"/>
                <w:highlight w:val="none"/>
              </w:rPr>
              <w:t>不会改变区域环境功能。从环境</w:t>
            </w:r>
            <w:r>
              <w:rPr>
                <w:rFonts w:hint="eastAsia"/>
                <w:snapToGrid w:val="0"/>
                <w:color w:val="000000"/>
                <w:kern w:val="0"/>
                <w:sz w:val="21"/>
                <w:szCs w:val="21"/>
                <w:highlight w:val="none"/>
                <w:lang w:val="en-US" w:eastAsia="zh-CN"/>
              </w:rPr>
              <w:t>保护</w:t>
            </w:r>
            <w:r>
              <w:rPr>
                <w:snapToGrid w:val="0"/>
                <w:color w:val="000000"/>
                <w:kern w:val="0"/>
                <w:sz w:val="21"/>
                <w:szCs w:val="21"/>
                <w:highlight w:val="none"/>
              </w:rPr>
              <w:t>的角度分析，项目建设是可行的。</w:t>
            </w:r>
          </w:p>
          <w:p w14:paraId="4E42804B">
            <w:pPr>
              <w:pStyle w:val="66"/>
              <w:shd w:val="clear" w:color="auto" w:fill="auto"/>
              <w:jc w:val="center"/>
              <w:outlineLvl w:val="0"/>
              <w:rPr>
                <w:rFonts w:ascii="黑体" w:hAnsi="黑体" w:eastAsia="黑体"/>
                <w:snapToGrid w:val="0"/>
                <w:color w:val="000000"/>
                <w:sz w:val="21"/>
                <w:szCs w:val="21"/>
                <w:highlight w:val="none"/>
              </w:rPr>
            </w:pPr>
          </w:p>
        </w:tc>
      </w:tr>
    </w:tbl>
    <w:p w14:paraId="45B2F146">
      <w:pPr>
        <w:pStyle w:val="66"/>
        <w:shd w:val="clear" w:color="auto" w:fill="auto"/>
        <w:jc w:val="center"/>
        <w:outlineLvl w:val="0"/>
        <w:rPr>
          <w:rFonts w:ascii="黑体" w:hAnsi="黑体" w:eastAsia="黑体"/>
          <w:snapToGrid w:val="0"/>
          <w:color w:val="000000"/>
          <w:sz w:val="21"/>
          <w:szCs w:val="21"/>
          <w:highlight w:val="none"/>
        </w:rPr>
        <w:sectPr>
          <w:footerReference r:id="rId6" w:type="default"/>
          <w:pgSz w:w="11906" w:h="16838"/>
          <w:pgMar w:top="1701" w:right="1531" w:bottom="1701" w:left="1531" w:header="851" w:footer="1134" w:gutter="0"/>
          <w:pgBorders>
            <w:top w:val="none" w:sz="0" w:space="0"/>
            <w:left w:val="none" w:sz="0" w:space="0"/>
            <w:bottom w:val="none" w:sz="0" w:space="0"/>
            <w:right w:val="none" w:sz="0" w:space="0"/>
          </w:pgBorders>
          <w:pgNumType w:fmt="decimal"/>
          <w:cols w:space="720" w:num="1"/>
          <w:docGrid w:linePitch="312" w:charSpace="0"/>
        </w:sectPr>
      </w:pPr>
    </w:p>
    <w:p w14:paraId="325323F9">
      <w:pPr>
        <w:pStyle w:val="66"/>
        <w:keepNext w:val="0"/>
        <w:keepLines w:val="0"/>
        <w:pageBreakBefore w:val="0"/>
        <w:widowControl/>
        <w:shd w:val="clear" w:color="auto" w:fill="auto"/>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ascii="方正小标宋_GBK" w:hAnsi="黑体" w:eastAsia="方正小标宋_GBK"/>
          <w:snapToGrid w:val="0"/>
          <w:color w:val="000000"/>
          <w:sz w:val="30"/>
          <w:szCs w:val="30"/>
          <w:highlight w:val="none"/>
        </w:rPr>
      </w:pPr>
      <w:r>
        <w:rPr>
          <w:rFonts w:hint="eastAsia" w:ascii="方正小标宋_GBK" w:hAnsi="黑体" w:eastAsia="方正小标宋_GBK"/>
          <w:snapToGrid w:val="0"/>
          <w:color w:val="000000"/>
          <w:sz w:val="28"/>
          <w:szCs w:val="28"/>
          <w:highlight w:val="none"/>
        </w:rPr>
        <w:t>建设项目污染物排放量汇总表</w:t>
      </w:r>
    </w:p>
    <w:tbl>
      <w:tblPr>
        <w:tblStyle w:val="21"/>
        <w:tblW w:w="5126"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95"/>
        <w:gridCol w:w="1533"/>
        <w:gridCol w:w="1319"/>
        <w:gridCol w:w="1123"/>
        <w:gridCol w:w="1497"/>
        <w:gridCol w:w="1373"/>
        <w:gridCol w:w="1341"/>
        <w:gridCol w:w="1516"/>
        <w:gridCol w:w="1146"/>
      </w:tblGrid>
      <w:tr w14:paraId="353D5B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7" w:hRule="atLeast"/>
        </w:trPr>
        <w:tc>
          <w:tcPr>
            <w:tcW w:w="533" w:type="pct"/>
            <w:tcBorders>
              <w:tl2br w:val="single" w:color="auto" w:sz="4" w:space="0"/>
            </w:tcBorders>
            <w:shd w:val="clear" w:color="auto" w:fill="auto"/>
            <w:noWrap w:val="0"/>
            <w:tcMar>
              <w:top w:w="0" w:type="dxa"/>
              <w:left w:w="28" w:type="dxa"/>
              <w:bottom w:w="0" w:type="dxa"/>
              <w:right w:w="28" w:type="dxa"/>
            </w:tcMar>
            <w:vAlign w:val="center"/>
          </w:tcPr>
          <w:p w14:paraId="05F83485">
            <w:pPr>
              <w:pStyle w:val="88"/>
              <w:shd w:val="clear" w:color="auto" w:fill="auto"/>
              <w:spacing w:beforeLines="0" w:afterLines="0" w:line="240" w:lineRule="auto"/>
              <w:jc w:val="right"/>
              <w:rPr>
                <w:rFonts w:ascii="Times New Roman"/>
                <w:snapToGrid w:val="0"/>
                <w:color w:val="000000"/>
                <w:spacing w:val="-6"/>
                <w:kern w:val="21"/>
                <w:sz w:val="21"/>
                <w:szCs w:val="21"/>
                <w:highlight w:val="none"/>
              </w:rPr>
            </w:pPr>
            <w:r>
              <w:rPr>
                <w:rFonts w:ascii="Times New Roman"/>
                <w:snapToGrid w:val="0"/>
                <w:color w:val="000000"/>
                <w:spacing w:val="-6"/>
                <w:kern w:val="21"/>
                <w:sz w:val="21"/>
                <w:szCs w:val="21"/>
                <w:highlight w:val="none"/>
              </w:rPr>
              <w:t>项目</w:t>
            </w:r>
          </w:p>
          <w:p w14:paraId="0E7CF2CF">
            <w:pPr>
              <w:pStyle w:val="88"/>
              <w:shd w:val="clear" w:color="auto" w:fill="auto"/>
              <w:spacing w:beforeLines="0" w:afterLines="0" w:line="240" w:lineRule="auto"/>
              <w:jc w:val="left"/>
              <w:rPr>
                <w:rFonts w:ascii="Times New Roman"/>
                <w:snapToGrid w:val="0"/>
                <w:color w:val="000000"/>
                <w:spacing w:val="-6"/>
                <w:kern w:val="21"/>
                <w:sz w:val="21"/>
                <w:szCs w:val="21"/>
                <w:highlight w:val="none"/>
              </w:rPr>
            </w:pPr>
            <w:r>
              <w:rPr>
                <w:rFonts w:ascii="Times New Roman"/>
                <w:snapToGrid w:val="0"/>
                <w:color w:val="000000"/>
                <w:spacing w:val="-6"/>
                <w:kern w:val="21"/>
                <w:sz w:val="21"/>
                <w:szCs w:val="21"/>
                <w:highlight w:val="none"/>
              </w:rPr>
              <w:t>分类</w:t>
            </w:r>
          </w:p>
        </w:tc>
        <w:tc>
          <w:tcPr>
            <w:tcW w:w="631" w:type="pct"/>
            <w:shd w:val="clear" w:color="auto" w:fill="auto"/>
            <w:noWrap w:val="0"/>
            <w:tcMar>
              <w:top w:w="0" w:type="dxa"/>
              <w:left w:w="28" w:type="dxa"/>
              <w:bottom w:w="0" w:type="dxa"/>
              <w:right w:w="28" w:type="dxa"/>
            </w:tcMar>
            <w:vAlign w:val="center"/>
          </w:tcPr>
          <w:p w14:paraId="35B5AB45">
            <w:pPr>
              <w:pStyle w:val="88"/>
              <w:shd w:val="clear" w:color="auto" w:fill="auto"/>
              <w:spacing w:beforeLines="0" w:afterLines="0" w:line="240" w:lineRule="auto"/>
              <w:rPr>
                <w:rFonts w:ascii="Times New Roman"/>
                <w:snapToGrid w:val="0"/>
                <w:color w:val="000000"/>
                <w:spacing w:val="-6"/>
                <w:kern w:val="21"/>
                <w:sz w:val="21"/>
                <w:szCs w:val="21"/>
                <w:highlight w:val="none"/>
              </w:rPr>
            </w:pPr>
            <w:r>
              <w:rPr>
                <w:rFonts w:ascii="Times New Roman"/>
                <w:snapToGrid w:val="0"/>
                <w:color w:val="000000"/>
                <w:spacing w:val="-6"/>
                <w:kern w:val="21"/>
                <w:sz w:val="21"/>
                <w:szCs w:val="21"/>
                <w:highlight w:val="none"/>
              </w:rPr>
              <w:t>污染物名称</w:t>
            </w:r>
          </w:p>
        </w:tc>
        <w:tc>
          <w:tcPr>
            <w:tcW w:w="1319" w:type="dxa"/>
            <w:shd w:val="clear" w:color="auto" w:fill="auto"/>
            <w:noWrap w:val="0"/>
            <w:tcMar>
              <w:top w:w="0" w:type="dxa"/>
              <w:left w:w="28" w:type="dxa"/>
              <w:bottom w:w="0" w:type="dxa"/>
              <w:right w:w="28" w:type="dxa"/>
            </w:tcMar>
            <w:vAlign w:val="center"/>
          </w:tcPr>
          <w:p w14:paraId="1101610D">
            <w:pPr>
              <w:pStyle w:val="88"/>
              <w:spacing w:beforeLines="0" w:afterLines="0" w:line="240" w:lineRule="auto"/>
              <w:rPr>
                <w:rFonts w:ascii="Times New Roman" w:eastAsia="黑体"/>
                <w:snapToGrid w:val="0"/>
                <w:color w:val="000000"/>
                <w:spacing w:val="-6"/>
                <w:kern w:val="21"/>
                <w:szCs w:val="21"/>
              </w:rPr>
            </w:pPr>
            <w:r>
              <w:rPr>
                <w:rFonts w:ascii="Times New Roman" w:eastAsia="黑体"/>
                <w:snapToGrid w:val="0"/>
                <w:color w:val="000000"/>
                <w:spacing w:val="-6"/>
                <w:kern w:val="21"/>
                <w:szCs w:val="21"/>
              </w:rPr>
              <w:t>现有工程</w:t>
            </w:r>
          </w:p>
          <w:p w14:paraId="43E2DB53">
            <w:pPr>
              <w:pStyle w:val="88"/>
              <w:spacing w:beforeLines="0" w:afterLines="0" w:line="240" w:lineRule="auto"/>
              <w:rPr>
                <w:rFonts w:ascii="Times New Roman"/>
                <w:snapToGrid w:val="0"/>
                <w:color w:val="000000"/>
                <w:spacing w:val="-6"/>
                <w:kern w:val="21"/>
                <w:sz w:val="21"/>
                <w:szCs w:val="21"/>
                <w:highlight w:val="none"/>
              </w:rPr>
            </w:pPr>
            <w:r>
              <w:rPr>
                <w:rFonts w:ascii="Times New Roman" w:eastAsia="黑体"/>
                <w:snapToGrid w:val="0"/>
                <w:color w:val="000000"/>
                <w:spacing w:val="-6"/>
                <w:kern w:val="21"/>
                <w:szCs w:val="21"/>
              </w:rPr>
              <w:t>排放量（固体废物产生量）</w:t>
            </w:r>
            <w:r>
              <w:rPr>
                <w:rFonts w:ascii="Times New Roman" w:eastAsia="黑体"/>
                <w:snapToGrid w:val="0"/>
                <w:color w:val="000000"/>
                <w:spacing w:val="-6"/>
                <w:kern w:val="21"/>
                <w:szCs w:val="21"/>
              </w:rPr>
              <w:fldChar w:fldCharType="begin"/>
            </w:r>
            <w:r>
              <w:rPr>
                <w:rFonts w:ascii="Times New Roman" w:eastAsia="黑体"/>
                <w:snapToGrid w:val="0"/>
                <w:color w:val="000000"/>
                <w:spacing w:val="-6"/>
                <w:kern w:val="21"/>
                <w:szCs w:val="21"/>
              </w:rPr>
              <w:instrText xml:space="preserve"> = 1 \* GB3 \* MERGEFORMAT </w:instrText>
            </w:r>
            <w:r>
              <w:rPr>
                <w:rFonts w:ascii="Times New Roman" w:eastAsia="黑体"/>
                <w:snapToGrid w:val="0"/>
                <w:color w:val="000000"/>
                <w:spacing w:val="-6"/>
                <w:kern w:val="21"/>
                <w:szCs w:val="21"/>
              </w:rPr>
              <w:fldChar w:fldCharType="separate"/>
            </w:r>
            <w:r>
              <w:rPr>
                <w:rFonts w:ascii="Cambria Math" w:hAnsi="Cambria Math" w:cs="Cambria Math"/>
                <w:color w:val="000000"/>
                <w:kern w:val="2"/>
                <w:szCs w:val="21"/>
              </w:rPr>
              <w:t>①</w:t>
            </w:r>
            <w:r>
              <w:rPr>
                <w:rFonts w:ascii="Times New Roman" w:eastAsia="黑体"/>
                <w:snapToGrid w:val="0"/>
                <w:color w:val="000000"/>
                <w:spacing w:val="-6"/>
                <w:kern w:val="21"/>
                <w:szCs w:val="21"/>
              </w:rPr>
              <w:fldChar w:fldCharType="end"/>
            </w:r>
          </w:p>
        </w:tc>
        <w:tc>
          <w:tcPr>
            <w:tcW w:w="1123" w:type="dxa"/>
            <w:shd w:val="clear" w:color="auto" w:fill="auto"/>
            <w:noWrap w:val="0"/>
            <w:tcMar>
              <w:top w:w="0" w:type="dxa"/>
              <w:left w:w="28" w:type="dxa"/>
              <w:bottom w:w="0" w:type="dxa"/>
              <w:right w:w="28" w:type="dxa"/>
            </w:tcMar>
            <w:vAlign w:val="center"/>
          </w:tcPr>
          <w:p w14:paraId="782B05F5">
            <w:pPr>
              <w:pStyle w:val="88"/>
              <w:spacing w:beforeLines="0" w:afterLines="0" w:line="240" w:lineRule="auto"/>
              <w:rPr>
                <w:rFonts w:ascii="Times New Roman" w:eastAsia="黑体"/>
                <w:snapToGrid w:val="0"/>
                <w:color w:val="000000"/>
                <w:spacing w:val="-6"/>
                <w:kern w:val="21"/>
                <w:szCs w:val="21"/>
              </w:rPr>
            </w:pPr>
            <w:r>
              <w:rPr>
                <w:rFonts w:ascii="Times New Roman" w:eastAsia="黑体"/>
                <w:snapToGrid w:val="0"/>
                <w:color w:val="000000"/>
                <w:spacing w:val="-6"/>
                <w:kern w:val="21"/>
                <w:szCs w:val="21"/>
              </w:rPr>
              <w:t>现有工程</w:t>
            </w:r>
          </w:p>
          <w:p w14:paraId="09E503A4">
            <w:pPr>
              <w:pStyle w:val="88"/>
              <w:spacing w:beforeLines="0" w:afterLines="0" w:line="240" w:lineRule="auto"/>
              <w:rPr>
                <w:rFonts w:ascii="Times New Roman" w:eastAsia="黑体"/>
                <w:snapToGrid w:val="0"/>
                <w:color w:val="000000"/>
                <w:spacing w:val="-6"/>
                <w:kern w:val="21"/>
                <w:szCs w:val="21"/>
              </w:rPr>
            </w:pPr>
            <w:r>
              <w:rPr>
                <w:rFonts w:ascii="Times New Roman" w:eastAsia="黑体"/>
                <w:snapToGrid w:val="0"/>
                <w:color w:val="000000"/>
                <w:spacing w:val="-6"/>
                <w:kern w:val="21"/>
                <w:szCs w:val="21"/>
              </w:rPr>
              <w:t>许可排放量</w:t>
            </w:r>
          </w:p>
          <w:p w14:paraId="62789BF5">
            <w:pPr>
              <w:pStyle w:val="88"/>
              <w:spacing w:beforeLines="0" w:afterLines="0"/>
              <w:rPr>
                <w:rFonts w:ascii="Times New Roman"/>
                <w:snapToGrid w:val="0"/>
                <w:color w:val="000000"/>
                <w:spacing w:val="-6"/>
                <w:kern w:val="21"/>
                <w:sz w:val="21"/>
                <w:szCs w:val="21"/>
                <w:highlight w:val="none"/>
              </w:rPr>
            </w:pPr>
            <w:r>
              <w:rPr>
                <w:rFonts w:ascii="Times New Roman" w:eastAsia="黑体"/>
                <w:snapToGrid w:val="0"/>
                <w:color w:val="000000"/>
                <w:spacing w:val="-6"/>
                <w:kern w:val="21"/>
                <w:szCs w:val="21"/>
              </w:rPr>
              <w:fldChar w:fldCharType="begin"/>
            </w:r>
            <w:r>
              <w:rPr>
                <w:rFonts w:ascii="Times New Roman" w:eastAsia="黑体"/>
                <w:snapToGrid w:val="0"/>
                <w:color w:val="000000"/>
                <w:spacing w:val="-6"/>
                <w:kern w:val="21"/>
                <w:szCs w:val="21"/>
              </w:rPr>
              <w:instrText xml:space="preserve"> = 2 \* GB3 \* MERGEFORMAT </w:instrText>
            </w:r>
            <w:r>
              <w:rPr>
                <w:rFonts w:ascii="Times New Roman" w:eastAsia="黑体"/>
                <w:snapToGrid w:val="0"/>
                <w:color w:val="000000"/>
                <w:spacing w:val="-6"/>
                <w:kern w:val="21"/>
                <w:szCs w:val="21"/>
              </w:rPr>
              <w:fldChar w:fldCharType="separate"/>
            </w:r>
            <w:r>
              <w:rPr>
                <w:rFonts w:ascii="Cambria Math" w:hAnsi="Cambria Math" w:cs="Cambria Math"/>
                <w:snapToGrid w:val="0"/>
                <w:color w:val="000000"/>
                <w:spacing w:val="-6"/>
                <w:kern w:val="21"/>
                <w:szCs w:val="21"/>
              </w:rPr>
              <w:t>②</w:t>
            </w:r>
            <w:r>
              <w:rPr>
                <w:rFonts w:ascii="Times New Roman" w:eastAsia="黑体"/>
                <w:snapToGrid w:val="0"/>
                <w:color w:val="000000"/>
                <w:spacing w:val="-6"/>
                <w:kern w:val="21"/>
                <w:szCs w:val="21"/>
              </w:rPr>
              <w:fldChar w:fldCharType="end"/>
            </w:r>
          </w:p>
        </w:tc>
        <w:tc>
          <w:tcPr>
            <w:tcW w:w="1497" w:type="dxa"/>
            <w:shd w:val="clear" w:color="auto" w:fill="auto"/>
            <w:noWrap w:val="0"/>
            <w:tcMar>
              <w:top w:w="0" w:type="dxa"/>
              <w:left w:w="28" w:type="dxa"/>
              <w:bottom w:w="0" w:type="dxa"/>
              <w:right w:w="28" w:type="dxa"/>
            </w:tcMar>
            <w:vAlign w:val="center"/>
          </w:tcPr>
          <w:p w14:paraId="28DFB9AD">
            <w:pPr>
              <w:pStyle w:val="88"/>
              <w:spacing w:beforeLines="0" w:afterLines="0" w:line="240" w:lineRule="auto"/>
              <w:rPr>
                <w:rFonts w:ascii="Times New Roman" w:eastAsia="黑体"/>
                <w:snapToGrid w:val="0"/>
                <w:color w:val="000000"/>
                <w:spacing w:val="-6"/>
                <w:kern w:val="21"/>
                <w:szCs w:val="21"/>
              </w:rPr>
            </w:pPr>
            <w:r>
              <w:rPr>
                <w:rFonts w:ascii="Times New Roman" w:eastAsia="黑体"/>
                <w:snapToGrid w:val="0"/>
                <w:color w:val="000000"/>
                <w:spacing w:val="-6"/>
                <w:kern w:val="21"/>
                <w:szCs w:val="21"/>
              </w:rPr>
              <w:t>在建工程</w:t>
            </w:r>
          </w:p>
          <w:p w14:paraId="6526FE55">
            <w:pPr>
              <w:pStyle w:val="88"/>
              <w:spacing w:beforeLines="0" w:afterLines="0" w:line="240" w:lineRule="auto"/>
              <w:rPr>
                <w:rFonts w:ascii="Times New Roman"/>
                <w:snapToGrid w:val="0"/>
                <w:color w:val="000000"/>
                <w:spacing w:val="-6"/>
                <w:kern w:val="21"/>
                <w:sz w:val="21"/>
                <w:szCs w:val="21"/>
                <w:highlight w:val="none"/>
              </w:rPr>
            </w:pPr>
            <w:r>
              <w:rPr>
                <w:rFonts w:ascii="Times New Roman" w:eastAsia="黑体"/>
                <w:snapToGrid w:val="0"/>
                <w:color w:val="000000"/>
                <w:spacing w:val="-6"/>
                <w:kern w:val="21"/>
                <w:szCs w:val="21"/>
              </w:rPr>
              <w:t>排放量（固体废物产生量）</w:t>
            </w:r>
            <w:r>
              <w:rPr>
                <w:rFonts w:ascii="Times New Roman" w:eastAsia="黑体"/>
                <w:snapToGrid w:val="0"/>
                <w:color w:val="000000"/>
                <w:spacing w:val="-6"/>
                <w:kern w:val="21"/>
                <w:szCs w:val="21"/>
              </w:rPr>
              <w:fldChar w:fldCharType="begin"/>
            </w:r>
            <w:r>
              <w:rPr>
                <w:rFonts w:ascii="Times New Roman" w:eastAsia="黑体"/>
                <w:snapToGrid w:val="0"/>
                <w:color w:val="000000"/>
                <w:spacing w:val="-6"/>
                <w:kern w:val="21"/>
                <w:szCs w:val="21"/>
              </w:rPr>
              <w:instrText xml:space="preserve"> = 3 \* GB3 \* MERGEFORMAT </w:instrText>
            </w:r>
            <w:r>
              <w:rPr>
                <w:rFonts w:ascii="Times New Roman" w:eastAsia="黑体"/>
                <w:snapToGrid w:val="0"/>
                <w:color w:val="000000"/>
                <w:spacing w:val="-6"/>
                <w:kern w:val="21"/>
                <w:szCs w:val="21"/>
              </w:rPr>
              <w:fldChar w:fldCharType="separate"/>
            </w:r>
            <w:r>
              <w:rPr>
                <w:rFonts w:ascii="Cambria Math" w:hAnsi="Cambria Math" w:cs="Cambria Math"/>
                <w:color w:val="000000"/>
                <w:kern w:val="2"/>
                <w:szCs w:val="21"/>
              </w:rPr>
              <w:t>③</w:t>
            </w:r>
            <w:r>
              <w:rPr>
                <w:rFonts w:ascii="Times New Roman" w:eastAsia="黑体"/>
                <w:snapToGrid w:val="0"/>
                <w:color w:val="000000"/>
                <w:spacing w:val="-6"/>
                <w:kern w:val="21"/>
                <w:szCs w:val="21"/>
              </w:rPr>
              <w:fldChar w:fldCharType="end"/>
            </w:r>
          </w:p>
        </w:tc>
        <w:tc>
          <w:tcPr>
            <w:tcW w:w="1373" w:type="dxa"/>
            <w:shd w:val="clear" w:color="auto" w:fill="auto"/>
            <w:noWrap w:val="0"/>
            <w:tcMar>
              <w:top w:w="0" w:type="dxa"/>
              <w:left w:w="28" w:type="dxa"/>
              <w:bottom w:w="0" w:type="dxa"/>
              <w:right w:w="28" w:type="dxa"/>
            </w:tcMar>
            <w:vAlign w:val="center"/>
          </w:tcPr>
          <w:p w14:paraId="404DAC3D">
            <w:pPr>
              <w:pStyle w:val="88"/>
              <w:spacing w:beforeLines="0" w:afterLines="0" w:line="240" w:lineRule="auto"/>
              <w:rPr>
                <w:rFonts w:ascii="Times New Roman" w:eastAsia="黑体"/>
                <w:snapToGrid w:val="0"/>
                <w:color w:val="000000"/>
                <w:spacing w:val="-6"/>
                <w:kern w:val="21"/>
                <w:szCs w:val="21"/>
              </w:rPr>
            </w:pPr>
            <w:r>
              <w:rPr>
                <w:rFonts w:ascii="Times New Roman" w:eastAsia="黑体"/>
                <w:snapToGrid w:val="0"/>
                <w:color w:val="000000"/>
                <w:spacing w:val="-6"/>
                <w:kern w:val="21"/>
                <w:szCs w:val="21"/>
              </w:rPr>
              <w:t>本项目</w:t>
            </w:r>
          </w:p>
          <w:p w14:paraId="230EF9CB">
            <w:pPr>
              <w:pStyle w:val="88"/>
              <w:spacing w:beforeLines="0" w:afterLines="0" w:line="240" w:lineRule="auto"/>
              <w:rPr>
                <w:rFonts w:ascii="Times New Roman"/>
                <w:snapToGrid w:val="0"/>
                <w:color w:val="000000"/>
                <w:spacing w:val="-6"/>
                <w:kern w:val="21"/>
                <w:sz w:val="21"/>
                <w:szCs w:val="21"/>
                <w:highlight w:val="none"/>
              </w:rPr>
            </w:pPr>
            <w:r>
              <w:rPr>
                <w:rFonts w:ascii="Times New Roman" w:eastAsia="黑体"/>
                <w:snapToGrid w:val="0"/>
                <w:color w:val="000000"/>
                <w:spacing w:val="-6"/>
                <w:kern w:val="21"/>
                <w:szCs w:val="21"/>
              </w:rPr>
              <w:t>排放量（固体废物产生量）</w:t>
            </w:r>
            <w:r>
              <w:rPr>
                <w:rFonts w:ascii="Times New Roman" w:eastAsia="黑体"/>
                <w:snapToGrid w:val="0"/>
                <w:color w:val="000000"/>
                <w:spacing w:val="-6"/>
                <w:kern w:val="21"/>
                <w:szCs w:val="21"/>
              </w:rPr>
              <w:fldChar w:fldCharType="begin"/>
            </w:r>
            <w:r>
              <w:rPr>
                <w:rFonts w:ascii="Times New Roman" w:eastAsia="黑体"/>
                <w:snapToGrid w:val="0"/>
                <w:color w:val="000000"/>
                <w:spacing w:val="-6"/>
                <w:kern w:val="21"/>
                <w:szCs w:val="21"/>
              </w:rPr>
              <w:instrText xml:space="preserve"> = 4 \* GB3 \* MERGEFORMAT </w:instrText>
            </w:r>
            <w:r>
              <w:rPr>
                <w:rFonts w:ascii="Times New Roman" w:eastAsia="黑体"/>
                <w:snapToGrid w:val="0"/>
                <w:color w:val="000000"/>
                <w:spacing w:val="-6"/>
                <w:kern w:val="21"/>
                <w:szCs w:val="21"/>
              </w:rPr>
              <w:fldChar w:fldCharType="separate"/>
            </w:r>
            <w:r>
              <w:rPr>
                <w:rFonts w:ascii="Cambria Math" w:hAnsi="Cambria Math" w:cs="Cambria Math"/>
                <w:color w:val="000000"/>
                <w:kern w:val="2"/>
                <w:szCs w:val="21"/>
              </w:rPr>
              <w:t>④</w:t>
            </w:r>
            <w:r>
              <w:rPr>
                <w:rFonts w:ascii="Times New Roman" w:eastAsia="黑体"/>
                <w:snapToGrid w:val="0"/>
                <w:color w:val="000000"/>
                <w:spacing w:val="-6"/>
                <w:kern w:val="21"/>
                <w:szCs w:val="21"/>
              </w:rPr>
              <w:fldChar w:fldCharType="end"/>
            </w:r>
          </w:p>
        </w:tc>
        <w:tc>
          <w:tcPr>
            <w:tcW w:w="1341" w:type="dxa"/>
            <w:shd w:val="clear" w:color="auto" w:fill="auto"/>
            <w:noWrap w:val="0"/>
            <w:tcMar>
              <w:top w:w="0" w:type="dxa"/>
              <w:left w:w="28" w:type="dxa"/>
              <w:bottom w:w="0" w:type="dxa"/>
              <w:right w:w="28" w:type="dxa"/>
            </w:tcMar>
            <w:vAlign w:val="center"/>
          </w:tcPr>
          <w:p w14:paraId="19FB63A8">
            <w:pPr>
              <w:pStyle w:val="88"/>
              <w:spacing w:beforeLines="0" w:afterLines="0" w:line="240" w:lineRule="auto"/>
              <w:rPr>
                <w:rFonts w:ascii="Times New Roman"/>
                <w:snapToGrid w:val="0"/>
                <w:color w:val="000000"/>
                <w:spacing w:val="-16"/>
                <w:kern w:val="21"/>
                <w:sz w:val="21"/>
                <w:szCs w:val="21"/>
                <w:highlight w:val="none"/>
              </w:rPr>
            </w:pPr>
            <w:r>
              <w:rPr>
                <w:rFonts w:ascii="Times New Roman" w:eastAsia="黑体"/>
                <w:snapToGrid w:val="0"/>
                <w:color w:val="000000"/>
                <w:spacing w:val="-16"/>
                <w:kern w:val="21"/>
                <w:szCs w:val="21"/>
              </w:rPr>
              <w:t>以新带老削减量（新建项目不填）</w:t>
            </w:r>
            <w:r>
              <w:rPr>
                <w:rFonts w:ascii="Times New Roman" w:eastAsia="黑体"/>
                <w:snapToGrid w:val="0"/>
                <w:color w:val="000000"/>
                <w:spacing w:val="-16"/>
                <w:kern w:val="21"/>
                <w:szCs w:val="21"/>
              </w:rPr>
              <w:fldChar w:fldCharType="begin"/>
            </w:r>
            <w:r>
              <w:rPr>
                <w:rFonts w:ascii="Times New Roman" w:eastAsia="黑体"/>
                <w:snapToGrid w:val="0"/>
                <w:color w:val="000000"/>
                <w:spacing w:val="-16"/>
                <w:kern w:val="21"/>
                <w:szCs w:val="21"/>
              </w:rPr>
              <w:instrText xml:space="preserve"> = 5 \* GB3 \* MERGEFORMAT </w:instrText>
            </w:r>
            <w:r>
              <w:rPr>
                <w:rFonts w:ascii="Times New Roman" w:eastAsia="黑体"/>
                <w:snapToGrid w:val="0"/>
                <w:color w:val="000000"/>
                <w:spacing w:val="-16"/>
                <w:kern w:val="21"/>
                <w:szCs w:val="21"/>
              </w:rPr>
              <w:fldChar w:fldCharType="separate"/>
            </w:r>
            <w:r>
              <w:rPr>
                <w:rFonts w:ascii="Cambria Math" w:hAnsi="Cambria Math" w:cs="Cambria Math"/>
                <w:color w:val="000000"/>
                <w:kern w:val="2"/>
                <w:szCs w:val="21"/>
              </w:rPr>
              <w:t>⑤</w:t>
            </w:r>
            <w:r>
              <w:rPr>
                <w:rFonts w:ascii="Times New Roman" w:eastAsia="黑体"/>
                <w:snapToGrid w:val="0"/>
                <w:color w:val="000000"/>
                <w:spacing w:val="-16"/>
                <w:kern w:val="21"/>
                <w:szCs w:val="21"/>
              </w:rPr>
              <w:fldChar w:fldCharType="end"/>
            </w:r>
          </w:p>
        </w:tc>
        <w:tc>
          <w:tcPr>
            <w:tcW w:w="1516" w:type="dxa"/>
            <w:shd w:val="clear" w:color="auto" w:fill="auto"/>
            <w:noWrap w:val="0"/>
            <w:tcMar>
              <w:top w:w="0" w:type="dxa"/>
              <w:left w:w="28" w:type="dxa"/>
              <w:bottom w:w="0" w:type="dxa"/>
              <w:right w:w="28" w:type="dxa"/>
            </w:tcMar>
            <w:vAlign w:val="center"/>
          </w:tcPr>
          <w:p w14:paraId="1C461BD0">
            <w:pPr>
              <w:pStyle w:val="88"/>
              <w:spacing w:beforeLines="0" w:afterLines="0" w:line="240" w:lineRule="auto"/>
              <w:rPr>
                <w:rFonts w:ascii="Times New Roman" w:eastAsia="黑体"/>
                <w:snapToGrid w:val="0"/>
                <w:color w:val="000000"/>
                <w:spacing w:val="-16"/>
                <w:kern w:val="21"/>
                <w:szCs w:val="21"/>
              </w:rPr>
            </w:pPr>
            <w:r>
              <w:rPr>
                <w:rFonts w:ascii="Times New Roman" w:eastAsia="黑体"/>
                <w:snapToGrid w:val="0"/>
                <w:color w:val="000000"/>
                <w:spacing w:val="-16"/>
                <w:kern w:val="21"/>
                <w:szCs w:val="21"/>
              </w:rPr>
              <w:t>本项目建成后</w:t>
            </w:r>
          </w:p>
          <w:p w14:paraId="23836461">
            <w:pPr>
              <w:pStyle w:val="88"/>
              <w:spacing w:beforeLines="0" w:afterLines="0" w:line="240" w:lineRule="auto"/>
              <w:rPr>
                <w:rFonts w:ascii="Times New Roman"/>
                <w:snapToGrid w:val="0"/>
                <w:color w:val="000000"/>
                <w:spacing w:val="-16"/>
                <w:kern w:val="21"/>
                <w:sz w:val="21"/>
                <w:szCs w:val="21"/>
                <w:highlight w:val="none"/>
              </w:rPr>
            </w:pPr>
            <w:r>
              <w:rPr>
                <w:rFonts w:ascii="Times New Roman" w:eastAsia="黑体"/>
                <w:snapToGrid w:val="0"/>
                <w:color w:val="000000"/>
                <w:spacing w:val="-16"/>
                <w:kern w:val="21"/>
                <w:szCs w:val="21"/>
              </w:rPr>
              <w:t>全厂排放量（固体废物产生量）</w:t>
            </w:r>
            <w:r>
              <w:rPr>
                <w:rFonts w:ascii="Times New Roman" w:eastAsia="黑体"/>
                <w:snapToGrid w:val="0"/>
                <w:color w:val="000000"/>
                <w:spacing w:val="-16"/>
                <w:kern w:val="21"/>
                <w:szCs w:val="21"/>
              </w:rPr>
              <w:fldChar w:fldCharType="begin"/>
            </w:r>
            <w:r>
              <w:rPr>
                <w:rFonts w:ascii="Times New Roman" w:eastAsia="黑体"/>
                <w:snapToGrid w:val="0"/>
                <w:color w:val="000000"/>
                <w:spacing w:val="-16"/>
                <w:kern w:val="21"/>
                <w:szCs w:val="21"/>
              </w:rPr>
              <w:instrText xml:space="preserve"> = 6 \* GB3 \* MERGEFORMAT </w:instrText>
            </w:r>
            <w:r>
              <w:rPr>
                <w:rFonts w:ascii="Times New Roman" w:eastAsia="黑体"/>
                <w:snapToGrid w:val="0"/>
                <w:color w:val="000000"/>
                <w:spacing w:val="-16"/>
                <w:kern w:val="21"/>
                <w:szCs w:val="21"/>
              </w:rPr>
              <w:fldChar w:fldCharType="separate"/>
            </w:r>
            <w:r>
              <w:rPr>
                <w:rFonts w:ascii="Cambria Math" w:hAnsi="Cambria Math" w:cs="Cambria Math"/>
                <w:color w:val="000000"/>
                <w:kern w:val="2"/>
                <w:szCs w:val="21"/>
              </w:rPr>
              <w:t>⑥</w:t>
            </w:r>
            <w:r>
              <w:rPr>
                <w:rFonts w:ascii="Times New Roman" w:eastAsia="黑体"/>
                <w:snapToGrid w:val="0"/>
                <w:color w:val="000000"/>
                <w:spacing w:val="-16"/>
                <w:kern w:val="21"/>
                <w:szCs w:val="21"/>
              </w:rPr>
              <w:fldChar w:fldCharType="end"/>
            </w:r>
          </w:p>
        </w:tc>
        <w:tc>
          <w:tcPr>
            <w:tcW w:w="1146" w:type="dxa"/>
            <w:shd w:val="clear" w:color="auto" w:fill="auto"/>
            <w:noWrap w:val="0"/>
            <w:tcMar>
              <w:top w:w="0" w:type="dxa"/>
              <w:left w:w="28" w:type="dxa"/>
              <w:bottom w:w="0" w:type="dxa"/>
              <w:right w:w="28" w:type="dxa"/>
            </w:tcMar>
            <w:vAlign w:val="center"/>
          </w:tcPr>
          <w:p w14:paraId="6CE5385D">
            <w:pPr>
              <w:pStyle w:val="88"/>
              <w:spacing w:beforeLines="0" w:afterLines="0" w:line="240" w:lineRule="auto"/>
              <w:rPr>
                <w:rFonts w:ascii="Times New Roman" w:eastAsia="黑体"/>
                <w:snapToGrid w:val="0"/>
                <w:color w:val="000000"/>
                <w:spacing w:val="-6"/>
                <w:kern w:val="21"/>
                <w:szCs w:val="21"/>
              </w:rPr>
            </w:pPr>
            <w:r>
              <w:rPr>
                <w:rFonts w:ascii="Times New Roman" w:eastAsia="黑体"/>
                <w:snapToGrid w:val="0"/>
                <w:color w:val="000000"/>
                <w:spacing w:val="-6"/>
                <w:kern w:val="21"/>
                <w:szCs w:val="21"/>
              </w:rPr>
              <w:t>变化量</w:t>
            </w:r>
          </w:p>
          <w:p w14:paraId="75918EEB">
            <w:pPr>
              <w:pStyle w:val="88"/>
              <w:spacing w:beforeLines="0" w:afterLines="0" w:line="240" w:lineRule="auto"/>
              <w:rPr>
                <w:rFonts w:ascii="Times New Roman"/>
                <w:snapToGrid w:val="0"/>
                <w:color w:val="000000"/>
                <w:spacing w:val="-6"/>
                <w:kern w:val="21"/>
                <w:sz w:val="21"/>
                <w:szCs w:val="21"/>
                <w:highlight w:val="none"/>
              </w:rPr>
            </w:pPr>
            <w:r>
              <w:rPr>
                <w:rFonts w:ascii="Times New Roman" w:eastAsia="黑体"/>
                <w:snapToGrid w:val="0"/>
                <w:color w:val="000000"/>
                <w:spacing w:val="-6"/>
                <w:kern w:val="21"/>
                <w:szCs w:val="21"/>
              </w:rPr>
              <w:fldChar w:fldCharType="begin"/>
            </w:r>
            <w:r>
              <w:rPr>
                <w:rFonts w:ascii="Times New Roman" w:eastAsia="黑体"/>
                <w:snapToGrid w:val="0"/>
                <w:color w:val="000000"/>
                <w:spacing w:val="-6"/>
                <w:kern w:val="21"/>
                <w:szCs w:val="21"/>
              </w:rPr>
              <w:instrText xml:space="preserve"> = 7 \* GB3 \* MERGEFORMAT </w:instrText>
            </w:r>
            <w:r>
              <w:rPr>
                <w:rFonts w:ascii="Times New Roman" w:eastAsia="黑体"/>
                <w:snapToGrid w:val="0"/>
                <w:color w:val="000000"/>
                <w:spacing w:val="-6"/>
                <w:kern w:val="21"/>
                <w:szCs w:val="21"/>
              </w:rPr>
              <w:fldChar w:fldCharType="separate"/>
            </w:r>
            <w:r>
              <w:rPr>
                <w:rFonts w:ascii="Cambria Math" w:hAnsi="Cambria Math" w:cs="Cambria Math"/>
                <w:color w:val="000000"/>
                <w:kern w:val="2"/>
                <w:szCs w:val="21"/>
              </w:rPr>
              <w:t>⑦</w:t>
            </w:r>
            <w:r>
              <w:rPr>
                <w:rFonts w:ascii="Times New Roman" w:eastAsia="黑体"/>
                <w:snapToGrid w:val="0"/>
                <w:color w:val="000000"/>
                <w:spacing w:val="-6"/>
                <w:kern w:val="21"/>
                <w:szCs w:val="21"/>
              </w:rPr>
              <w:fldChar w:fldCharType="end"/>
            </w:r>
          </w:p>
        </w:tc>
      </w:tr>
      <w:tr w14:paraId="3B91A7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2" w:hRule="atLeast"/>
        </w:trPr>
        <w:tc>
          <w:tcPr>
            <w:tcW w:w="533" w:type="pct"/>
            <w:vMerge w:val="restart"/>
            <w:shd w:val="clear" w:color="auto" w:fill="auto"/>
            <w:noWrap w:val="0"/>
            <w:vAlign w:val="center"/>
          </w:tcPr>
          <w:p w14:paraId="4DF3CF76">
            <w:pPr>
              <w:pStyle w:val="88"/>
              <w:shd w:val="clear" w:color="auto" w:fill="auto"/>
              <w:spacing w:beforeLines="0" w:afterLines="0" w:line="240" w:lineRule="auto"/>
              <w:rPr>
                <w:rFonts w:ascii="Times New Roman"/>
                <w:snapToGrid w:val="0"/>
                <w:color w:val="000000"/>
                <w:kern w:val="21"/>
                <w:sz w:val="21"/>
                <w:szCs w:val="21"/>
                <w:highlight w:val="none"/>
              </w:rPr>
            </w:pPr>
            <w:r>
              <w:rPr>
                <w:rFonts w:ascii="Times New Roman"/>
                <w:snapToGrid w:val="0"/>
                <w:color w:val="000000"/>
                <w:kern w:val="21"/>
                <w:sz w:val="21"/>
                <w:szCs w:val="21"/>
                <w:highlight w:val="none"/>
              </w:rPr>
              <w:t>废气</w:t>
            </w:r>
          </w:p>
        </w:tc>
        <w:tc>
          <w:tcPr>
            <w:tcW w:w="1791" w:type="dxa"/>
            <w:shd w:val="clear" w:color="auto" w:fill="auto"/>
            <w:noWrap w:val="0"/>
            <w:vAlign w:val="center"/>
          </w:tcPr>
          <w:p w14:paraId="18F36BF7">
            <w:pPr>
              <w:pStyle w:val="88"/>
              <w:shd w:val="clear" w:color="auto" w:fill="auto"/>
              <w:spacing w:beforeLines="0" w:afterLines="0" w:line="240" w:lineRule="auto"/>
              <w:rPr>
                <w:rFonts w:hint="eastAsia" w:ascii="Times New Roman" w:eastAsia="宋体"/>
                <w:snapToGrid w:val="0"/>
                <w:color w:val="000000"/>
                <w:kern w:val="21"/>
                <w:sz w:val="21"/>
                <w:szCs w:val="21"/>
                <w:highlight w:val="none"/>
                <w:lang w:val="en-US" w:eastAsia="zh-CN"/>
              </w:rPr>
            </w:pPr>
            <w:r>
              <w:rPr>
                <w:rFonts w:hint="eastAsia" w:ascii="Times New Roman"/>
                <w:snapToGrid w:val="0"/>
                <w:color w:val="000000"/>
                <w:kern w:val="21"/>
                <w:sz w:val="21"/>
                <w:szCs w:val="21"/>
                <w:highlight w:val="none"/>
                <w:lang w:val="en-US" w:eastAsia="zh-CN"/>
              </w:rPr>
              <w:t>颗粒物</w:t>
            </w:r>
          </w:p>
        </w:tc>
        <w:tc>
          <w:tcPr>
            <w:tcW w:w="1541" w:type="dxa"/>
            <w:shd w:val="clear" w:color="auto" w:fill="auto"/>
            <w:noWrap w:val="0"/>
            <w:vAlign w:val="center"/>
          </w:tcPr>
          <w:p w14:paraId="5A5B67DD">
            <w:pPr>
              <w:pStyle w:val="88"/>
              <w:shd w:val="clear" w:color="auto" w:fill="auto"/>
              <w:spacing w:beforeLines="0" w:afterLines="0" w:line="240" w:lineRule="auto"/>
              <w:rPr>
                <w:rFonts w:hint="default"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1311" w:type="dxa"/>
            <w:shd w:val="clear" w:color="auto" w:fill="auto"/>
            <w:noWrap w:val="0"/>
            <w:vAlign w:val="center"/>
          </w:tcPr>
          <w:p w14:paraId="1E036ADA">
            <w:pPr>
              <w:pStyle w:val="88"/>
              <w:shd w:val="clear" w:color="auto" w:fill="auto"/>
              <w:spacing w:beforeLines="0" w:afterLines="0" w:line="240" w:lineRule="auto"/>
              <w:rPr>
                <w:rFonts w:ascii="Times New Roman"/>
                <w:snapToGrid w:val="0"/>
                <w:color w:val="000000"/>
                <w:kern w:val="21"/>
                <w:sz w:val="21"/>
                <w:szCs w:val="21"/>
                <w:highlight w:val="none"/>
              </w:rPr>
            </w:pPr>
            <w:r>
              <w:rPr>
                <w:rFonts w:ascii="Times New Roman"/>
                <w:snapToGrid w:val="0"/>
                <w:color w:val="000000"/>
                <w:kern w:val="21"/>
                <w:sz w:val="21"/>
                <w:szCs w:val="21"/>
                <w:highlight w:val="none"/>
              </w:rPr>
              <w:t>/</w:t>
            </w:r>
          </w:p>
        </w:tc>
        <w:tc>
          <w:tcPr>
            <w:tcW w:w="1748" w:type="dxa"/>
            <w:shd w:val="clear" w:color="auto" w:fill="auto"/>
            <w:noWrap w:val="0"/>
            <w:vAlign w:val="center"/>
          </w:tcPr>
          <w:p w14:paraId="7CDEFD93">
            <w:pPr>
              <w:pStyle w:val="88"/>
              <w:shd w:val="clear" w:color="auto" w:fill="auto"/>
              <w:spacing w:beforeLines="0" w:afterLines="0" w:line="240" w:lineRule="auto"/>
              <w:rPr>
                <w:rFonts w:ascii="Times New Roman"/>
                <w:snapToGrid w:val="0"/>
                <w:color w:val="000000"/>
                <w:kern w:val="21"/>
                <w:sz w:val="21"/>
                <w:szCs w:val="21"/>
                <w:highlight w:val="none"/>
              </w:rPr>
            </w:pPr>
            <w:r>
              <w:rPr>
                <w:rFonts w:ascii="Times New Roman"/>
                <w:snapToGrid w:val="0"/>
                <w:color w:val="000000"/>
                <w:kern w:val="21"/>
                <w:sz w:val="21"/>
                <w:szCs w:val="21"/>
                <w:highlight w:val="none"/>
              </w:rPr>
              <w:t>/</w:t>
            </w:r>
          </w:p>
        </w:tc>
        <w:tc>
          <w:tcPr>
            <w:tcW w:w="1604" w:type="dxa"/>
            <w:shd w:val="clear" w:color="auto" w:fill="auto"/>
            <w:noWrap w:val="0"/>
            <w:vAlign w:val="center"/>
          </w:tcPr>
          <w:p w14:paraId="3F972C38">
            <w:pPr>
              <w:pStyle w:val="88"/>
              <w:shd w:val="clear" w:color="auto" w:fill="auto"/>
              <w:tabs>
                <w:tab w:val="left" w:pos="264"/>
                <w:tab w:val="center" w:pos="670"/>
              </w:tabs>
              <w:spacing w:beforeLines="0" w:afterLines="0" w:line="240" w:lineRule="auto"/>
              <w:jc w:val="center"/>
              <w:rPr>
                <w:rFonts w:hint="default" w:ascii="Times New Roman" w:hAnsi="Times New Roman" w:eastAsia="宋体" w:cs="Times New Roman"/>
                <w:snapToGrid w:val="0"/>
                <w:color w:val="000000"/>
                <w:kern w:val="21"/>
                <w:sz w:val="21"/>
                <w:szCs w:val="21"/>
                <w:highlight w:val="none"/>
                <w:lang w:val="en-US" w:eastAsia="zh-CN" w:bidi="ar-SA"/>
              </w:rPr>
            </w:pPr>
            <w:r>
              <w:rPr>
                <w:rFonts w:hint="eastAsia" w:ascii="Times New Roman" w:eastAsia="宋体"/>
                <w:snapToGrid w:val="0"/>
                <w:color w:val="000000"/>
                <w:kern w:val="21"/>
                <w:sz w:val="21"/>
                <w:szCs w:val="21"/>
                <w:highlight w:val="none"/>
                <w:lang w:val="en-US" w:eastAsia="zh-CN"/>
              </w:rPr>
              <w:t>0.5178</w:t>
            </w:r>
          </w:p>
        </w:tc>
        <w:tc>
          <w:tcPr>
            <w:tcW w:w="1567" w:type="dxa"/>
            <w:shd w:val="clear" w:color="auto" w:fill="auto"/>
            <w:noWrap w:val="0"/>
            <w:vAlign w:val="center"/>
          </w:tcPr>
          <w:p w14:paraId="799941C1">
            <w:pPr>
              <w:pStyle w:val="88"/>
              <w:shd w:val="clear" w:color="auto" w:fill="auto"/>
              <w:spacing w:beforeLines="0" w:afterLines="0" w:line="240" w:lineRule="auto"/>
              <w:rPr>
                <w:rFonts w:hint="default"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1771" w:type="dxa"/>
            <w:shd w:val="clear" w:color="auto" w:fill="auto"/>
            <w:noWrap w:val="0"/>
            <w:vAlign w:val="center"/>
          </w:tcPr>
          <w:p w14:paraId="0A6CC128">
            <w:pPr>
              <w:pStyle w:val="88"/>
              <w:shd w:val="clear" w:color="auto" w:fill="auto"/>
              <w:tabs>
                <w:tab w:val="left" w:pos="264"/>
                <w:tab w:val="center" w:pos="670"/>
              </w:tabs>
              <w:spacing w:beforeLines="0" w:afterLines="0" w:line="240" w:lineRule="auto"/>
              <w:jc w:val="center"/>
              <w:rPr>
                <w:rFonts w:hint="default" w:ascii="Times New Roman"/>
                <w:snapToGrid w:val="0"/>
                <w:color w:val="000000"/>
                <w:kern w:val="21"/>
                <w:sz w:val="21"/>
                <w:szCs w:val="21"/>
                <w:highlight w:val="yellow"/>
                <w:lang w:val="en-US" w:eastAsia="zh-CN" w:bidi="ar-SA"/>
              </w:rPr>
            </w:pPr>
            <w:r>
              <w:rPr>
                <w:rFonts w:hint="eastAsia" w:ascii="Times New Roman" w:eastAsia="宋体"/>
                <w:snapToGrid w:val="0"/>
                <w:color w:val="000000"/>
                <w:kern w:val="21"/>
                <w:sz w:val="21"/>
                <w:szCs w:val="21"/>
                <w:highlight w:val="none"/>
                <w:lang w:val="en-US" w:eastAsia="zh-CN"/>
              </w:rPr>
              <w:t>0.5178</w:t>
            </w:r>
          </w:p>
        </w:tc>
        <w:tc>
          <w:tcPr>
            <w:tcW w:w="1337" w:type="dxa"/>
            <w:shd w:val="clear" w:color="auto" w:fill="auto"/>
            <w:noWrap w:val="0"/>
            <w:vAlign w:val="center"/>
          </w:tcPr>
          <w:p w14:paraId="3A79DA2A">
            <w:pPr>
              <w:pStyle w:val="88"/>
              <w:shd w:val="clear" w:color="auto" w:fill="auto"/>
              <w:tabs>
                <w:tab w:val="left" w:pos="264"/>
                <w:tab w:val="center" w:pos="670"/>
              </w:tabs>
              <w:spacing w:beforeLines="0" w:afterLines="0" w:line="240" w:lineRule="auto"/>
              <w:jc w:val="center"/>
              <w:rPr>
                <w:rFonts w:hint="default" w:ascii="Times New Roman" w:eastAsia="宋体"/>
                <w:snapToGrid w:val="0"/>
                <w:color w:val="000000"/>
                <w:kern w:val="21"/>
                <w:sz w:val="21"/>
                <w:szCs w:val="21"/>
                <w:highlight w:val="yellow"/>
                <w:lang w:val="en-US" w:eastAsia="zh-CN" w:bidi="ar-SA"/>
              </w:rPr>
            </w:pPr>
            <w:r>
              <w:rPr>
                <w:rFonts w:hint="eastAsia" w:ascii="Times New Roman" w:eastAsia="宋体"/>
                <w:snapToGrid w:val="0"/>
                <w:color w:val="000000"/>
                <w:kern w:val="21"/>
                <w:sz w:val="21"/>
                <w:szCs w:val="21"/>
                <w:highlight w:val="none"/>
                <w:lang w:val="en-US" w:eastAsia="zh-CN"/>
              </w:rPr>
              <w:t>+0.5178</w:t>
            </w:r>
          </w:p>
        </w:tc>
      </w:tr>
      <w:tr w14:paraId="42C46E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33" w:type="pct"/>
            <w:vMerge w:val="continue"/>
            <w:shd w:val="clear" w:color="auto" w:fill="auto"/>
            <w:noWrap w:val="0"/>
            <w:vAlign w:val="center"/>
          </w:tcPr>
          <w:p w14:paraId="72ABFD73">
            <w:pPr>
              <w:pStyle w:val="88"/>
              <w:shd w:val="clear" w:color="auto" w:fill="auto"/>
              <w:spacing w:beforeLines="0" w:afterLines="0" w:line="240" w:lineRule="auto"/>
              <w:rPr>
                <w:rFonts w:ascii="Times New Roman"/>
                <w:snapToGrid w:val="0"/>
                <w:color w:val="000000"/>
                <w:kern w:val="21"/>
                <w:sz w:val="21"/>
                <w:szCs w:val="21"/>
                <w:highlight w:val="none"/>
              </w:rPr>
            </w:pPr>
          </w:p>
        </w:tc>
        <w:tc>
          <w:tcPr>
            <w:tcW w:w="1791" w:type="dxa"/>
            <w:shd w:val="clear" w:color="auto" w:fill="auto"/>
            <w:noWrap w:val="0"/>
            <w:vAlign w:val="center"/>
          </w:tcPr>
          <w:p w14:paraId="34DC47F4">
            <w:pPr>
              <w:pStyle w:val="88"/>
              <w:shd w:val="clear" w:color="auto" w:fill="auto"/>
              <w:spacing w:beforeLines="0" w:afterLines="0" w:line="240" w:lineRule="auto"/>
              <w:rPr>
                <w:rFonts w:hint="default" w:ascii="Times New Roman"/>
                <w:snapToGrid w:val="0"/>
                <w:color w:val="000000"/>
                <w:kern w:val="21"/>
                <w:sz w:val="21"/>
                <w:szCs w:val="21"/>
                <w:highlight w:val="none"/>
                <w:lang w:val="en-US" w:eastAsia="zh-CN"/>
              </w:rPr>
            </w:pPr>
            <w:r>
              <w:rPr>
                <w:rFonts w:hint="eastAsia" w:ascii="Times New Roman"/>
                <w:snapToGrid w:val="0"/>
                <w:color w:val="000000"/>
                <w:kern w:val="21"/>
                <w:sz w:val="21"/>
                <w:szCs w:val="21"/>
                <w:highlight w:val="none"/>
                <w:lang w:val="en-US" w:eastAsia="zh-CN"/>
              </w:rPr>
              <w:t>二氧化硫</w:t>
            </w:r>
          </w:p>
        </w:tc>
        <w:tc>
          <w:tcPr>
            <w:tcW w:w="1541" w:type="dxa"/>
            <w:shd w:val="clear" w:color="auto" w:fill="auto"/>
            <w:noWrap w:val="0"/>
            <w:vAlign w:val="center"/>
          </w:tcPr>
          <w:p w14:paraId="1B7FB656">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1311" w:type="dxa"/>
            <w:shd w:val="clear" w:color="auto" w:fill="auto"/>
            <w:noWrap w:val="0"/>
            <w:vAlign w:val="center"/>
          </w:tcPr>
          <w:p w14:paraId="67841F33">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1748" w:type="dxa"/>
            <w:shd w:val="clear" w:color="auto" w:fill="auto"/>
            <w:noWrap w:val="0"/>
            <w:vAlign w:val="center"/>
          </w:tcPr>
          <w:p w14:paraId="383DA438">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1604" w:type="dxa"/>
            <w:shd w:val="clear" w:color="auto" w:fill="auto"/>
            <w:noWrap w:val="0"/>
            <w:vAlign w:val="center"/>
          </w:tcPr>
          <w:p w14:paraId="04F815AB">
            <w:pPr>
              <w:pStyle w:val="88"/>
              <w:shd w:val="clear" w:color="auto" w:fill="auto"/>
              <w:tabs>
                <w:tab w:val="left" w:pos="264"/>
                <w:tab w:val="center" w:pos="670"/>
              </w:tabs>
              <w:spacing w:beforeLines="0" w:afterLines="0" w:line="240" w:lineRule="auto"/>
              <w:jc w:val="center"/>
              <w:rPr>
                <w:rFonts w:hint="default" w:ascii="Times New Roman" w:hAnsi="Times New Roman" w:eastAsia="宋体" w:cs="Times New Roman"/>
                <w:snapToGrid w:val="0"/>
                <w:color w:val="000000"/>
                <w:kern w:val="21"/>
                <w:sz w:val="21"/>
                <w:szCs w:val="21"/>
                <w:highlight w:val="none"/>
                <w:lang w:val="en-US" w:eastAsia="zh-CN" w:bidi="ar-SA"/>
              </w:rPr>
            </w:pPr>
            <w:r>
              <w:rPr>
                <w:rFonts w:hint="eastAsia" w:ascii="Times New Roman" w:hAnsi="Times New Roman" w:eastAsia="宋体" w:cs="Times New Roman"/>
                <w:color w:val="000000"/>
                <w:highlight w:val="none"/>
                <w:lang w:val="en-US" w:eastAsia="zh-CN"/>
              </w:rPr>
              <w:t>0.0134</w:t>
            </w:r>
          </w:p>
        </w:tc>
        <w:tc>
          <w:tcPr>
            <w:tcW w:w="1567" w:type="dxa"/>
            <w:shd w:val="clear" w:color="auto" w:fill="auto"/>
            <w:noWrap w:val="0"/>
            <w:vAlign w:val="center"/>
          </w:tcPr>
          <w:p w14:paraId="173D01CD">
            <w:pPr>
              <w:pStyle w:val="88"/>
              <w:shd w:val="clear" w:color="auto" w:fill="auto"/>
              <w:spacing w:beforeLines="0" w:afterLines="0" w:line="240" w:lineRule="auto"/>
              <w:rPr>
                <w:rFonts w:hint="default"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1771" w:type="dxa"/>
            <w:shd w:val="clear" w:color="auto" w:fill="auto"/>
            <w:noWrap w:val="0"/>
            <w:vAlign w:val="center"/>
          </w:tcPr>
          <w:p w14:paraId="1B242EFE">
            <w:pPr>
              <w:pStyle w:val="88"/>
              <w:shd w:val="clear" w:color="auto" w:fill="auto"/>
              <w:tabs>
                <w:tab w:val="left" w:pos="264"/>
                <w:tab w:val="center" w:pos="670"/>
              </w:tabs>
              <w:spacing w:beforeLines="0" w:afterLines="0" w:line="240" w:lineRule="auto"/>
              <w:jc w:val="center"/>
              <w:rPr>
                <w:rFonts w:hint="default" w:ascii="Times New Roman" w:eastAsia="宋体"/>
                <w:snapToGrid w:val="0"/>
                <w:color w:val="000000"/>
                <w:kern w:val="21"/>
                <w:sz w:val="21"/>
                <w:szCs w:val="21"/>
                <w:highlight w:val="yellow"/>
                <w:lang w:val="en-US" w:eastAsia="zh-CN"/>
              </w:rPr>
            </w:pPr>
            <w:r>
              <w:rPr>
                <w:rFonts w:hint="eastAsia" w:ascii="Times New Roman" w:hAnsi="Times New Roman" w:eastAsia="宋体" w:cs="Times New Roman"/>
                <w:color w:val="000000"/>
                <w:highlight w:val="none"/>
                <w:lang w:val="en-US" w:eastAsia="zh-CN"/>
              </w:rPr>
              <w:t>0.0134</w:t>
            </w:r>
          </w:p>
        </w:tc>
        <w:tc>
          <w:tcPr>
            <w:tcW w:w="1337" w:type="dxa"/>
            <w:shd w:val="clear" w:color="auto" w:fill="auto"/>
            <w:noWrap w:val="0"/>
            <w:vAlign w:val="center"/>
          </w:tcPr>
          <w:p w14:paraId="74FCB3E0">
            <w:pPr>
              <w:pStyle w:val="88"/>
              <w:shd w:val="clear" w:color="auto" w:fill="auto"/>
              <w:tabs>
                <w:tab w:val="left" w:pos="264"/>
                <w:tab w:val="center" w:pos="670"/>
              </w:tabs>
              <w:spacing w:beforeLines="0" w:afterLines="0" w:line="240" w:lineRule="auto"/>
              <w:jc w:val="center"/>
              <w:rPr>
                <w:rFonts w:hint="default" w:ascii="Times New Roman" w:eastAsia="宋体"/>
                <w:snapToGrid w:val="0"/>
                <w:color w:val="000000"/>
                <w:kern w:val="21"/>
                <w:sz w:val="21"/>
                <w:szCs w:val="21"/>
                <w:highlight w:val="yellow"/>
                <w:lang w:val="en-US" w:eastAsia="zh-CN" w:bidi="ar-SA"/>
              </w:rPr>
            </w:pPr>
            <w:r>
              <w:rPr>
                <w:rFonts w:hint="eastAsia" w:ascii="Times New Roman" w:hAnsi="Times New Roman" w:eastAsia="宋体" w:cs="Times New Roman"/>
                <w:color w:val="000000"/>
                <w:highlight w:val="none"/>
                <w:lang w:val="en-US" w:eastAsia="zh-CN"/>
              </w:rPr>
              <w:t>+0.0134</w:t>
            </w:r>
          </w:p>
        </w:tc>
      </w:tr>
      <w:tr w14:paraId="75DBE2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33" w:type="pct"/>
            <w:vMerge w:val="continue"/>
            <w:shd w:val="clear" w:color="auto" w:fill="auto"/>
            <w:noWrap w:val="0"/>
            <w:vAlign w:val="center"/>
          </w:tcPr>
          <w:p w14:paraId="310D4BEE">
            <w:pPr>
              <w:pStyle w:val="88"/>
              <w:shd w:val="clear" w:color="auto" w:fill="auto"/>
              <w:spacing w:beforeLines="0" w:afterLines="0" w:line="240" w:lineRule="auto"/>
              <w:rPr>
                <w:rFonts w:ascii="Times New Roman"/>
                <w:snapToGrid w:val="0"/>
                <w:color w:val="000000"/>
                <w:kern w:val="21"/>
                <w:sz w:val="21"/>
                <w:szCs w:val="21"/>
                <w:highlight w:val="none"/>
              </w:rPr>
            </w:pPr>
          </w:p>
        </w:tc>
        <w:tc>
          <w:tcPr>
            <w:tcW w:w="1791" w:type="dxa"/>
            <w:shd w:val="clear" w:color="auto" w:fill="auto"/>
            <w:noWrap w:val="0"/>
            <w:vAlign w:val="center"/>
          </w:tcPr>
          <w:p w14:paraId="0473F336">
            <w:pPr>
              <w:pStyle w:val="88"/>
              <w:shd w:val="clear" w:color="auto" w:fill="auto"/>
              <w:spacing w:beforeLines="0" w:afterLines="0" w:line="240" w:lineRule="auto"/>
              <w:rPr>
                <w:rFonts w:hint="default" w:ascii="Times New Roman"/>
                <w:snapToGrid w:val="0"/>
                <w:color w:val="000000"/>
                <w:kern w:val="21"/>
                <w:sz w:val="21"/>
                <w:szCs w:val="21"/>
                <w:highlight w:val="none"/>
                <w:lang w:val="en-US" w:eastAsia="zh-CN"/>
              </w:rPr>
            </w:pPr>
            <w:r>
              <w:rPr>
                <w:rFonts w:hint="eastAsia" w:ascii="Times New Roman"/>
                <w:snapToGrid w:val="0"/>
                <w:color w:val="000000"/>
                <w:kern w:val="21"/>
                <w:sz w:val="21"/>
                <w:szCs w:val="21"/>
                <w:highlight w:val="none"/>
                <w:lang w:val="en-US" w:eastAsia="zh-CN"/>
              </w:rPr>
              <w:t>氮氧化物</w:t>
            </w:r>
          </w:p>
        </w:tc>
        <w:tc>
          <w:tcPr>
            <w:tcW w:w="1541" w:type="dxa"/>
            <w:shd w:val="clear" w:color="auto" w:fill="auto"/>
            <w:noWrap w:val="0"/>
            <w:vAlign w:val="center"/>
          </w:tcPr>
          <w:p w14:paraId="0E7BB8B5">
            <w:pPr>
              <w:pStyle w:val="88"/>
              <w:shd w:val="clear" w:color="auto" w:fill="auto"/>
              <w:spacing w:beforeLines="0" w:afterLines="0" w:line="240" w:lineRule="auto"/>
              <w:rPr>
                <w:rFonts w:hint="default"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1311" w:type="dxa"/>
            <w:shd w:val="clear" w:color="auto" w:fill="auto"/>
            <w:noWrap w:val="0"/>
            <w:vAlign w:val="center"/>
          </w:tcPr>
          <w:p w14:paraId="5563AADE">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1748" w:type="dxa"/>
            <w:shd w:val="clear" w:color="auto" w:fill="auto"/>
            <w:noWrap w:val="0"/>
            <w:vAlign w:val="center"/>
          </w:tcPr>
          <w:p w14:paraId="4D57ED4E">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1604" w:type="dxa"/>
            <w:shd w:val="clear" w:color="auto" w:fill="auto"/>
            <w:noWrap w:val="0"/>
            <w:vAlign w:val="center"/>
          </w:tcPr>
          <w:p w14:paraId="39C8316B">
            <w:pPr>
              <w:pStyle w:val="88"/>
              <w:shd w:val="clear" w:color="auto" w:fill="auto"/>
              <w:tabs>
                <w:tab w:val="left" w:pos="264"/>
                <w:tab w:val="center" w:pos="670"/>
              </w:tabs>
              <w:spacing w:beforeLines="0" w:afterLines="0" w:line="240" w:lineRule="auto"/>
              <w:jc w:val="center"/>
              <w:rPr>
                <w:rFonts w:hint="default" w:ascii="Times New Roman" w:hAnsi="Times New Roman" w:eastAsia="宋体" w:cs="Times New Roman"/>
                <w:snapToGrid w:val="0"/>
                <w:color w:val="000000"/>
                <w:kern w:val="21"/>
                <w:sz w:val="21"/>
                <w:szCs w:val="21"/>
                <w:highlight w:val="none"/>
                <w:lang w:val="en-US" w:eastAsia="zh-CN" w:bidi="ar-SA"/>
              </w:rPr>
            </w:pPr>
            <w:r>
              <w:rPr>
                <w:rFonts w:hint="eastAsia" w:ascii="Times New Roman" w:hAnsi="Times New Roman" w:cs="Times New Roman"/>
                <w:color w:val="000000"/>
                <w:highlight w:val="none"/>
                <w:lang w:val="en-US" w:eastAsia="zh-CN"/>
              </w:rPr>
              <w:t>0.012</w:t>
            </w:r>
          </w:p>
        </w:tc>
        <w:tc>
          <w:tcPr>
            <w:tcW w:w="1567" w:type="dxa"/>
            <w:shd w:val="clear" w:color="auto" w:fill="auto"/>
            <w:noWrap w:val="0"/>
            <w:vAlign w:val="center"/>
          </w:tcPr>
          <w:p w14:paraId="1B435A20">
            <w:pPr>
              <w:shd w:val="clear" w:color="auto" w:fill="auto"/>
              <w:bidi w:val="0"/>
              <w:jc w:val="center"/>
              <w:rPr>
                <w:rFonts w:hint="default"/>
                <w:color w:val="000000"/>
                <w:kern w:val="2"/>
                <w:sz w:val="21"/>
                <w:szCs w:val="21"/>
                <w:highlight w:val="none"/>
                <w:lang w:val="en-US" w:eastAsia="zh-CN" w:bidi="ar-SA"/>
              </w:rPr>
            </w:pPr>
            <w:r>
              <w:rPr>
                <w:color w:val="000000"/>
                <w:highlight w:val="none"/>
              </w:rPr>
              <w:t>/</w:t>
            </w:r>
          </w:p>
        </w:tc>
        <w:tc>
          <w:tcPr>
            <w:tcW w:w="1771" w:type="dxa"/>
            <w:shd w:val="clear" w:color="auto" w:fill="auto"/>
            <w:noWrap w:val="0"/>
            <w:vAlign w:val="center"/>
          </w:tcPr>
          <w:p w14:paraId="45335BC6">
            <w:pPr>
              <w:pStyle w:val="88"/>
              <w:shd w:val="clear" w:color="auto" w:fill="auto"/>
              <w:tabs>
                <w:tab w:val="left" w:pos="264"/>
                <w:tab w:val="center" w:pos="670"/>
              </w:tabs>
              <w:spacing w:beforeLines="0" w:afterLines="0" w:line="240" w:lineRule="auto"/>
              <w:jc w:val="center"/>
              <w:rPr>
                <w:rFonts w:hint="eastAsia" w:ascii="Times New Roman" w:eastAsia="宋体"/>
                <w:snapToGrid w:val="0"/>
                <w:color w:val="000000"/>
                <w:kern w:val="21"/>
                <w:sz w:val="21"/>
                <w:szCs w:val="21"/>
                <w:highlight w:val="yellow"/>
                <w:lang w:val="en-US" w:eastAsia="zh-CN"/>
              </w:rPr>
            </w:pPr>
            <w:r>
              <w:rPr>
                <w:rFonts w:hint="eastAsia" w:ascii="Times New Roman" w:hAnsi="Times New Roman" w:cs="Times New Roman"/>
                <w:color w:val="000000"/>
                <w:highlight w:val="none"/>
                <w:lang w:val="en-US" w:eastAsia="zh-CN"/>
              </w:rPr>
              <w:t>0.012</w:t>
            </w:r>
          </w:p>
        </w:tc>
        <w:tc>
          <w:tcPr>
            <w:tcW w:w="1337" w:type="dxa"/>
            <w:shd w:val="clear" w:color="auto" w:fill="auto"/>
            <w:noWrap w:val="0"/>
            <w:vAlign w:val="center"/>
          </w:tcPr>
          <w:p w14:paraId="6555F4A3">
            <w:pPr>
              <w:pStyle w:val="88"/>
              <w:shd w:val="clear" w:color="auto" w:fill="auto"/>
              <w:tabs>
                <w:tab w:val="left" w:pos="264"/>
                <w:tab w:val="center" w:pos="670"/>
              </w:tabs>
              <w:spacing w:beforeLines="0" w:afterLines="0" w:line="240" w:lineRule="auto"/>
              <w:jc w:val="center"/>
              <w:rPr>
                <w:rFonts w:hint="default" w:ascii="Times New Roman" w:eastAsia="宋体"/>
                <w:snapToGrid w:val="0"/>
                <w:color w:val="000000"/>
                <w:kern w:val="21"/>
                <w:sz w:val="21"/>
                <w:szCs w:val="21"/>
                <w:highlight w:val="yellow"/>
                <w:lang w:val="en-US" w:eastAsia="zh-CN" w:bidi="ar-SA"/>
              </w:rPr>
            </w:pPr>
            <w:r>
              <w:rPr>
                <w:rFonts w:hint="eastAsia" w:ascii="Times New Roman" w:hAnsi="Times New Roman" w:cs="Times New Roman"/>
                <w:color w:val="000000"/>
                <w:highlight w:val="none"/>
                <w:lang w:val="en-US" w:eastAsia="zh-CN"/>
              </w:rPr>
              <w:t>+0.012</w:t>
            </w:r>
          </w:p>
        </w:tc>
      </w:tr>
      <w:tr w14:paraId="42D95D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33" w:type="pct"/>
            <w:vMerge w:val="continue"/>
            <w:shd w:val="clear" w:color="auto" w:fill="auto"/>
            <w:noWrap w:val="0"/>
            <w:vAlign w:val="center"/>
          </w:tcPr>
          <w:p w14:paraId="6BCAD5D4">
            <w:pPr>
              <w:pStyle w:val="88"/>
              <w:shd w:val="clear" w:color="auto" w:fill="auto"/>
              <w:spacing w:beforeLines="0" w:afterLines="0" w:line="240" w:lineRule="auto"/>
              <w:rPr>
                <w:rFonts w:ascii="Times New Roman"/>
                <w:snapToGrid w:val="0"/>
                <w:color w:val="000000"/>
                <w:kern w:val="21"/>
                <w:sz w:val="21"/>
                <w:szCs w:val="21"/>
                <w:highlight w:val="none"/>
              </w:rPr>
            </w:pPr>
          </w:p>
        </w:tc>
        <w:tc>
          <w:tcPr>
            <w:tcW w:w="631" w:type="pct"/>
            <w:shd w:val="clear" w:color="auto" w:fill="auto"/>
            <w:noWrap w:val="0"/>
            <w:vAlign w:val="center"/>
          </w:tcPr>
          <w:p w14:paraId="129D7D8A">
            <w:pPr>
              <w:pStyle w:val="88"/>
              <w:shd w:val="clear" w:color="auto" w:fill="auto"/>
              <w:spacing w:beforeLines="0" w:afterLines="0" w:line="240" w:lineRule="auto"/>
              <w:rPr>
                <w:rFonts w:hint="default" w:ascii="Times New Roman"/>
                <w:snapToGrid w:val="0"/>
                <w:color w:val="000000"/>
                <w:kern w:val="21"/>
                <w:sz w:val="21"/>
                <w:szCs w:val="21"/>
                <w:highlight w:val="none"/>
                <w:lang w:val="en-US" w:eastAsia="zh-CN"/>
              </w:rPr>
            </w:pPr>
            <w:r>
              <w:rPr>
                <w:rFonts w:hint="eastAsia" w:ascii="Times New Roman"/>
                <w:snapToGrid w:val="0"/>
                <w:color w:val="000000"/>
                <w:kern w:val="21"/>
                <w:sz w:val="21"/>
                <w:szCs w:val="21"/>
                <w:highlight w:val="none"/>
                <w:lang w:val="en-US" w:eastAsia="zh-CN"/>
              </w:rPr>
              <w:t>氨</w:t>
            </w:r>
          </w:p>
        </w:tc>
        <w:tc>
          <w:tcPr>
            <w:tcW w:w="543" w:type="pct"/>
            <w:shd w:val="clear" w:color="auto" w:fill="auto"/>
            <w:noWrap w:val="0"/>
            <w:vAlign w:val="center"/>
          </w:tcPr>
          <w:p w14:paraId="55D2C926">
            <w:pPr>
              <w:pStyle w:val="88"/>
              <w:shd w:val="clear" w:color="auto" w:fill="auto"/>
              <w:spacing w:beforeLines="0" w:afterLines="0" w:line="240" w:lineRule="auto"/>
              <w:rPr>
                <w:rFonts w:hint="default"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462" w:type="pct"/>
            <w:shd w:val="clear" w:color="auto" w:fill="auto"/>
            <w:noWrap w:val="0"/>
            <w:vAlign w:val="center"/>
          </w:tcPr>
          <w:p w14:paraId="6ADD26A0">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616" w:type="pct"/>
            <w:shd w:val="clear" w:color="auto" w:fill="auto"/>
            <w:noWrap w:val="0"/>
            <w:vAlign w:val="center"/>
          </w:tcPr>
          <w:p w14:paraId="0071A69C">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565" w:type="pct"/>
            <w:shd w:val="clear" w:color="auto" w:fill="auto"/>
            <w:noWrap w:val="0"/>
            <w:vAlign w:val="center"/>
          </w:tcPr>
          <w:p w14:paraId="06790236">
            <w:pPr>
              <w:pStyle w:val="88"/>
              <w:shd w:val="clear" w:color="auto" w:fill="auto"/>
              <w:tabs>
                <w:tab w:val="left" w:pos="264"/>
                <w:tab w:val="center" w:pos="670"/>
              </w:tabs>
              <w:spacing w:beforeLines="0" w:afterLines="0" w:line="240" w:lineRule="auto"/>
              <w:jc w:val="center"/>
              <w:rPr>
                <w:rFonts w:hint="default" w:ascii="Times New Roman" w:eastAsia="宋体"/>
                <w:snapToGrid w:val="0"/>
                <w:color w:val="000000"/>
                <w:kern w:val="21"/>
                <w:sz w:val="21"/>
                <w:szCs w:val="21"/>
                <w:highlight w:val="none"/>
                <w:lang w:val="en-US" w:eastAsia="zh-CN"/>
              </w:rPr>
            </w:pPr>
            <w:r>
              <w:rPr>
                <w:rFonts w:hint="eastAsia" w:ascii="Times New Roman" w:eastAsia="宋体"/>
                <w:snapToGrid w:val="0"/>
                <w:color w:val="000000"/>
                <w:kern w:val="21"/>
                <w:sz w:val="21"/>
                <w:szCs w:val="21"/>
                <w:highlight w:val="none"/>
                <w:lang w:val="en-US" w:eastAsia="zh-CN"/>
              </w:rPr>
              <w:t>0.0843</w:t>
            </w:r>
          </w:p>
        </w:tc>
        <w:tc>
          <w:tcPr>
            <w:tcW w:w="552" w:type="pct"/>
            <w:shd w:val="clear" w:color="auto" w:fill="auto"/>
            <w:noWrap w:val="0"/>
            <w:vAlign w:val="center"/>
          </w:tcPr>
          <w:p w14:paraId="647DDE25">
            <w:pPr>
              <w:shd w:val="clear" w:color="auto" w:fill="auto"/>
              <w:bidi w:val="0"/>
              <w:jc w:val="center"/>
              <w:rPr>
                <w:color w:val="000000"/>
                <w:kern w:val="2"/>
                <w:sz w:val="21"/>
                <w:szCs w:val="21"/>
                <w:highlight w:val="none"/>
                <w:lang w:val="en-US" w:eastAsia="zh-CN" w:bidi="ar-SA"/>
              </w:rPr>
            </w:pPr>
            <w:r>
              <w:rPr>
                <w:color w:val="000000"/>
                <w:highlight w:val="none"/>
              </w:rPr>
              <w:t>/</w:t>
            </w:r>
          </w:p>
        </w:tc>
        <w:tc>
          <w:tcPr>
            <w:tcW w:w="624" w:type="pct"/>
            <w:shd w:val="clear" w:color="auto" w:fill="auto"/>
            <w:noWrap w:val="0"/>
            <w:vAlign w:val="center"/>
          </w:tcPr>
          <w:p w14:paraId="1620DE4A">
            <w:pPr>
              <w:pStyle w:val="88"/>
              <w:shd w:val="clear" w:color="auto" w:fill="auto"/>
              <w:tabs>
                <w:tab w:val="left" w:pos="264"/>
                <w:tab w:val="center" w:pos="670"/>
              </w:tabs>
              <w:spacing w:beforeLines="0" w:afterLines="0" w:line="240" w:lineRule="auto"/>
              <w:jc w:val="center"/>
              <w:rPr>
                <w:rFonts w:hint="default" w:ascii="Times New Roman"/>
                <w:snapToGrid w:val="0"/>
                <w:color w:val="000000"/>
                <w:kern w:val="21"/>
                <w:sz w:val="21"/>
                <w:szCs w:val="21"/>
                <w:highlight w:val="none"/>
                <w:lang w:val="en-US" w:eastAsia="zh-CN" w:bidi="ar-SA"/>
              </w:rPr>
            </w:pPr>
            <w:r>
              <w:rPr>
                <w:rFonts w:hint="eastAsia" w:ascii="Times New Roman" w:eastAsia="宋体"/>
                <w:snapToGrid w:val="0"/>
                <w:color w:val="000000"/>
                <w:kern w:val="21"/>
                <w:sz w:val="21"/>
                <w:szCs w:val="21"/>
                <w:highlight w:val="none"/>
                <w:lang w:val="en-US" w:eastAsia="zh-CN"/>
              </w:rPr>
              <w:t>0.0843</w:t>
            </w:r>
          </w:p>
        </w:tc>
        <w:tc>
          <w:tcPr>
            <w:tcW w:w="471" w:type="pct"/>
            <w:shd w:val="clear" w:color="auto" w:fill="auto"/>
            <w:noWrap w:val="0"/>
            <w:vAlign w:val="center"/>
          </w:tcPr>
          <w:p w14:paraId="4F5961A5">
            <w:pPr>
              <w:pStyle w:val="88"/>
              <w:shd w:val="clear" w:color="auto" w:fill="auto"/>
              <w:tabs>
                <w:tab w:val="left" w:pos="264"/>
                <w:tab w:val="center" w:pos="670"/>
              </w:tabs>
              <w:spacing w:beforeLines="0" w:afterLines="0" w:line="240" w:lineRule="auto"/>
              <w:jc w:val="center"/>
              <w:rPr>
                <w:rFonts w:hint="default" w:ascii="Times New Roman" w:eastAsia="宋体"/>
                <w:snapToGrid w:val="0"/>
                <w:color w:val="000000"/>
                <w:kern w:val="21"/>
                <w:sz w:val="21"/>
                <w:szCs w:val="21"/>
                <w:highlight w:val="none"/>
                <w:lang w:val="en-US" w:eastAsia="zh-CN" w:bidi="ar-SA"/>
              </w:rPr>
            </w:pPr>
            <w:r>
              <w:rPr>
                <w:rFonts w:hint="eastAsia" w:ascii="Times New Roman" w:eastAsia="宋体"/>
                <w:snapToGrid w:val="0"/>
                <w:color w:val="000000"/>
                <w:kern w:val="21"/>
                <w:sz w:val="21"/>
                <w:szCs w:val="21"/>
                <w:highlight w:val="none"/>
                <w:lang w:val="en-US" w:eastAsia="zh-CN"/>
              </w:rPr>
              <w:t>+0.0843</w:t>
            </w:r>
          </w:p>
        </w:tc>
      </w:tr>
      <w:tr w14:paraId="11F176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33" w:type="pct"/>
            <w:vMerge w:val="continue"/>
            <w:shd w:val="clear" w:color="auto" w:fill="auto"/>
            <w:noWrap w:val="0"/>
            <w:vAlign w:val="center"/>
          </w:tcPr>
          <w:p w14:paraId="11A80BD8">
            <w:pPr>
              <w:pStyle w:val="88"/>
              <w:shd w:val="clear" w:color="auto" w:fill="auto"/>
              <w:spacing w:beforeLines="0" w:afterLines="0" w:line="240" w:lineRule="auto"/>
              <w:rPr>
                <w:rFonts w:ascii="Times New Roman"/>
                <w:snapToGrid w:val="0"/>
                <w:color w:val="000000"/>
                <w:kern w:val="21"/>
                <w:sz w:val="21"/>
                <w:szCs w:val="21"/>
                <w:highlight w:val="none"/>
              </w:rPr>
            </w:pPr>
          </w:p>
        </w:tc>
        <w:tc>
          <w:tcPr>
            <w:tcW w:w="631" w:type="pct"/>
            <w:shd w:val="clear" w:color="auto" w:fill="auto"/>
            <w:noWrap w:val="0"/>
            <w:vAlign w:val="center"/>
          </w:tcPr>
          <w:p w14:paraId="0BE5A247">
            <w:pPr>
              <w:pStyle w:val="88"/>
              <w:shd w:val="clear" w:color="auto" w:fill="auto"/>
              <w:spacing w:beforeLines="0" w:afterLines="0" w:line="240" w:lineRule="auto"/>
              <w:rPr>
                <w:rFonts w:hint="default" w:ascii="Times New Roman"/>
                <w:snapToGrid w:val="0"/>
                <w:color w:val="000000"/>
                <w:kern w:val="21"/>
                <w:sz w:val="21"/>
                <w:szCs w:val="21"/>
                <w:highlight w:val="none"/>
                <w:lang w:val="en-US" w:eastAsia="zh-CN"/>
              </w:rPr>
            </w:pPr>
            <w:r>
              <w:rPr>
                <w:rFonts w:hint="eastAsia" w:ascii="Times New Roman"/>
                <w:snapToGrid w:val="0"/>
                <w:color w:val="000000"/>
                <w:kern w:val="21"/>
                <w:sz w:val="21"/>
                <w:szCs w:val="21"/>
                <w:highlight w:val="none"/>
                <w:lang w:val="en-US" w:eastAsia="zh-CN"/>
              </w:rPr>
              <w:t>硫化氢</w:t>
            </w:r>
          </w:p>
        </w:tc>
        <w:tc>
          <w:tcPr>
            <w:tcW w:w="543" w:type="pct"/>
            <w:shd w:val="clear" w:color="auto" w:fill="auto"/>
            <w:noWrap w:val="0"/>
            <w:vAlign w:val="center"/>
          </w:tcPr>
          <w:p w14:paraId="0188F862">
            <w:pPr>
              <w:pStyle w:val="88"/>
              <w:shd w:val="clear" w:color="auto" w:fill="auto"/>
              <w:spacing w:beforeLines="0" w:afterLines="0" w:line="240" w:lineRule="auto"/>
              <w:rPr>
                <w:rFonts w:hint="default"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462" w:type="pct"/>
            <w:shd w:val="clear" w:color="auto" w:fill="auto"/>
            <w:noWrap w:val="0"/>
            <w:vAlign w:val="center"/>
          </w:tcPr>
          <w:p w14:paraId="104852CD">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616" w:type="pct"/>
            <w:shd w:val="clear" w:color="auto" w:fill="auto"/>
            <w:noWrap w:val="0"/>
            <w:vAlign w:val="center"/>
          </w:tcPr>
          <w:p w14:paraId="07A7D14B">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565" w:type="pct"/>
            <w:shd w:val="clear" w:color="auto" w:fill="auto"/>
            <w:noWrap w:val="0"/>
            <w:vAlign w:val="center"/>
          </w:tcPr>
          <w:p w14:paraId="2C7EBAE3">
            <w:pPr>
              <w:pStyle w:val="88"/>
              <w:shd w:val="clear" w:color="auto" w:fill="auto"/>
              <w:tabs>
                <w:tab w:val="left" w:pos="264"/>
                <w:tab w:val="center" w:pos="670"/>
              </w:tabs>
              <w:spacing w:beforeLines="0" w:afterLines="0" w:line="240" w:lineRule="auto"/>
              <w:jc w:val="center"/>
              <w:rPr>
                <w:rFonts w:hint="default" w:ascii="Times New Roman" w:eastAsia="宋体"/>
                <w:snapToGrid w:val="0"/>
                <w:color w:val="000000"/>
                <w:kern w:val="21"/>
                <w:sz w:val="21"/>
                <w:szCs w:val="21"/>
                <w:highlight w:val="none"/>
                <w:lang w:val="en-US" w:eastAsia="zh-CN"/>
              </w:rPr>
            </w:pPr>
            <w:r>
              <w:rPr>
                <w:rFonts w:hint="eastAsia" w:ascii="Times New Roman" w:eastAsia="宋体"/>
                <w:snapToGrid w:val="0"/>
                <w:color w:val="000000"/>
                <w:kern w:val="21"/>
                <w:sz w:val="21"/>
                <w:szCs w:val="21"/>
                <w:highlight w:val="none"/>
                <w:lang w:val="en-US" w:eastAsia="zh-CN"/>
              </w:rPr>
              <w:t>0.0026</w:t>
            </w:r>
          </w:p>
        </w:tc>
        <w:tc>
          <w:tcPr>
            <w:tcW w:w="552" w:type="pct"/>
            <w:shd w:val="clear" w:color="auto" w:fill="auto"/>
            <w:noWrap w:val="0"/>
            <w:vAlign w:val="center"/>
          </w:tcPr>
          <w:p w14:paraId="1A23DB99">
            <w:pPr>
              <w:shd w:val="clear" w:color="auto" w:fill="auto"/>
              <w:bidi w:val="0"/>
              <w:jc w:val="center"/>
              <w:rPr>
                <w:color w:val="000000"/>
                <w:kern w:val="2"/>
                <w:sz w:val="21"/>
                <w:szCs w:val="21"/>
                <w:highlight w:val="none"/>
                <w:lang w:val="en-US" w:eastAsia="zh-CN" w:bidi="ar-SA"/>
              </w:rPr>
            </w:pPr>
            <w:r>
              <w:rPr>
                <w:color w:val="000000"/>
                <w:highlight w:val="none"/>
              </w:rPr>
              <w:t>/</w:t>
            </w:r>
          </w:p>
        </w:tc>
        <w:tc>
          <w:tcPr>
            <w:tcW w:w="624" w:type="pct"/>
            <w:shd w:val="clear" w:color="auto" w:fill="auto"/>
            <w:noWrap w:val="0"/>
            <w:vAlign w:val="center"/>
          </w:tcPr>
          <w:p w14:paraId="6EAE5B2F">
            <w:pPr>
              <w:pStyle w:val="88"/>
              <w:shd w:val="clear" w:color="auto" w:fill="auto"/>
              <w:tabs>
                <w:tab w:val="left" w:pos="264"/>
                <w:tab w:val="center" w:pos="670"/>
              </w:tabs>
              <w:spacing w:beforeLines="0" w:afterLines="0" w:line="240" w:lineRule="auto"/>
              <w:jc w:val="center"/>
              <w:rPr>
                <w:rFonts w:hint="eastAsia" w:ascii="Times New Roman"/>
                <w:snapToGrid w:val="0"/>
                <w:color w:val="000000"/>
                <w:kern w:val="21"/>
                <w:sz w:val="21"/>
                <w:szCs w:val="21"/>
                <w:highlight w:val="none"/>
                <w:lang w:val="en-US" w:eastAsia="zh-CN" w:bidi="ar-SA"/>
              </w:rPr>
            </w:pPr>
            <w:r>
              <w:rPr>
                <w:rFonts w:hint="eastAsia" w:ascii="Times New Roman" w:eastAsia="宋体"/>
                <w:snapToGrid w:val="0"/>
                <w:color w:val="000000"/>
                <w:kern w:val="21"/>
                <w:sz w:val="21"/>
                <w:szCs w:val="21"/>
                <w:highlight w:val="none"/>
                <w:lang w:val="en-US" w:eastAsia="zh-CN"/>
              </w:rPr>
              <w:t>0.0026</w:t>
            </w:r>
          </w:p>
        </w:tc>
        <w:tc>
          <w:tcPr>
            <w:tcW w:w="471" w:type="pct"/>
            <w:shd w:val="clear" w:color="auto" w:fill="auto"/>
            <w:noWrap w:val="0"/>
            <w:vAlign w:val="center"/>
          </w:tcPr>
          <w:p w14:paraId="11806A8D">
            <w:pPr>
              <w:pStyle w:val="88"/>
              <w:shd w:val="clear" w:color="auto" w:fill="auto"/>
              <w:tabs>
                <w:tab w:val="left" w:pos="264"/>
                <w:tab w:val="center" w:pos="670"/>
              </w:tabs>
              <w:spacing w:beforeLines="0" w:afterLines="0" w:line="240" w:lineRule="auto"/>
              <w:jc w:val="center"/>
              <w:rPr>
                <w:rFonts w:hint="eastAsia" w:ascii="Times New Roman" w:eastAsia="宋体"/>
                <w:snapToGrid w:val="0"/>
                <w:color w:val="000000"/>
                <w:kern w:val="21"/>
                <w:sz w:val="21"/>
                <w:szCs w:val="21"/>
                <w:highlight w:val="none"/>
                <w:lang w:val="en-US" w:eastAsia="zh-CN" w:bidi="ar-SA"/>
              </w:rPr>
            </w:pPr>
            <w:r>
              <w:rPr>
                <w:rFonts w:hint="eastAsia" w:ascii="Times New Roman" w:eastAsia="宋体"/>
                <w:snapToGrid w:val="0"/>
                <w:color w:val="000000"/>
                <w:kern w:val="21"/>
                <w:sz w:val="21"/>
                <w:szCs w:val="21"/>
                <w:highlight w:val="none"/>
                <w:lang w:val="en-US" w:eastAsia="zh-CN"/>
              </w:rPr>
              <w:t>+0.0026</w:t>
            </w:r>
          </w:p>
        </w:tc>
      </w:tr>
      <w:tr w14:paraId="49701D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33" w:type="pct"/>
            <w:vMerge w:val="continue"/>
            <w:shd w:val="clear" w:color="auto" w:fill="auto"/>
            <w:noWrap w:val="0"/>
            <w:vAlign w:val="center"/>
          </w:tcPr>
          <w:p w14:paraId="18042B79">
            <w:pPr>
              <w:pStyle w:val="88"/>
              <w:shd w:val="clear" w:color="auto" w:fill="auto"/>
              <w:spacing w:beforeLines="0" w:afterLines="0" w:line="240" w:lineRule="auto"/>
              <w:rPr>
                <w:rFonts w:ascii="Times New Roman"/>
                <w:snapToGrid w:val="0"/>
                <w:color w:val="000000"/>
                <w:kern w:val="21"/>
                <w:sz w:val="21"/>
                <w:szCs w:val="21"/>
                <w:highlight w:val="none"/>
              </w:rPr>
            </w:pPr>
          </w:p>
        </w:tc>
        <w:tc>
          <w:tcPr>
            <w:tcW w:w="631" w:type="pct"/>
            <w:shd w:val="clear" w:color="auto" w:fill="auto"/>
            <w:noWrap w:val="0"/>
            <w:vAlign w:val="center"/>
          </w:tcPr>
          <w:p w14:paraId="260EC6D5">
            <w:pPr>
              <w:pStyle w:val="88"/>
              <w:shd w:val="clear" w:color="auto" w:fill="auto"/>
              <w:spacing w:beforeLines="0" w:afterLines="0" w:line="240" w:lineRule="auto"/>
              <w:rPr>
                <w:rFonts w:hint="default" w:ascii="Times New Roman"/>
                <w:snapToGrid w:val="0"/>
                <w:color w:val="000000"/>
                <w:kern w:val="21"/>
                <w:sz w:val="21"/>
                <w:szCs w:val="21"/>
                <w:highlight w:val="none"/>
                <w:lang w:val="en-US" w:eastAsia="zh-CN"/>
              </w:rPr>
            </w:pPr>
            <w:r>
              <w:rPr>
                <w:rFonts w:hint="eastAsia" w:ascii="Times New Roman"/>
                <w:snapToGrid w:val="0"/>
                <w:color w:val="000000"/>
                <w:kern w:val="21"/>
                <w:sz w:val="21"/>
                <w:szCs w:val="21"/>
                <w:highlight w:val="none"/>
                <w:lang w:val="en-US" w:eastAsia="zh-CN"/>
              </w:rPr>
              <w:t>食堂油烟</w:t>
            </w:r>
          </w:p>
        </w:tc>
        <w:tc>
          <w:tcPr>
            <w:tcW w:w="543" w:type="pct"/>
            <w:shd w:val="clear" w:color="auto" w:fill="auto"/>
            <w:noWrap w:val="0"/>
            <w:vAlign w:val="center"/>
          </w:tcPr>
          <w:p w14:paraId="01012118">
            <w:pPr>
              <w:pStyle w:val="88"/>
              <w:shd w:val="clear" w:color="auto" w:fill="auto"/>
              <w:spacing w:beforeLines="0" w:afterLines="0" w:line="240" w:lineRule="auto"/>
              <w:rPr>
                <w:rFonts w:hint="default"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462" w:type="pct"/>
            <w:shd w:val="clear" w:color="auto" w:fill="auto"/>
            <w:noWrap w:val="0"/>
            <w:vAlign w:val="center"/>
          </w:tcPr>
          <w:p w14:paraId="5ACCF920">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616" w:type="pct"/>
            <w:shd w:val="clear" w:color="auto" w:fill="auto"/>
            <w:noWrap w:val="0"/>
            <w:vAlign w:val="center"/>
          </w:tcPr>
          <w:p w14:paraId="481B11E5">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565" w:type="pct"/>
            <w:shd w:val="clear" w:color="auto" w:fill="auto"/>
            <w:noWrap w:val="0"/>
            <w:vAlign w:val="center"/>
          </w:tcPr>
          <w:p w14:paraId="079D9ECD">
            <w:pPr>
              <w:pStyle w:val="88"/>
              <w:shd w:val="clear" w:color="auto" w:fill="auto"/>
              <w:tabs>
                <w:tab w:val="left" w:pos="264"/>
                <w:tab w:val="center" w:pos="670"/>
              </w:tabs>
              <w:spacing w:beforeLines="0" w:afterLines="0" w:line="240" w:lineRule="auto"/>
              <w:jc w:val="center"/>
              <w:rPr>
                <w:rFonts w:hint="default" w:ascii="Times New Roman" w:eastAsia="宋体"/>
                <w:snapToGrid w:val="0"/>
                <w:color w:val="000000"/>
                <w:kern w:val="21"/>
                <w:sz w:val="21"/>
                <w:szCs w:val="21"/>
                <w:highlight w:val="none"/>
                <w:lang w:val="en-US" w:eastAsia="zh-CN"/>
              </w:rPr>
            </w:pPr>
            <w:r>
              <w:rPr>
                <w:rFonts w:hint="eastAsia" w:ascii="Times New Roman" w:eastAsia="宋体"/>
                <w:snapToGrid w:val="0"/>
                <w:color w:val="000000"/>
                <w:kern w:val="21"/>
                <w:sz w:val="21"/>
                <w:szCs w:val="21"/>
                <w:highlight w:val="none"/>
                <w:lang w:val="en-US" w:eastAsia="zh-CN"/>
              </w:rPr>
              <w:t>0.0054</w:t>
            </w:r>
          </w:p>
        </w:tc>
        <w:tc>
          <w:tcPr>
            <w:tcW w:w="552" w:type="pct"/>
            <w:shd w:val="clear" w:color="auto" w:fill="auto"/>
            <w:noWrap w:val="0"/>
            <w:vAlign w:val="center"/>
          </w:tcPr>
          <w:p w14:paraId="5CACEAA2">
            <w:pPr>
              <w:shd w:val="clear" w:color="auto" w:fill="auto"/>
              <w:bidi w:val="0"/>
              <w:jc w:val="center"/>
              <w:rPr>
                <w:color w:val="000000"/>
                <w:kern w:val="2"/>
                <w:sz w:val="21"/>
                <w:szCs w:val="21"/>
                <w:highlight w:val="none"/>
                <w:lang w:val="en-US" w:eastAsia="zh-CN" w:bidi="ar-SA"/>
              </w:rPr>
            </w:pPr>
            <w:r>
              <w:rPr>
                <w:color w:val="000000"/>
                <w:highlight w:val="none"/>
              </w:rPr>
              <w:t>/</w:t>
            </w:r>
          </w:p>
        </w:tc>
        <w:tc>
          <w:tcPr>
            <w:tcW w:w="624" w:type="pct"/>
            <w:shd w:val="clear" w:color="auto" w:fill="auto"/>
            <w:noWrap w:val="0"/>
            <w:vAlign w:val="center"/>
          </w:tcPr>
          <w:p w14:paraId="50E6B553">
            <w:pPr>
              <w:pStyle w:val="88"/>
              <w:shd w:val="clear" w:color="auto" w:fill="auto"/>
              <w:tabs>
                <w:tab w:val="left" w:pos="264"/>
                <w:tab w:val="center" w:pos="670"/>
              </w:tabs>
              <w:spacing w:beforeLines="0" w:afterLines="0" w:line="240" w:lineRule="auto"/>
              <w:jc w:val="center"/>
              <w:rPr>
                <w:rFonts w:hint="eastAsia" w:ascii="Times New Roman" w:eastAsia="宋体"/>
                <w:snapToGrid w:val="0"/>
                <w:color w:val="000000"/>
                <w:kern w:val="21"/>
                <w:sz w:val="21"/>
                <w:szCs w:val="21"/>
                <w:highlight w:val="none"/>
                <w:lang w:val="en-US" w:eastAsia="zh-CN"/>
              </w:rPr>
            </w:pPr>
            <w:r>
              <w:rPr>
                <w:rFonts w:hint="eastAsia" w:ascii="Times New Roman" w:eastAsia="宋体"/>
                <w:snapToGrid w:val="0"/>
                <w:color w:val="000000"/>
                <w:kern w:val="21"/>
                <w:sz w:val="21"/>
                <w:szCs w:val="21"/>
                <w:highlight w:val="none"/>
                <w:lang w:val="en-US" w:eastAsia="zh-CN"/>
              </w:rPr>
              <w:t>0.0054</w:t>
            </w:r>
          </w:p>
        </w:tc>
        <w:tc>
          <w:tcPr>
            <w:tcW w:w="471" w:type="pct"/>
            <w:shd w:val="clear" w:color="auto" w:fill="auto"/>
            <w:noWrap w:val="0"/>
            <w:vAlign w:val="center"/>
          </w:tcPr>
          <w:p w14:paraId="5A0FEACE">
            <w:pPr>
              <w:pStyle w:val="88"/>
              <w:shd w:val="clear" w:color="auto" w:fill="auto"/>
              <w:tabs>
                <w:tab w:val="left" w:pos="264"/>
                <w:tab w:val="center" w:pos="670"/>
              </w:tabs>
              <w:spacing w:beforeLines="0" w:afterLines="0" w:line="240" w:lineRule="auto"/>
              <w:jc w:val="center"/>
              <w:rPr>
                <w:rFonts w:hint="eastAsia" w:ascii="Times New Roman" w:eastAsia="宋体"/>
                <w:snapToGrid w:val="0"/>
                <w:color w:val="000000"/>
                <w:kern w:val="21"/>
                <w:sz w:val="21"/>
                <w:szCs w:val="21"/>
                <w:highlight w:val="none"/>
                <w:lang w:val="en-US" w:eastAsia="zh-CN"/>
              </w:rPr>
            </w:pPr>
            <w:r>
              <w:rPr>
                <w:rFonts w:hint="eastAsia" w:ascii="Times New Roman" w:eastAsia="宋体"/>
                <w:snapToGrid w:val="0"/>
                <w:color w:val="000000"/>
                <w:kern w:val="21"/>
                <w:sz w:val="21"/>
                <w:szCs w:val="21"/>
                <w:highlight w:val="none"/>
                <w:lang w:val="en-US" w:eastAsia="zh-CN"/>
              </w:rPr>
              <w:t>+0.0054</w:t>
            </w:r>
          </w:p>
        </w:tc>
      </w:tr>
      <w:tr w14:paraId="250144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33" w:type="pct"/>
            <w:vMerge w:val="restart"/>
            <w:shd w:val="clear" w:color="auto" w:fill="auto"/>
            <w:noWrap w:val="0"/>
            <w:vAlign w:val="center"/>
          </w:tcPr>
          <w:p w14:paraId="7994293F">
            <w:pPr>
              <w:pStyle w:val="88"/>
              <w:shd w:val="clear" w:color="auto" w:fill="auto"/>
              <w:spacing w:beforeLines="0" w:afterLines="0" w:line="240" w:lineRule="auto"/>
              <w:rPr>
                <w:rFonts w:ascii="Times New Roman"/>
                <w:snapToGrid w:val="0"/>
                <w:color w:val="000000"/>
                <w:kern w:val="21"/>
                <w:sz w:val="21"/>
                <w:szCs w:val="21"/>
                <w:highlight w:val="none"/>
              </w:rPr>
            </w:pPr>
            <w:r>
              <w:rPr>
                <w:rFonts w:ascii="Times New Roman"/>
                <w:snapToGrid w:val="0"/>
                <w:color w:val="000000"/>
                <w:kern w:val="21"/>
                <w:sz w:val="21"/>
                <w:szCs w:val="21"/>
                <w:highlight w:val="none"/>
              </w:rPr>
              <w:t>废水</w:t>
            </w:r>
          </w:p>
        </w:tc>
        <w:tc>
          <w:tcPr>
            <w:tcW w:w="631" w:type="pct"/>
            <w:shd w:val="clear" w:color="auto" w:fill="auto"/>
            <w:noWrap w:val="0"/>
            <w:vAlign w:val="top"/>
          </w:tcPr>
          <w:p w14:paraId="2E15A68D">
            <w:pPr>
              <w:shd w:val="clear" w:color="auto" w:fill="auto"/>
              <w:bidi w:val="0"/>
              <w:jc w:val="center"/>
              <w:rPr>
                <w:rFonts w:hint="default"/>
                <w:color w:val="000000"/>
                <w:highlight w:val="none"/>
                <w:lang w:val="en-US" w:eastAsia="zh-CN"/>
              </w:rPr>
            </w:pPr>
            <w:r>
              <w:rPr>
                <w:color w:val="000000"/>
                <w:highlight w:val="none"/>
              </w:rPr>
              <w:t>悬浮物</w:t>
            </w:r>
          </w:p>
        </w:tc>
        <w:tc>
          <w:tcPr>
            <w:tcW w:w="543" w:type="pct"/>
            <w:shd w:val="clear" w:color="auto" w:fill="auto"/>
            <w:noWrap w:val="0"/>
            <w:vAlign w:val="center"/>
          </w:tcPr>
          <w:p w14:paraId="2F8EEB88">
            <w:pPr>
              <w:shd w:val="clear" w:color="auto" w:fill="auto"/>
              <w:bidi w:val="0"/>
              <w:jc w:val="center"/>
              <w:rPr>
                <w:rFonts w:hint="default"/>
                <w:color w:val="000000"/>
                <w:kern w:val="2"/>
                <w:sz w:val="21"/>
                <w:szCs w:val="21"/>
                <w:highlight w:val="none"/>
                <w:lang w:val="en-US" w:eastAsia="zh-CN" w:bidi="ar-SA"/>
              </w:rPr>
            </w:pPr>
            <w:r>
              <w:rPr>
                <w:color w:val="000000"/>
                <w:highlight w:val="none"/>
              </w:rPr>
              <w:t>/</w:t>
            </w:r>
          </w:p>
        </w:tc>
        <w:tc>
          <w:tcPr>
            <w:tcW w:w="462" w:type="pct"/>
            <w:shd w:val="clear" w:color="auto" w:fill="auto"/>
            <w:noWrap w:val="0"/>
            <w:vAlign w:val="center"/>
          </w:tcPr>
          <w:p w14:paraId="52F7C8AE">
            <w:pPr>
              <w:shd w:val="clear" w:color="auto" w:fill="auto"/>
              <w:bidi w:val="0"/>
              <w:jc w:val="center"/>
              <w:rPr>
                <w:color w:val="000000"/>
                <w:highlight w:val="none"/>
              </w:rPr>
            </w:pPr>
            <w:r>
              <w:rPr>
                <w:color w:val="000000"/>
                <w:highlight w:val="none"/>
              </w:rPr>
              <w:t>/</w:t>
            </w:r>
          </w:p>
        </w:tc>
        <w:tc>
          <w:tcPr>
            <w:tcW w:w="616" w:type="pct"/>
            <w:shd w:val="clear" w:color="auto" w:fill="auto"/>
            <w:noWrap w:val="0"/>
            <w:vAlign w:val="center"/>
          </w:tcPr>
          <w:p w14:paraId="6F05878D">
            <w:pPr>
              <w:shd w:val="clear" w:color="auto" w:fill="auto"/>
              <w:bidi w:val="0"/>
              <w:jc w:val="center"/>
              <w:rPr>
                <w:color w:val="000000"/>
                <w:highlight w:val="none"/>
              </w:rPr>
            </w:pPr>
            <w:r>
              <w:rPr>
                <w:color w:val="000000"/>
                <w:highlight w:val="none"/>
              </w:rPr>
              <w:t>/</w:t>
            </w:r>
          </w:p>
        </w:tc>
        <w:tc>
          <w:tcPr>
            <w:tcW w:w="565" w:type="pct"/>
            <w:shd w:val="clear" w:color="auto" w:fill="auto"/>
            <w:noWrap w:val="0"/>
            <w:vAlign w:val="center"/>
          </w:tcPr>
          <w:p w14:paraId="65BAE05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color w:val="000000"/>
                <w:kern w:val="2"/>
                <w:sz w:val="21"/>
                <w:szCs w:val="21"/>
                <w:highlight w:val="none"/>
                <w:lang w:val="en-US" w:eastAsia="zh-CN" w:bidi="ar-SA"/>
              </w:rPr>
            </w:pPr>
            <w:r>
              <w:rPr>
                <w:rFonts w:hint="eastAsia" w:ascii="Times New Roman" w:hAnsi="Times New Roman" w:cs="Times New Roman"/>
                <w:b w:val="0"/>
                <w:bCs/>
                <w:color w:val="000000"/>
                <w:szCs w:val="21"/>
                <w:highlight w:val="none"/>
                <w:lang w:val="en-US" w:eastAsia="zh-CN"/>
              </w:rPr>
              <w:t>0.05</w:t>
            </w:r>
          </w:p>
        </w:tc>
        <w:tc>
          <w:tcPr>
            <w:tcW w:w="552" w:type="pct"/>
            <w:shd w:val="clear" w:color="auto" w:fill="auto"/>
            <w:noWrap w:val="0"/>
            <w:vAlign w:val="center"/>
          </w:tcPr>
          <w:p w14:paraId="3AA9EB99">
            <w:pPr>
              <w:shd w:val="clear" w:color="auto" w:fill="auto"/>
              <w:bidi w:val="0"/>
              <w:jc w:val="center"/>
              <w:rPr>
                <w:color w:val="000000"/>
                <w:highlight w:val="none"/>
              </w:rPr>
            </w:pPr>
            <w:r>
              <w:rPr>
                <w:color w:val="000000"/>
                <w:highlight w:val="none"/>
              </w:rPr>
              <w:t>/</w:t>
            </w:r>
          </w:p>
        </w:tc>
        <w:tc>
          <w:tcPr>
            <w:tcW w:w="624" w:type="pct"/>
            <w:shd w:val="clear" w:color="auto" w:fill="auto"/>
            <w:noWrap w:val="0"/>
            <w:vAlign w:val="center"/>
          </w:tcPr>
          <w:p w14:paraId="1415D8C3">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color w:val="000000"/>
                <w:highlight w:val="none"/>
                <w:lang w:val="en-US" w:eastAsia="zh-CN"/>
              </w:rPr>
            </w:pPr>
            <w:r>
              <w:rPr>
                <w:rFonts w:hint="eastAsia" w:ascii="Times New Roman" w:hAnsi="Times New Roman" w:cs="Times New Roman"/>
                <w:b w:val="0"/>
                <w:bCs/>
                <w:color w:val="000000"/>
                <w:szCs w:val="21"/>
                <w:highlight w:val="none"/>
                <w:lang w:val="en-US" w:eastAsia="zh-CN"/>
              </w:rPr>
              <w:t>0.05</w:t>
            </w:r>
          </w:p>
        </w:tc>
        <w:tc>
          <w:tcPr>
            <w:tcW w:w="471" w:type="pct"/>
            <w:shd w:val="clear" w:color="auto" w:fill="auto"/>
            <w:noWrap w:val="0"/>
            <w:vAlign w:val="center"/>
          </w:tcPr>
          <w:p w14:paraId="281276A2">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color w:val="000000"/>
                <w:kern w:val="2"/>
                <w:sz w:val="21"/>
                <w:szCs w:val="21"/>
                <w:highlight w:val="none"/>
                <w:lang w:val="en-US" w:eastAsia="zh-CN" w:bidi="ar-SA"/>
              </w:rPr>
            </w:pPr>
            <w:r>
              <w:rPr>
                <w:rFonts w:hint="eastAsia" w:ascii="Times New Roman" w:hAnsi="Times New Roman" w:cs="Times New Roman"/>
                <w:b w:val="0"/>
                <w:bCs/>
                <w:color w:val="000000"/>
                <w:szCs w:val="21"/>
                <w:highlight w:val="none"/>
                <w:lang w:val="en-US" w:eastAsia="zh-CN"/>
              </w:rPr>
              <w:t>+0.05</w:t>
            </w:r>
          </w:p>
        </w:tc>
      </w:tr>
      <w:tr w14:paraId="235879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533" w:type="pct"/>
            <w:vMerge w:val="continue"/>
            <w:shd w:val="clear" w:color="auto" w:fill="auto"/>
            <w:noWrap w:val="0"/>
            <w:vAlign w:val="center"/>
          </w:tcPr>
          <w:p w14:paraId="53E2E348">
            <w:pPr>
              <w:pStyle w:val="88"/>
              <w:shd w:val="clear" w:color="auto" w:fill="auto"/>
              <w:spacing w:beforeLines="0" w:afterLines="0" w:line="240" w:lineRule="auto"/>
              <w:rPr>
                <w:rFonts w:ascii="Times New Roman"/>
                <w:snapToGrid w:val="0"/>
                <w:color w:val="000000"/>
                <w:kern w:val="21"/>
                <w:sz w:val="21"/>
                <w:szCs w:val="21"/>
                <w:highlight w:val="none"/>
              </w:rPr>
            </w:pPr>
          </w:p>
        </w:tc>
        <w:tc>
          <w:tcPr>
            <w:tcW w:w="631" w:type="pct"/>
            <w:shd w:val="clear" w:color="auto" w:fill="auto"/>
            <w:noWrap w:val="0"/>
            <w:vAlign w:val="top"/>
          </w:tcPr>
          <w:p w14:paraId="584D8878">
            <w:pPr>
              <w:shd w:val="clear" w:color="auto" w:fill="auto"/>
              <w:bidi w:val="0"/>
              <w:jc w:val="center"/>
              <w:rPr>
                <w:rFonts w:hint="default"/>
                <w:color w:val="000000"/>
                <w:highlight w:val="none"/>
                <w:lang w:val="en-US" w:eastAsia="zh-CN"/>
              </w:rPr>
            </w:pPr>
            <w:r>
              <w:rPr>
                <w:rFonts w:hint="eastAsia"/>
                <w:color w:val="000000"/>
                <w:highlight w:val="none"/>
                <w:lang w:val="en-US" w:eastAsia="zh-CN"/>
              </w:rPr>
              <w:t>COD</w:t>
            </w:r>
          </w:p>
        </w:tc>
        <w:tc>
          <w:tcPr>
            <w:tcW w:w="543" w:type="pct"/>
            <w:shd w:val="clear" w:color="auto" w:fill="auto"/>
            <w:noWrap w:val="0"/>
            <w:vAlign w:val="center"/>
          </w:tcPr>
          <w:p w14:paraId="3622E041">
            <w:pPr>
              <w:shd w:val="clear" w:color="auto" w:fill="auto"/>
              <w:bidi w:val="0"/>
              <w:jc w:val="center"/>
              <w:rPr>
                <w:color w:val="000000"/>
                <w:kern w:val="2"/>
                <w:sz w:val="21"/>
                <w:szCs w:val="21"/>
                <w:highlight w:val="none"/>
                <w:lang w:val="en-US" w:eastAsia="zh-CN" w:bidi="ar-SA"/>
              </w:rPr>
            </w:pPr>
            <w:r>
              <w:rPr>
                <w:color w:val="000000"/>
                <w:highlight w:val="none"/>
              </w:rPr>
              <w:t>/</w:t>
            </w:r>
          </w:p>
        </w:tc>
        <w:tc>
          <w:tcPr>
            <w:tcW w:w="462" w:type="pct"/>
            <w:shd w:val="clear" w:color="auto" w:fill="auto"/>
            <w:noWrap w:val="0"/>
            <w:vAlign w:val="center"/>
          </w:tcPr>
          <w:p w14:paraId="46218CF7">
            <w:pPr>
              <w:shd w:val="clear" w:color="auto" w:fill="auto"/>
              <w:bidi w:val="0"/>
              <w:jc w:val="center"/>
              <w:rPr>
                <w:color w:val="000000"/>
                <w:highlight w:val="none"/>
                <w:lang w:val="en-US" w:eastAsia="zh-CN"/>
              </w:rPr>
            </w:pPr>
            <w:r>
              <w:rPr>
                <w:color w:val="000000"/>
                <w:highlight w:val="none"/>
              </w:rPr>
              <w:t>/</w:t>
            </w:r>
          </w:p>
        </w:tc>
        <w:tc>
          <w:tcPr>
            <w:tcW w:w="616" w:type="pct"/>
            <w:shd w:val="clear" w:color="auto" w:fill="auto"/>
            <w:noWrap w:val="0"/>
            <w:vAlign w:val="center"/>
          </w:tcPr>
          <w:p w14:paraId="12073DEF">
            <w:pPr>
              <w:shd w:val="clear" w:color="auto" w:fill="auto"/>
              <w:bidi w:val="0"/>
              <w:jc w:val="center"/>
              <w:rPr>
                <w:color w:val="000000"/>
                <w:highlight w:val="none"/>
                <w:lang w:val="en-US" w:eastAsia="zh-CN"/>
              </w:rPr>
            </w:pPr>
            <w:r>
              <w:rPr>
                <w:color w:val="000000"/>
                <w:highlight w:val="none"/>
              </w:rPr>
              <w:t>/</w:t>
            </w:r>
          </w:p>
        </w:tc>
        <w:tc>
          <w:tcPr>
            <w:tcW w:w="565" w:type="pct"/>
            <w:shd w:val="clear" w:color="auto" w:fill="auto"/>
            <w:noWrap w:val="0"/>
            <w:vAlign w:val="center"/>
          </w:tcPr>
          <w:p w14:paraId="16C92CF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olor w:val="000000"/>
                <w:kern w:val="2"/>
                <w:sz w:val="21"/>
                <w:szCs w:val="21"/>
                <w:highlight w:val="none"/>
                <w:lang w:val="en-US" w:eastAsia="zh-CN" w:bidi="ar-SA"/>
              </w:rPr>
            </w:pPr>
            <w:r>
              <w:rPr>
                <w:rFonts w:hint="eastAsia" w:ascii="Times New Roman" w:hAnsi="Times New Roman" w:eastAsia="宋体" w:cs="Times New Roman"/>
                <w:b w:val="0"/>
                <w:bCs/>
                <w:color w:val="000000"/>
                <w:szCs w:val="21"/>
                <w:highlight w:val="none"/>
                <w:lang w:val="en-US" w:eastAsia="zh-CN"/>
              </w:rPr>
              <w:t>0.16</w:t>
            </w:r>
          </w:p>
        </w:tc>
        <w:tc>
          <w:tcPr>
            <w:tcW w:w="552" w:type="pct"/>
            <w:shd w:val="clear" w:color="auto" w:fill="auto"/>
            <w:noWrap w:val="0"/>
            <w:vAlign w:val="center"/>
          </w:tcPr>
          <w:p w14:paraId="3124AC13">
            <w:pPr>
              <w:shd w:val="clear" w:color="auto" w:fill="auto"/>
              <w:bidi w:val="0"/>
              <w:jc w:val="center"/>
              <w:rPr>
                <w:color w:val="000000"/>
                <w:highlight w:val="none"/>
                <w:lang w:val="en-US" w:eastAsia="zh-CN"/>
              </w:rPr>
            </w:pPr>
            <w:r>
              <w:rPr>
                <w:color w:val="000000"/>
                <w:highlight w:val="none"/>
              </w:rPr>
              <w:t>/</w:t>
            </w:r>
          </w:p>
        </w:tc>
        <w:tc>
          <w:tcPr>
            <w:tcW w:w="624" w:type="pct"/>
            <w:shd w:val="clear" w:color="auto" w:fill="auto"/>
            <w:noWrap w:val="0"/>
            <w:vAlign w:val="center"/>
          </w:tcPr>
          <w:p w14:paraId="4B91E8CC">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olor w:val="000000"/>
                <w:highlight w:val="none"/>
                <w:lang w:val="en-US" w:eastAsia="zh-CN"/>
              </w:rPr>
            </w:pPr>
            <w:r>
              <w:rPr>
                <w:rFonts w:hint="eastAsia" w:ascii="Times New Roman" w:hAnsi="Times New Roman" w:eastAsia="宋体" w:cs="Times New Roman"/>
                <w:b w:val="0"/>
                <w:bCs/>
                <w:color w:val="000000"/>
                <w:szCs w:val="21"/>
                <w:highlight w:val="none"/>
                <w:lang w:val="en-US" w:eastAsia="zh-CN"/>
              </w:rPr>
              <w:t>0.16</w:t>
            </w:r>
          </w:p>
        </w:tc>
        <w:tc>
          <w:tcPr>
            <w:tcW w:w="471" w:type="pct"/>
            <w:shd w:val="clear" w:color="auto" w:fill="auto"/>
            <w:noWrap w:val="0"/>
            <w:vAlign w:val="center"/>
          </w:tcPr>
          <w:p w14:paraId="151E477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olor w:val="000000"/>
                <w:kern w:val="2"/>
                <w:sz w:val="21"/>
                <w:szCs w:val="21"/>
                <w:highlight w:val="none"/>
                <w:lang w:val="en-US" w:eastAsia="zh-CN" w:bidi="ar-SA"/>
              </w:rPr>
            </w:pPr>
            <w:r>
              <w:rPr>
                <w:rFonts w:hint="eastAsia" w:ascii="Times New Roman" w:hAnsi="Times New Roman" w:eastAsia="宋体" w:cs="Times New Roman"/>
                <w:b w:val="0"/>
                <w:bCs/>
                <w:color w:val="000000"/>
                <w:szCs w:val="21"/>
                <w:highlight w:val="none"/>
                <w:lang w:val="en-US" w:eastAsia="zh-CN"/>
              </w:rPr>
              <w:t>+0.16</w:t>
            </w:r>
          </w:p>
        </w:tc>
      </w:tr>
      <w:tr w14:paraId="1EFBC2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533" w:type="pct"/>
            <w:vMerge w:val="continue"/>
            <w:shd w:val="clear" w:color="auto" w:fill="auto"/>
            <w:noWrap w:val="0"/>
            <w:vAlign w:val="center"/>
          </w:tcPr>
          <w:p w14:paraId="0E725B9B">
            <w:pPr>
              <w:pStyle w:val="88"/>
              <w:shd w:val="clear" w:color="auto" w:fill="auto"/>
              <w:spacing w:beforeLines="0" w:afterLines="0" w:line="240" w:lineRule="auto"/>
              <w:rPr>
                <w:rFonts w:ascii="Times New Roman"/>
                <w:snapToGrid w:val="0"/>
                <w:color w:val="000000"/>
                <w:kern w:val="21"/>
                <w:sz w:val="21"/>
                <w:szCs w:val="21"/>
                <w:highlight w:val="none"/>
              </w:rPr>
            </w:pPr>
          </w:p>
        </w:tc>
        <w:tc>
          <w:tcPr>
            <w:tcW w:w="631" w:type="pct"/>
            <w:shd w:val="clear" w:color="auto" w:fill="auto"/>
            <w:noWrap w:val="0"/>
            <w:vAlign w:val="top"/>
          </w:tcPr>
          <w:p w14:paraId="0B252A76">
            <w:pPr>
              <w:shd w:val="clear" w:color="auto" w:fill="auto"/>
              <w:bidi w:val="0"/>
              <w:jc w:val="center"/>
              <w:rPr>
                <w:rFonts w:hint="default"/>
                <w:color w:val="000000"/>
                <w:highlight w:val="none"/>
                <w:lang w:val="en-US" w:eastAsia="zh-CN"/>
              </w:rPr>
            </w:pPr>
            <w:r>
              <w:rPr>
                <w:rFonts w:hint="eastAsia"/>
                <w:color w:val="000000"/>
                <w:highlight w:val="none"/>
                <w:lang w:val="en-US" w:eastAsia="zh-CN"/>
              </w:rPr>
              <w:t>BOD5</w:t>
            </w:r>
          </w:p>
        </w:tc>
        <w:tc>
          <w:tcPr>
            <w:tcW w:w="543" w:type="pct"/>
            <w:shd w:val="clear" w:color="auto" w:fill="auto"/>
            <w:noWrap w:val="0"/>
            <w:vAlign w:val="center"/>
          </w:tcPr>
          <w:p w14:paraId="7777060E">
            <w:pPr>
              <w:shd w:val="clear" w:color="auto" w:fill="auto"/>
              <w:bidi w:val="0"/>
              <w:jc w:val="center"/>
              <w:rPr>
                <w:color w:val="000000"/>
                <w:kern w:val="2"/>
                <w:sz w:val="21"/>
                <w:szCs w:val="21"/>
                <w:highlight w:val="none"/>
                <w:lang w:val="en-US" w:eastAsia="zh-CN" w:bidi="ar-SA"/>
              </w:rPr>
            </w:pPr>
            <w:r>
              <w:rPr>
                <w:color w:val="000000"/>
                <w:highlight w:val="none"/>
              </w:rPr>
              <w:t>/</w:t>
            </w:r>
          </w:p>
        </w:tc>
        <w:tc>
          <w:tcPr>
            <w:tcW w:w="462" w:type="pct"/>
            <w:shd w:val="clear" w:color="auto" w:fill="auto"/>
            <w:noWrap w:val="0"/>
            <w:vAlign w:val="center"/>
          </w:tcPr>
          <w:p w14:paraId="2A8C0BBD">
            <w:pPr>
              <w:shd w:val="clear" w:color="auto" w:fill="auto"/>
              <w:bidi w:val="0"/>
              <w:jc w:val="center"/>
              <w:rPr>
                <w:color w:val="000000"/>
                <w:highlight w:val="none"/>
                <w:lang w:val="en-US" w:eastAsia="zh-CN"/>
              </w:rPr>
            </w:pPr>
            <w:r>
              <w:rPr>
                <w:color w:val="000000"/>
                <w:highlight w:val="none"/>
              </w:rPr>
              <w:t>/</w:t>
            </w:r>
          </w:p>
        </w:tc>
        <w:tc>
          <w:tcPr>
            <w:tcW w:w="616" w:type="pct"/>
            <w:shd w:val="clear" w:color="auto" w:fill="auto"/>
            <w:noWrap w:val="0"/>
            <w:vAlign w:val="center"/>
          </w:tcPr>
          <w:p w14:paraId="4332B579">
            <w:pPr>
              <w:shd w:val="clear" w:color="auto" w:fill="auto"/>
              <w:bidi w:val="0"/>
              <w:jc w:val="center"/>
              <w:rPr>
                <w:color w:val="000000"/>
                <w:highlight w:val="none"/>
                <w:lang w:val="en-US" w:eastAsia="zh-CN"/>
              </w:rPr>
            </w:pPr>
            <w:r>
              <w:rPr>
                <w:color w:val="000000"/>
                <w:highlight w:val="none"/>
              </w:rPr>
              <w:t>/</w:t>
            </w:r>
          </w:p>
        </w:tc>
        <w:tc>
          <w:tcPr>
            <w:tcW w:w="565" w:type="pct"/>
            <w:shd w:val="clear" w:color="auto" w:fill="auto"/>
            <w:noWrap w:val="0"/>
            <w:vAlign w:val="center"/>
          </w:tcPr>
          <w:p w14:paraId="21F98F4A">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0.048</w:t>
            </w:r>
          </w:p>
        </w:tc>
        <w:tc>
          <w:tcPr>
            <w:tcW w:w="552" w:type="pct"/>
            <w:shd w:val="clear" w:color="auto" w:fill="auto"/>
            <w:noWrap w:val="0"/>
            <w:vAlign w:val="center"/>
          </w:tcPr>
          <w:p w14:paraId="1AD46EE9">
            <w:pPr>
              <w:shd w:val="clear" w:color="auto" w:fill="auto"/>
              <w:bidi w:val="0"/>
              <w:jc w:val="center"/>
              <w:rPr>
                <w:color w:val="000000"/>
                <w:highlight w:val="none"/>
                <w:lang w:val="en-US" w:eastAsia="zh-CN"/>
              </w:rPr>
            </w:pPr>
            <w:r>
              <w:rPr>
                <w:color w:val="000000"/>
                <w:highlight w:val="none"/>
              </w:rPr>
              <w:t>/</w:t>
            </w:r>
          </w:p>
        </w:tc>
        <w:tc>
          <w:tcPr>
            <w:tcW w:w="624" w:type="pct"/>
            <w:shd w:val="clear" w:color="auto" w:fill="auto"/>
            <w:noWrap w:val="0"/>
            <w:vAlign w:val="center"/>
          </w:tcPr>
          <w:p w14:paraId="60506A3D">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olor w:val="000000"/>
                <w:highlight w:val="none"/>
                <w:lang w:val="en-US" w:eastAsia="zh-CN"/>
              </w:rPr>
            </w:pPr>
            <w:r>
              <w:rPr>
                <w:rFonts w:hint="eastAsia" w:ascii="Times New Roman" w:hAnsi="Times New Roman" w:eastAsia="宋体" w:cs="Times New Roman"/>
                <w:color w:val="000000"/>
                <w:szCs w:val="21"/>
                <w:highlight w:val="none"/>
                <w:lang w:val="en-US" w:eastAsia="zh-CN"/>
              </w:rPr>
              <w:t>0.048</w:t>
            </w:r>
          </w:p>
        </w:tc>
        <w:tc>
          <w:tcPr>
            <w:tcW w:w="471" w:type="pct"/>
            <w:shd w:val="clear" w:color="auto" w:fill="auto"/>
            <w:noWrap w:val="0"/>
            <w:vAlign w:val="center"/>
          </w:tcPr>
          <w:p w14:paraId="64EE2A2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+0.048</w:t>
            </w:r>
          </w:p>
        </w:tc>
      </w:tr>
      <w:tr w14:paraId="11565C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33" w:type="pct"/>
            <w:vMerge w:val="continue"/>
            <w:shd w:val="clear" w:color="auto" w:fill="auto"/>
            <w:noWrap w:val="0"/>
            <w:vAlign w:val="center"/>
          </w:tcPr>
          <w:p w14:paraId="5BA96478">
            <w:pPr>
              <w:pStyle w:val="88"/>
              <w:shd w:val="clear" w:color="auto" w:fill="auto"/>
              <w:spacing w:beforeLines="0" w:afterLines="0" w:line="240" w:lineRule="auto"/>
              <w:rPr>
                <w:rFonts w:ascii="Times New Roman"/>
                <w:snapToGrid w:val="0"/>
                <w:color w:val="000000"/>
                <w:kern w:val="21"/>
                <w:sz w:val="21"/>
                <w:szCs w:val="21"/>
                <w:highlight w:val="none"/>
              </w:rPr>
            </w:pPr>
          </w:p>
        </w:tc>
        <w:tc>
          <w:tcPr>
            <w:tcW w:w="631" w:type="pct"/>
            <w:shd w:val="clear" w:color="auto" w:fill="auto"/>
            <w:noWrap w:val="0"/>
            <w:vAlign w:val="top"/>
          </w:tcPr>
          <w:p w14:paraId="7A2A054B">
            <w:pPr>
              <w:shd w:val="clear" w:color="auto" w:fill="auto"/>
              <w:bidi w:val="0"/>
              <w:jc w:val="center"/>
              <w:rPr>
                <w:rFonts w:hint="eastAsia"/>
                <w:color w:val="000000"/>
                <w:highlight w:val="none"/>
                <w:lang w:val="en-US" w:eastAsia="zh-CN"/>
              </w:rPr>
            </w:pPr>
            <w:r>
              <w:rPr>
                <w:color w:val="000000"/>
                <w:highlight w:val="none"/>
              </w:rPr>
              <w:t>氨氮</w:t>
            </w:r>
          </w:p>
        </w:tc>
        <w:tc>
          <w:tcPr>
            <w:tcW w:w="543" w:type="pct"/>
            <w:shd w:val="clear" w:color="auto" w:fill="auto"/>
            <w:noWrap w:val="0"/>
            <w:vAlign w:val="center"/>
          </w:tcPr>
          <w:p w14:paraId="1449FF2E">
            <w:pPr>
              <w:shd w:val="clear" w:color="auto" w:fill="auto"/>
              <w:bidi w:val="0"/>
              <w:jc w:val="center"/>
              <w:rPr>
                <w:color w:val="000000"/>
                <w:kern w:val="2"/>
                <w:sz w:val="21"/>
                <w:szCs w:val="21"/>
                <w:highlight w:val="none"/>
                <w:lang w:val="en-US" w:eastAsia="zh-CN" w:bidi="ar-SA"/>
              </w:rPr>
            </w:pPr>
            <w:r>
              <w:rPr>
                <w:color w:val="000000"/>
                <w:highlight w:val="none"/>
              </w:rPr>
              <w:t>/</w:t>
            </w:r>
          </w:p>
        </w:tc>
        <w:tc>
          <w:tcPr>
            <w:tcW w:w="462" w:type="pct"/>
            <w:shd w:val="clear" w:color="auto" w:fill="auto"/>
            <w:noWrap w:val="0"/>
            <w:vAlign w:val="center"/>
          </w:tcPr>
          <w:p w14:paraId="691AD0CC">
            <w:pPr>
              <w:shd w:val="clear" w:color="auto" w:fill="auto"/>
              <w:bidi w:val="0"/>
              <w:jc w:val="center"/>
              <w:rPr>
                <w:color w:val="000000"/>
                <w:highlight w:val="none"/>
                <w:lang w:val="en-US" w:eastAsia="zh-CN"/>
              </w:rPr>
            </w:pPr>
            <w:r>
              <w:rPr>
                <w:color w:val="000000"/>
                <w:highlight w:val="none"/>
              </w:rPr>
              <w:t>/</w:t>
            </w:r>
          </w:p>
        </w:tc>
        <w:tc>
          <w:tcPr>
            <w:tcW w:w="616" w:type="pct"/>
            <w:shd w:val="clear" w:color="auto" w:fill="auto"/>
            <w:noWrap w:val="0"/>
            <w:vAlign w:val="center"/>
          </w:tcPr>
          <w:p w14:paraId="22E3D5AA">
            <w:pPr>
              <w:shd w:val="clear" w:color="auto" w:fill="auto"/>
              <w:bidi w:val="0"/>
              <w:jc w:val="center"/>
              <w:rPr>
                <w:color w:val="000000"/>
                <w:highlight w:val="none"/>
                <w:lang w:val="en-US" w:eastAsia="zh-CN"/>
              </w:rPr>
            </w:pPr>
            <w:r>
              <w:rPr>
                <w:color w:val="000000"/>
                <w:highlight w:val="none"/>
              </w:rPr>
              <w:t>/</w:t>
            </w:r>
          </w:p>
        </w:tc>
        <w:tc>
          <w:tcPr>
            <w:tcW w:w="565" w:type="pct"/>
            <w:shd w:val="clear" w:color="auto" w:fill="auto"/>
            <w:noWrap w:val="0"/>
            <w:vAlign w:val="center"/>
          </w:tcPr>
          <w:p w14:paraId="29B7E63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0.0172</w:t>
            </w:r>
          </w:p>
        </w:tc>
        <w:tc>
          <w:tcPr>
            <w:tcW w:w="552" w:type="pct"/>
            <w:shd w:val="clear" w:color="auto" w:fill="auto"/>
            <w:noWrap w:val="0"/>
            <w:vAlign w:val="center"/>
          </w:tcPr>
          <w:p w14:paraId="723D4505">
            <w:pPr>
              <w:shd w:val="clear" w:color="auto" w:fill="auto"/>
              <w:bidi w:val="0"/>
              <w:jc w:val="center"/>
              <w:rPr>
                <w:color w:val="000000"/>
                <w:highlight w:val="none"/>
                <w:lang w:val="en-US" w:eastAsia="zh-CN"/>
              </w:rPr>
            </w:pPr>
            <w:r>
              <w:rPr>
                <w:color w:val="000000"/>
                <w:highlight w:val="none"/>
              </w:rPr>
              <w:t>/</w:t>
            </w:r>
          </w:p>
        </w:tc>
        <w:tc>
          <w:tcPr>
            <w:tcW w:w="624" w:type="pct"/>
            <w:shd w:val="clear" w:color="auto" w:fill="auto"/>
            <w:noWrap w:val="0"/>
            <w:vAlign w:val="center"/>
          </w:tcPr>
          <w:p w14:paraId="1D0C1A4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olor w:val="000000"/>
                <w:highlight w:val="none"/>
                <w:lang w:val="en-US" w:eastAsia="zh-CN"/>
              </w:rPr>
            </w:pPr>
            <w:r>
              <w:rPr>
                <w:rFonts w:hint="eastAsia" w:ascii="Times New Roman" w:hAnsi="Times New Roman" w:eastAsia="宋体" w:cs="Times New Roman"/>
                <w:color w:val="000000"/>
                <w:szCs w:val="21"/>
                <w:highlight w:val="none"/>
                <w:lang w:val="en-US" w:eastAsia="zh-CN"/>
              </w:rPr>
              <w:t>0.0172</w:t>
            </w:r>
          </w:p>
        </w:tc>
        <w:tc>
          <w:tcPr>
            <w:tcW w:w="471" w:type="pct"/>
            <w:shd w:val="clear" w:color="auto" w:fill="auto"/>
            <w:noWrap w:val="0"/>
            <w:vAlign w:val="center"/>
          </w:tcPr>
          <w:p w14:paraId="43FF6898">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+0.0172</w:t>
            </w:r>
          </w:p>
        </w:tc>
      </w:tr>
      <w:tr w14:paraId="45F59E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33" w:type="pct"/>
            <w:vMerge w:val="continue"/>
            <w:shd w:val="clear" w:color="auto" w:fill="auto"/>
            <w:noWrap w:val="0"/>
            <w:vAlign w:val="center"/>
          </w:tcPr>
          <w:p w14:paraId="135D7317">
            <w:pPr>
              <w:pStyle w:val="88"/>
              <w:shd w:val="clear" w:color="auto" w:fill="auto"/>
              <w:spacing w:beforeLines="0" w:afterLines="0" w:line="240" w:lineRule="auto"/>
              <w:rPr>
                <w:rFonts w:ascii="Times New Roman"/>
                <w:snapToGrid w:val="0"/>
                <w:color w:val="000000"/>
                <w:kern w:val="21"/>
                <w:sz w:val="21"/>
                <w:szCs w:val="21"/>
                <w:highlight w:val="none"/>
              </w:rPr>
            </w:pPr>
          </w:p>
        </w:tc>
        <w:tc>
          <w:tcPr>
            <w:tcW w:w="631" w:type="pct"/>
            <w:shd w:val="clear" w:color="auto" w:fill="auto"/>
            <w:noWrap w:val="0"/>
            <w:vAlign w:val="top"/>
          </w:tcPr>
          <w:p w14:paraId="35BEAE44">
            <w:pPr>
              <w:shd w:val="clear" w:color="auto" w:fill="auto"/>
              <w:bidi w:val="0"/>
              <w:jc w:val="center"/>
              <w:rPr>
                <w:rFonts w:hint="eastAsia"/>
                <w:color w:val="000000"/>
                <w:highlight w:val="none"/>
                <w:lang w:val="en-US" w:eastAsia="zh-CN"/>
              </w:rPr>
            </w:pPr>
            <w:r>
              <w:rPr>
                <w:color w:val="000000"/>
                <w:highlight w:val="none"/>
              </w:rPr>
              <w:t>总氮</w:t>
            </w:r>
          </w:p>
        </w:tc>
        <w:tc>
          <w:tcPr>
            <w:tcW w:w="543" w:type="pct"/>
            <w:shd w:val="clear" w:color="auto" w:fill="auto"/>
            <w:noWrap w:val="0"/>
            <w:vAlign w:val="center"/>
          </w:tcPr>
          <w:p w14:paraId="6B20774C">
            <w:pPr>
              <w:shd w:val="clear" w:color="auto" w:fill="auto"/>
              <w:bidi w:val="0"/>
              <w:jc w:val="center"/>
              <w:rPr>
                <w:color w:val="000000"/>
                <w:kern w:val="2"/>
                <w:sz w:val="21"/>
                <w:szCs w:val="21"/>
                <w:highlight w:val="none"/>
                <w:lang w:val="en-US" w:eastAsia="zh-CN" w:bidi="ar-SA"/>
              </w:rPr>
            </w:pPr>
            <w:r>
              <w:rPr>
                <w:color w:val="000000"/>
                <w:highlight w:val="none"/>
              </w:rPr>
              <w:t>/</w:t>
            </w:r>
          </w:p>
        </w:tc>
        <w:tc>
          <w:tcPr>
            <w:tcW w:w="462" w:type="pct"/>
            <w:shd w:val="clear" w:color="auto" w:fill="auto"/>
            <w:noWrap w:val="0"/>
            <w:vAlign w:val="center"/>
          </w:tcPr>
          <w:p w14:paraId="25D6EC21">
            <w:pPr>
              <w:shd w:val="clear" w:color="auto" w:fill="auto"/>
              <w:bidi w:val="0"/>
              <w:jc w:val="center"/>
              <w:rPr>
                <w:color w:val="000000"/>
                <w:highlight w:val="none"/>
                <w:lang w:val="en-US" w:eastAsia="zh-CN"/>
              </w:rPr>
            </w:pPr>
            <w:r>
              <w:rPr>
                <w:color w:val="000000"/>
                <w:highlight w:val="none"/>
              </w:rPr>
              <w:t>/</w:t>
            </w:r>
          </w:p>
        </w:tc>
        <w:tc>
          <w:tcPr>
            <w:tcW w:w="616" w:type="pct"/>
            <w:shd w:val="clear" w:color="auto" w:fill="auto"/>
            <w:noWrap w:val="0"/>
            <w:vAlign w:val="center"/>
          </w:tcPr>
          <w:p w14:paraId="1701A6BD">
            <w:pPr>
              <w:shd w:val="clear" w:color="auto" w:fill="auto"/>
              <w:bidi w:val="0"/>
              <w:jc w:val="center"/>
              <w:rPr>
                <w:color w:val="000000"/>
                <w:highlight w:val="none"/>
                <w:lang w:val="en-US" w:eastAsia="zh-CN"/>
              </w:rPr>
            </w:pPr>
            <w:r>
              <w:rPr>
                <w:color w:val="000000"/>
                <w:highlight w:val="none"/>
              </w:rPr>
              <w:t>/</w:t>
            </w:r>
          </w:p>
        </w:tc>
        <w:tc>
          <w:tcPr>
            <w:tcW w:w="565" w:type="pct"/>
            <w:shd w:val="clear" w:color="auto" w:fill="auto"/>
            <w:noWrap w:val="0"/>
            <w:vAlign w:val="center"/>
          </w:tcPr>
          <w:p w14:paraId="40917B47">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0.053</w:t>
            </w:r>
          </w:p>
        </w:tc>
        <w:tc>
          <w:tcPr>
            <w:tcW w:w="552" w:type="pct"/>
            <w:shd w:val="clear" w:color="auto" w:fill="auto"/>
            <w:noWrap w:val="0"/>
            <w:vAlign w:val="center"/>
          </w:tcPr>
          <w:p w14:paraId="57CA82DB">
            <w:pPr>
              <w:shd w:val="clear" w:color="auto" w:fill="auto"/>
              <w:bidi w:val="0"/>
              <w:jc w:val="center"/>
              <w:rPr>
                <w:color w:val="000000"/>
                <w:highlight w:val="none"/>
                <w:lang w:val="en-US" w:eastAsia="zh-CN"/>
              </w:rPr>
            </w:pPr>
            <w:r>
              <w:rPr>
                <w:color w:val="000000"/>
                <w:highlight w:val="none"/>
              </w:rPr>
              <w:t>/</w:t>
            </w:r>
          </w:p>
        </w:tc>
        <w:tc>
          <w:tcPr>
            <w:tcW w:w="624" w:type="pct"/>
            <w:shd w:val="clear" w:color="auto" w:fill="auto"/>
            <w:noWrap w:val="0"/>
            <w:vAlign w:val="center"/>
          </w:tcPr>
          <w:p w14:paraId="6C4F8C91">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olor w:val="000000"/>
                <w:highlight w:val="none"/>
                <w:lang w:val="en-US" w:eastAsia="zh-CN"/>
              </w:rPr>
            </w:pPr>
            <w:r>
              <w:rPr>
                <w:rFonts w:hint="eastAsia" w:ascii="Times New Roman" w:hAnsi="Times New Roman" w:eastAsia="宋体" w:cs="Times New Roman"/>
                <w:color w:val="000000"/>
                <w:szCs w:val="21"/>
                <w:highlight w:val="none"/>
                <w:lang w:val="en-US" w:eastAsia="zh-CN"/>
              </w:rPr>
              <w:t>0.053</w:t>
            </w:r>
          </w:p>
        </w:tc>
        <w:tc>
          <w:tcPr>
            <w:tcW w:w="471" w:type="pct"/>
            <w:shd w:val="clear" w:color="auto" w:fill="auto"/>
            <w:noWrap w:val="0"/>
            <w:vAlign w:val="center"/>
          </w:tcPr>
          <w:p w14:paraId="24784A2B">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+0.053</w:t>
            </w:r>
          </w:p>
        </w:tc>
      </w:tr>
      <w:tr w14:paraId="1D4691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33" w:type="pct"/>
            <w:vMerge w:val="continue"/>
            <w:shd w:val="clear" w:color="auto" w:fill="auto"/>
            <w:noWrap w:val="0"/>
            <w:vAlign w:val="center"/>
          </w:tcPr>
          <w:p w14:paraId="6B60D0FC">
            <w:pPr>
              <w:pStyle w:val="88"/>
              <w:shd w:val="clear" w:color="auto" w:fill="auto"/>
              <w:spacing w:beforeLines="0" w:afterLines="0" w:line="240" w:lineRule="auto"/>
              <w:rPr>
                <w:rFonts w:ascii="Times New Roman"/>
                <w:snapToGrid w:val="0"/>
                <w:color w:val="000000"/>
                <w:kern w:val="21"/>
                <w:sz w:val="21"/>
                <w:szCs w:val="21"/>
                <w:highlight w:val="none"/>
              </w:rPr>
            </w:pPr>
          </w:p>
        </w:tc>
        <w:tc>
          <w:tcPr>
            <w:tcW w:w="631" w:type="pct"/>
            <w:shd w:val="clear" w:color="auto" w:fill="auto"/>
            <w:noWrap w:val="0"/>
            <w:vAlign w:val="top"/>
          </w:tcPr>
          <w:p w14:paraId="7922C7CE">
            <w:pPr>
              <w:shd w:val="clear" w:color="auto" w:fill="auto"/>
              <w:bidi w:val="0"/>
              <w:jc w:val="center"/>
              <w:rPr>
                <w:rFonts w:hint="eastAsia"/>
                <w:color w:val="000000"/>
                <w:highlight w:val="none"/>
                <w:lang w:val="en-US" w:eastAsia="zh-CN"/>
              </w:rPr>
            </w:pPr>
            <w:r>
              <w:rPr>
                <w:color w:val="000000"/>
                <w:highlight w:val="none"/>
              </w:rPr>
              <w:t>总磷</w:t>
            </w:r>
          </w:p>
        </w:tc>
        <w:tc>
          <w:tcPr>
            <w:tcW w:w="543" w:type="pct"/>
            <w:shd w:val="clear" w:color="auto" w:fill="auto"/>
            <w:noWrap w:val="0"/>
            <w:vAlign w:val="center"/>
          </w:tcPr>
          <w:p w14:paraId="560360E6">
            <w:pPr>
              <w:shd w:val="clear" w:color="auto" w:fill="auto"/>
              <w:bidi w:val="0"/>
              <w:jc w:val="center"/>
              <w:rPr>
                <w:color w:val="000000"/>
                <w:kern w:val="2"/>
                <w:sz w:val="21"/>
                <w:szCs w:val="21"/>
                <w:highlight w:val="none"/>
                <w:lang w:val="en-US" w:eastAsia="zh-CN" w:bidi="ar-SA"/>
              </w:rPr>
            </w:pPr>
            <w:r>
              <w:rPr>
                <w:color w:val="000000"/>
                <w:highlight w:val="none"/>
              </w:rPr>
              <w:t>/</w:t>
            </w:r>
          </w:p>
        </w:tc>
        <w:tc>
          <w:tcPr>
            <w:tcW w:w="462" w:type="pct"/>
            <w:shd w:val="clear" w:color="auto" w:fill="auto"/>
            <w:noWrap w:val="0"/>
            <w:vAlign w:val="center"/>
          </w:tcPr>
          <w:p w14:paraId="33A9E9D3">
            <w:pPr>
              <w:shd w:val="clear" w:color="auto" w:fill="auto"/>
              <w:bidi w:val="0"/>
              <w:jc w:val="center"/>
              <w:rPr>
                <w:color w:val="000000"/>
                <w:highlight w:val="none"/>
                <w:lang w:val="en-US" w:eastAsia="zh-CN"/>
              </w:rPr>
            </w:pPr>
            <w:r>
              <w:rPr>
                <w:color w:val="000000"/>
                <w:highlight w:val="none"/>
              </w:rPr>
              <w:t>/</w:t>
            </w:r>
          </w:p>
        </w:tc>
        <w:tc>
          <w:tcPr>
            <w:tcW w:w="616" w:type="pct"/>
            <w:shd w:val="clear" w:color="auto" w:fill="auto"/>
            <w:noWrap w:val="0"/>
            <w:vAlign w:val="center"/>
          </w:tcPr>
          <w:p w14:paraId="2B7B209F">
            <w:pPr>
              <w:shd w:val="clear" w:color="auto" w:fill="auto"/>
              <w:bidi w:val="0"/>
              <w:jc w:val="center"/>
              <w:rPr>
                <w:color w:val="000000"/>
                <w:highlight w:val="none"/>
                <w:lang w:val="en-US" w:eastAsia="zh-CN"/>
              </w:rPr>
            </w:pPr>
            <w:r>
              <w:rPr>
                <w:color w:val="000000"/>
                <w:highlight w:val="none"/>
              </w:rPr>
              <w:t>/</w:t>
            </w:r>
          </w:p>
        </w:tc>
        <w:tc>
          <w:tcPr>
            <w:tcW w:w="565" w:type="pct"/>
            <w:shd w:val="clear" w:color="auto" w:fill="auto"/>
            <w:noWrap w:val="0"/>
            <w:vAlign w:val="center"/>
          </w:tcPr>
          <w:p w14:paraId="297E09A0">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0.0017</w:t>
            </w:r>
          </w:p>
        </w:tc>
        <w:tc>
          <w:tcPr>
            <w:tcW w:w="552" w:type="pct"/>
            <w:shd w:val="clear" w:color="auto" w:fill="auto"/>
            <w:noWrap w:val="0"/>
            <w:vAlign w:val="center"/>
          </w:tcPr>
          <w:p w14:paraId="431139E3">
            <w:pPr>
              <w:shd w:val="clear" w:color="auto" w:fill="auto"/>
              <w:bidi w:val="0"/>
              <w:jc w:val="center"/>
              <w:rPr>
                <w:color w:val="000000"/>
                <w:highlight w:val="none"/>
                <w:lang w:val="en-US" w:eastAsia="zh-CN"/>
              </w:rPr>
            </w:pPr>
            <w:r>
              <w:rPr>
                <w:color w:val="000000"/>
                <w:highlight w:val="none"/>
              </w:rPr>
              <w:t>/</w:t>
            </w:r>
          </w:p>
        </w:tc>
        <w:tc>
          <w:tcPr>
            <w:tcW w:w="624" w:type="pct"/>
            <w:shd w:val="clear" w:color="auto" w:fill="auto"/>
            <w:noWrap w:val="0"/>
            <w:vAlign w:val="center"/>
          </w:tcPr>
          <w:p w14:paraId="385945E9">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olor w:val="000000"/>
                <w:highlight w:val="none"/>
                <w:lang w:val="en-US" w:eastAsia="zh-CN"/>
              </w:rPr>
            </w:pPr>
            <w:r>
              <w:rPr>
                <w:rFonts w:hint="eastAsia" w:ascii="Times New Roman" w:hAnsi="Times New Roman" w:eastAsia="宋体" w:cs="Times New Roman"/>
                <w:color w:val="000000"/>
                <w:szCs w:val="21"/>
                <w:highlight w:val="none"/>
                <w:lang w:val="en-US" w:eastAsia="zh-CN"/>
              </w:rPr>
              <w:t>0.0017</w:t>
            </w:r>
          </w:p>
        </w:tc>
        <w:tc>
          <w:tcPr>
            <w:tcW w:w="471" w:type="pct"/>
            <w:shd w:val="clear" w:color="auto" w:fill="auto"/>
            <w:noWrap w:val="0"/>
            <w:vAlign w:val="center"/>
          </w:tcPr>
          <w:p w14:paraId="315A1F34">
            <w:pPr>
              <w:keepNext w:val="0"/>
              <w:keepLines w:val="0"/>
              <w:pageBreakBefore w:val="0"/>
              <w:widowControl/>
              <w:suppressLineNumbers w:val="0"/>
              <w:shd w:val="clear" w:color="auto" w:fill="auto"/>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olor w:val="000000"/>
                <w:kern w:val="2"/>
                <w:sz w:val="21"/>
                <w:szCs w:val="21"/>
                <w:highlight w:val="none"/>
                <w:lang w:val="en-US" w:eastAsia="zh-CN" w:bidi="ar-SA"/>
              </w:rPr>
            </w:pPr>
            <w:r>
              <w:rPr>
                <w:rFonts w:hint="eastAsia" w:ascii="Times New Roman" w:hAnsi="Times New Roman" w:eastAsia="宋体" w:cs="Times New Roman"/>
                <w:color w:val="000000"/>
                <w:szCs w:val="21"/>
                <w:highlight w:val="none"/>
                <w:lang w:val="en-US" w:eastAsia="zh-CN"/>
              </w:rPr>
              <w:t>+0.0017</w:t>
            </w:r>
          </w:p>
        </w:tc>
      </w:tr>
      <w:tr w14:paraId="0D1695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33" w:type="pct"/>
            <w:vMerge w:val="restart"/>
            <w:shd w:val="clear" w:color="auto" w:fill="auto"/>
            <w:noWrap w:val="0"/>
            <w:vAlign w:val="center"/>
          </w:tcPr>
          <w:p w14:paraId="28CDD7DB">
            <w:pPr>
              <w:pStyle w:val="88"/>
              <w:shd w:val="clear" w:color="auto" w:fill="auto"/>
              <w:spacing w:beforeLines="0" w:afterLines="0" w:line="240" w:lineRule="auto"/>
              <w:rPr>
                <w:rFonts w:ascii="Times New Roman"/>
                <w:snapToGrid w:val="0"/>
                <w:color w:val="000000"/>
                <w:kern w:val="21"/>
                <w:sz w:val="21"/>
                <w:szCs w:val="21"/>
                <w:highlight w:val="none"/>
              </w:rPr>
            </w:pPr>
            <w:r>
              <w:rPr>
                <w:rFonts w:ascii="Times New Roman"/>
                <w:snapToGrid w:val="0"/>
                <w:color w:val="000000"/>
                <w:kern w:val="21"/>
                <w:sz w:val="21"/>
                <w:szCs w:val="21"/>
                <w:highlight w:val="none"/>
              </w:rPr>
              <w:t>一般工业</w:t>
            </w:r>
          </w:p>
          <w:p w14:paraId="715B1629">
            <w:pPr>
              <w:pStyle w:val="88"/>
              <w:shd w:val="clear" w:color="auto" w:fill="auto"/>
              <w:spacing w:beforeLines="0" w:afterLines="0" w:line="240" w:lineRule="auto"/>
              <w:rPr>
                <w:rFonts w:ascii="Times New Roman"/>
                <w:snapToGrid w:val="0"/>
                <w:color w:val="000000"/>
                <w:kern w:val="21"/>
                <w:sz w:val="21"/>
                <w:szCs w:val="21"/>
                <w:highlight w:val="none"/>
              </w:rPr>
            </w:pPr>
            <w:r>
              <w:rPr>
                <w:rFonts w:ascii="Times New Roman"/>
                <w:snapToGrid w:val="0"/>
                <w:color w:val="000000"/>
                <w:kern w:val="21"/>
                <w:sz w:val="21"/>
                <w:szCs w:val="21"/>
                <w:highlight w:val="none"/>
              </w:rPr>
              <w:t>固体废物</w:t>
            </w:r>
          </w:p>
        </w:tc>
        <w:tc>
          <w:tcPr>
            <w:tcW w:w="631" w:type="pct"/>
            <w:shd w:val="clear" w:color="auto" w:fill="auto"/>
            <w:noWrap w:val="0"/>
            <w:vAlign w:val="center"/>
          </w:tcPr>
          <w:p w14:paraId="636FCE39">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lang w:val="en-US" w:eastAsia="zh-CN"/>
              </w:rPr>
              <w:t>酒糟</w:t>
            </w:r>
          </w:p>
        </w:tc>
        <w:tc>
          <w:tcPr>
            <w:tcW w:w="543" w:type="pct"/>
            <w:shd w:val="clear" w:color="auto" w:fill="auto"/>
            <w:noWrap w:val="0"/>
            <w:vAlign w:val="center"/>
          </w:tcPr>
          <w:p w14:paraId="7B2AED52">
            <w:pPr>
              <w:pStyle w:val="88"/>
              <w:shd w:val="clear" w:color="auto" w:fill="auto"/>
              <w:spacing w:beforeLines="0" w:afterLines="0" w:line="240" w:lineRule="auto"/>
              <w:rPr>
                <w:rFonts w:hint="default"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462" w:type="pct"/>
            <w:shd w:val="clear" w:color="auto" w:fill="auto"/>
            <w:noWrap w:val="0"/>
            <w:vAlign w:val="center"/>
          </w:tcPr>
          <w:p w14:paraId="32F0681F">
            <w:pPr>
              <w:pStyle w:val="88"/>
              <w:shd w:val="clear" w:color="auto" w:fill="auto"/>
              <w:spacing w:beforeLines="0" w:afterLines="0" w:line="240" w:lineRule="auto"/>
              <w:rPr>
                <w:rFonts w:ascii="Times New Roman"/>
                <w:snapToGrid w:val="0"/>
                <w:color w:val="000000"/>
                <w:kern w:val="21"/>
                <w:sz w:val="21"/>
                <w:szCs w:val="21"/>
                <w:highlight w:val="none"/>
              </w:rPr>
            </w:pPr>
            <w:r>
              <w:rPr>
                <w:rFonts w:ascii="Times New Roman"/>
                <w:snapToGrid w:val="0"/>
                <w:color w:val="000000"/>
                <w:kern w:val="21"/>
                <w:sz w:val="21"/>
                <w:szCs w:val="21"/>
                <w:highlight w:val="none"/>
              </w:rPr>
              <w:t>/</w:t>
            </w:r>
          </w:p>
        </w:tc>
        <w:tc>
          <w:tcPr>
            <w:tcW w:w="616" w:type="pct"/>
            <w:shd w:val="clear" w:color="auto" w:fill="auto"/>
            <w:noWrap w:val="0"/>
            <w:vAlign w:val="center"/>
          </w:tcPr>
          <w:p w14:paraId="0BB48364">
            <w:pPr>
              <w:pStyle w:val="88"/>
              <w:shd w:val="clear" w:color="auto" w:fill="auto"/>
              <w:spacing w:beforeLines="0" w:afterLines="0" w:line="240" w:lineRule="auto"/>
              <w:rPr>
                <w:rFonts w:ascii="Times New Roman"/>
                <w:snapToGrid w:val="0"/>
                <w:color w:val="000000"/>
                <w:kern w:val="21"/>
                <w:sz w:val="21"/>
                <w:szCs w:val="21"/>
                <w:highlight w:val="none"/>
              </w:rPr>
            </w:pPr>
            <w:r>
              <w:rPr>
                <w:rFonts w:ascii="Times New Roman"/>
                <w:snapToGrid w:val="0"/>
                <w:color w:val="000000"/>
                <w:kern w:val="21"/>
                <w:sz w:val="21"/>
                <w:szCs w:val="21"/>
                <w:highlight w:val="none"/>
              </w:rPr>
              <w:t>/</w:t>
            </w:r>
          </w:p>
        </w:tc>
        <w:tc>
          <w:tcPr>
            <w:tcW w:w="565" w:type="pct"/>
            <w:shd w:val="clear" w:color="auto" w:fill="auto"/>
            <w:noWrap w:val="0"/>
            <w:vAlign w:val="center"/>
          </w:tcPr>
          <w:p w14:paraId="04010F1E">
            <w:pPr>
              <w:shd w:val="clear" w:color="auto" w:fill="auto"/>
              <w:bidi w:val="0"/>
              <w:jc w:val="center"/>
              <w:rPr>
                <w:rFonts w:hint="default"/>
                <w:color w:val="000000"/>
                <w:kern w:val="2"/>
                <w:sz w:val="21"/>
                <w:szCs w:val="21"/>
                <w:highlight w:val="none"/>
                <w:lang w:val="en-US" w:eastAsia="zh-CN" w:bidi="ar-SA"/>
              </w:rPr>
            </w:pPr>
            <w:r>
              <w:rPr>
                <w:rFonts w:hint="eastAsia"/>
                <w:color w:val="000000"/>
                <w:highlight w:val="none"/>
                <w:lang w:val="en-US" w:eastAsia="zh-CN"/>
              </w:rPr>
              <w:t>4581.927</w:t>
            </w:r>
          </w:p>
        </w:tc>
        <w:tc>
          <w:tcPr>
            <w:tcW w:w="552" w:type="pct"/>
            <w:shd w:val="clear" w:color="auto" w:fill="auto"/>
            <w:noWrap w:val="0"/>
            <w:vAlign w:val="center"/>
          </w:tcPr>
          <w:p w14:paraId="38E2BB9E">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624" w:type="pct"/>
            <w:shd w:val="clear" w:color="auto" w:fill="auto"/>
            <w:noWrap w:val="0"/>
            <w:vAlign w:val="center"/>
          </w:tcPr>
          <w:p w14:paraId="2CB3CB5D">
            <w:pPr>
              <w:shd w:val="clear" w:color="auto" w:fill="auto"/>
              <w:bidi w:val="0"/>
              <w:jc w:val="center"/>
              <w:rPr>
                <w:rFonts w:hint="default" w:ascii="Times New Roman"/>
                <w:snapToGrid w:val="0"/>
                <w:color w:val="000000"/>
                <w:kern w:val="21"/>
                <w:sz w:val="21"/>
                <w:szCs w:val="21"/>
                <w:highlight w:val="none"/>
                <w:lang w:val="en-US" w:eastAsia="zh-CN" w:bidi="ar-SA"/>
              </w:rPr>
            </w:pPr>
            <w:r>
              <w:rPr>
                <w:rFonts w:hint="eastAsia"/>
                <w:color w:val="000000"/>
                <w:highlight w:val="none"/>
                <w:lang w:val="en-US" w:eastAsia="zh-CN"/>
              </w:rPr>
              <w:t>4581.927</w:t>
            </w:r>
          </w:p>
        </w:tc>
        <w:tc>
          <w:tcPr>
            <w:tcW w:w="471" w:type="pct"/>
            <w:shd w:val="clear" w:color="auto" w:fill="auto"/>
            <w:noWrap w:val="0"/>
            <w:vAlign w:val="center"/>
          </w:tcPr>
          <w:p w14:paraId="4AD4A7A2">
            <w:pPr>
              <w:shd w:val="clear" w:color="auto" w:fill="auto"/>
              <w:bidi w:val="0"/>
              <w:jc w:val="center"/>
              <w:rPr>
                <w:rFonts w:hint="default"/>
                <w:color w:val="000000"/>
                <w:kern w:val="2"/>
                <w:sz w:val="21"/>
                <w:szCs w:val="21"/>
                <w:highlight w:val="none"/>
                <w:lang w:val="en-US" w:eastAsia="zh-CN" w:bidi="ar-SA"/>
              </w:rPr>
            </w:pPr>
            <w:r>
              <w:rPr>
                <w:rFonts w:hint="eastAsia"/>
                <w:color w:val="000000"/>
                <w:highlight w:val="none"/>
                <w:lang w:val="en-US" w:eastAsia="zh-CN"/>
              </w:rPr>
              <w:t>+4581.927</w:t>
            </w:r>
          </w:p>
        </w:tc>
      </w:tr>
      <w:tr w14:paraId="2A843F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33" w:type="pct"/>
            <w:vMerge w:val="continue"/>
            <w:shd w:val="clear" w:color="auto" w:fill="auto"/>
            <w:noWrap w:val="0"/>
            <w:vAlign w:val="center"/>
          </w:tcPr>
          <w:p w14:paraId="160E928A">
            <w:pPr>
              <w:pStyle w:val="88"/>
              <w:shd w:val="clear" w:color="auto" w:fill="auto"/>
              <w:spacing w:beforeLines="0" w:afterLines="0" w:line="240" w:lineRule="auto"/>
              <w:rPr>
                <w:rFonts w:ascii="Times New Roman"/>
                <w:snapToGrid w:val="0"/>
                <w:color w:val="000000"/>
                <w:kern w:val="21"/>
                <w:sz w:val="21"/>
                <w:szCs w:val="21"/>
                <w:highlight w:val="none"/>
              </w:rPr>
            </w:pPr>
          </w:p>
        </w:tc>
        <w:tc>
          <w:tcPr>
            <w:tcW w:w="631" w:type="pct"/>
            <w:shd w:val="clear" w:color="auto" w:fill="auto"/>
            <w:noWrap w:val="0"/>
            <w:vAlign w:val="center"/>
          </w:tcPr>
          <w:p w14:paraId="40A56A93">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lang w:val="en-US" w:eastAsia="zh-CN"/>
              </w:rPr>
              <w:t>除尘器收集粉尘</w:t>
            </w:r>
          </w:p>
        </w:tc>
        <w:tc>
          <w:tcPr>
            <w:tcW w:w="543" w:type="pct"/>
            <w:shd w:val="clear" w:color="auto" w:fill="auto"/>
            <w:noWrap w:val="0"/>
            <w:vAlign w:val="center"/>
          </w:tcPr>
          <w:p w14:paraId="651EC30D">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462" w:type="pct"/>
            <w:shd w:val="clear" w:color="auto" w:fill="auto"/>
            <w:noWrap w:val="0"/>
            <w:vAlign w:val="center"/>
          </w:tcPr>
          <w:p w14:paraId="439F4A4A">
            <w:pPr>
              <w:pStyle w:val="88"/>
              <w:shd w:val="clear" w:color="auto" w:fill="auto"/>
              <w:spacing w:beforeLines="0" w:afterLines="0" w:line="240" w:lineRule="auto"/>
              <w:rPr>
                <w:rFonts w:ascii="Times New Roman"/>
                <w:snapToGrid w:val="0"/>
                <w:color w:val="000000"/>
                <w:kern w:val="21"/>
                <w:sz w:val="21"/>
                <w:szCs w:val="21"/>
                <w:highlight w:val="none"/>
              </w:rPr>
            </w:pPr>
            <w:r>
              <w:rPr>
                <w:rFonts w:ascii="Times New Roman"/>
                <w:snapToGrid w:val="0"/>
                <w:color w:val="000000"/>
                <w:kern w:val="21"/>
                <w:sz w:val="21"/>
                <w:szCs w:val="21"/>
                <w:highlight w:val="none"/>
              </w:rPr>
              <w:t>/</w:t>
            </w:r>
          </w:p>
        </w:tc>
        <w:tc>
          <w:tcPr>
            <w:tcW w:w="616" w:type="pct"/>
            <w:shd w:val="clear" w:color="auto" w:fill="auto"/>
            <w:noWrap w:val="0"/>
            <w:vAlign w:val="center"/>
          </w:tcPr>
          <w:p w14:paraId="32F187ED">
            <w:pPr>
              <w:pStyle w:val="88"/>
              <w:shd w:val="clear" w:color="auto" w:fill="auto"/>
              <w:spacing w:beforeLines="0" w:afterLines="0" w:line="240" w:lineRule="auto"/>
              <w:rPr>
                <w:rFonts w:ascii="Times New Roman"/>
                <w:snapToGrid w:val="0"/>
                <w:color w:val="000000"/>
                <w:kern w:val="21"/>
                <w:sz w:val="21"/>
                <w:szCs w:val="21"/>
                <w:highlight w:val="none"/>
              </w:rPr>
            </w:pPr>
            <w:r>
              <w:rPr>
                <w:rFonts w:ascii="Times New Roman"/>
                <w:snapToGrid w:val="0"/>
                <w:color w:val="000000"/>
                <w:kern w:val="21"/>
                <w:sz w:val="21"/>
                <w:szCs w:val="21"/>
                <w:highlight w:val="none"/>
              </w:rPr>
              <w:t>/</w:t>
            </w:r>
          </w:p>
        </w:tc>
        <w:tc>
          <w:tcPr>
            <w:tcW w:w="565" w:type="pct"/>
            <w:shd w:val="clear" w:color="auto" w:fill="auto"/>
            <w:noWrap w:val="0"/>
            <w:vAlign w:val="center"/>
          </w:tcPr>
          <w:p w14:paraId="48052B08">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lang w:val="en-US" w:eastAsia="zh-CN"/>
              </w:rPr>
              <w:t>4.872</w:t>
            </w:r>
          </w:p>
        </w:tc>
        <w:tc>
          <w:tcPr>
            <w:tcW w:w="552" w:type="pct"/>
            <w:shd w:val="clear" w:color="auto" w:fill="auto"/>
            <w:noWrap w:val="0"/>
            <w:vAlign w:val="center"/>
          </w:tcPr>
          <w:p w14:paraId="2EE36121">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624" w:type="pct"/>
            <w:shd w:val="clear" w:color="auto" w:fill="auto"/>
            <w:noWrap w:val="0"/>
            <w:vAlign w:val="center"/>
          </w:tcPr>
          <w:p w14:paraId="0FF2A753">
            <w:pPr>
              <w:shd w:val="clear" w:color="auto" w:fill="auto"/>
              <w:bidi w:val="0"/>
              <w:jc w:val="center"/>
              <w:rPr>
                <w:rFonts w:hint="eastAsia" w:ascii="Times New Roman"/>
                <w:snapToGrid w:val="0"/>
                <w:color w:val="000000"/>
                <w:kern w:val="21"/>
                <w:sz w:val="21"/>
                <w:szCs w:val="21"/>
                <w:highlight w:val="none"/>
                <w:lang w:val="en-US" w:eastAsia="zh-CN" w:bidi="ar-SA"/>
              </w:rPr>
            </w:pPr>
            <w:r>
              <w:rPr>
                <w:rFonts w:hint="eastAsia"/>
                <w:color w:val="000000"/>
                <w:highlight w:val="none"/>
                <w:lang w:val="en-US" w:eastAsia="zh-CN"/>
              </w:rPr>
              <w:t>4.872</w:t>
            </w:r>
          </w:p>
        </w:tc>
        <w:tc>
          <w:tcPr>
            <w:tcW w:w="471" w:type="pct"/>
            <w:shd w:val="clear" w:color="auto" w:fill="auto"/>
            <w:noWrap w:val="0"/>
            <w:vAlign w:val="center"/>
          </w:tcPr>
          <w:p w14:paraId="7336C110">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lang w:val="en-US" w:eastAsia="zh-CN"/>
              </w:rPr>
              <w:t>+4.872</w:t>
            </w:r>
          </w:p>
        </w:tc>
      </w:tr>
      <w:tr w14:paraId="38F232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62" w:hRule="atLeast"/>
        </w:trPr>
        <w:tc>
          <w:tcPr>
            <w:tcW w:w="533" w:type="pct"/>
            <w:vMerge w:val="continue"/>
            <w:shd w:val="clear" w:color="auto" w:fill="auto"/>
            <w:noWrap w:val="0"/>
            <w:vAlign w:val="center"/>
          </w:tcPr>
          <w:p w14:paraId="5B5016EA">
            <w:pPr>
              <w:pStyle w:val="88"/>
              <w:shd w:val="clear" w:color="auto" w:fill="auto"/>
              <w:spacing w:beforeLines="0" w:afterLines="0" w:line="240" w:lineRule="auto"/>
              <w:rPr>
                <w:rFonts w:ascii="Times New Roman"/>
                <w:snapToGrid w:val="0"/>
                <w:color w:val="000000"/>
                <w:kern w:val="21"/>
                <w:sz w:val="21"/>
                <w:szCs w:val="21"/>
                <w:highlight w:val="none"/>
              </w:rPr>
            </w:pPr>
          </w:p>
        </w:tc>
        <w:tc>
          <w:tcPr>
            <w:tcW w:w="631" w:type="pct"/>
            <w:shd w:val="clear" w:color="auto" w:fill="auto"/>
            <w:noWrap w:val="0"/>
            <w:vAlign w:val="center"/>
          </w:tcPr>
          <w:p w14:paraId="52AD1E63">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lang w:val="en-US" w:eastAsia="zh-CN"/>
              </w:rPr>
              <w:t>废包装材料</w:t>
            </w:r>
          </w:p>
        </w:tc>
        <w:tc>
          <w:tcPr>
            <w:tcW w:w="543" w:type="pct"/>
            <w:shd w:val="clear" w:color="auto" w:fill="auto"/>
            <w:noWrap w:val="0"/>
            <w:vAlign w:val="center"/>
          </w:tcPr>
          <w:p w14:paraId="105C5CF5">
            <w:pPr>
              <w:pStyle w:val="88"/>
              <w:shd w:val="clear" w:color="auto" w:fill="auto"/>
              <w:spacing w:beforeLines="0" w:afterLines="0" w:line="240" w:lineRule="auto"/>
              <w:rPr>
                <w:rFonts w:hint="eastAsia"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462" w:type="pct"/>
            <w:shd w:val="clear" w:color="auto" w:fill="auto"/>
            <w:noWrap w:val="0"/>
            <w:vAlign w:val="center"/>
          </w:tcPr>
          <w:p w14:paraId="21BF030F">
            <w:pPr>
              <w:pStyle w:val="88"/>
              <w:shd w:val="clear" w:color="auto" w:fill="auto"/>
              <w:spacing w:beforeLines="0" w:afterLines="0" w:line="240" w:lineRule="auto"/>
              <w:rPr>
                <w:rFonts w:ascii="Times New Roman"/>
                <w:snapToGrid w:val="0"/>
                <w:color w:val="000000"/>
                <w:kern w:val="21"/>
                <w:sz w:val="21"/>
                <w:szCs w:val="21"/>
                <w:highlight w:val="none"/>
              </w:rPr>
            </w:pPr>
            <w:r>
              <w:rPr>
                <w:rFonts w:ascii="Times New Roman"/>
                <w:snapToGrid w:val="0"/>
                <w:color w:val="000000"/>
                <w:kern w:val="21"/>
                <w:sz w:val="21"/>
                <w:szCs w:val="21"/>
                <w:highlight w:val="none"/>
              </w:rPr>
              <w:t>/</w:t>
            </w:r>
          </w:p>
        </w:tc>
        <w:tc>
          <w:tcPr>
            <w:tcW w:w="616" w:type="pct"/>
            <w:shd w:val="clear" w:color="auto" w:fill="auto"/>
            <w:noWrap w:val="0"/>
            <w:vAlign w:val="center"/>
          </w:tcPr>
          <w:p w14:paraId="2137438A">
            <w:pPr>
              <w:pStyle w:val="88"/>
              <w:shd w:val="clear" w:color="auto" w:fill="auto"/>
              <w:spacing w:beforeLines="0" w:afterLines="0" w:line="240" w:lineRule="auto"/>
              <w:rPr>
                <w:rFonts w:ascii="Times New Roman"/>
                <w:snapToGrid w:val="0"/>
                <w:color w:val="000000"/>
                <w:kern w:val="21"/>
                <w:sz w:val="21"/>
                <w:szCs w:val="21"/>
                <w:highlight w:val="none"/>
              </w:rPr>
            </w:pPr>
            <w:r>
              <w:rPr>
                <w:rFonts w:ascii="Times New Roman"/>
                <w:snapToGrid w:val="0"/>
                <w:color w:val="000000"/>
                <w:kern w:val="21"/>
                <w:sz w:val="21"/>
                <w:szCs w:val="21"/>
                <w:highlight w:val="none"/>
              </w:rPr>
              <w:t>/</w:t>
            </w:r>
          </w:p>
        </w:tc>
        <w:tc>
          <w:tcPr>
            <w:tcW w:w="565" w:type="pct"/>
            <w:shd w:val="clear" w:color="auto" w:fill="auto"/>
            <w:noWrap w:val="0"/>
            <w:vAlign w:val="center"/>
          </w:tcPr>
          <w:p w14:paraId="6B271457">
            <w:pPr>
              <w:shd w:val="clear" w:color="auto" w:fill="auto"/>
              <w:bidi w:val="0"/>
              <w:jc w:val="center"/>
              <w:rPr>
                <w:rFonts w:hint="eastAsia"/>
                <w:color w:val="000000"/>
                <w:kern w:val="2"/>
                <w:sz w:val="21"/>
                <w:szCs w:val="21"/>
                <w:highlight w:val="none"/>
                <w:lang w:val="en-US" w:eastAsia="zh-CN" w:bidi="ar-SA"/>
              </w:rPr>
            </w:pPr>
            <w:r>
              <w:rPr>
                <w:rFonts w:hint="default"/>
                <w:color w:val="000000"/>
                <w:highlight w:val="none"/>
                <w:lang w:val="en-US" w:eastAsia="zh-CN"/>
              </w:rPr>
              <w:t>2.25</w:t>
            </w:r>
          </w:p>
        </w:tc>
        <w:tc>
          <w:tcPr>
            <w:tcW w:w="552" w:type="pct"/>
            <w:shd w:val="clear" w:color="auto" w:fill="auto"/>
            <w:noWrap w:val="0"/>
            <w:vAlign w:val="center"/>
          </w:tcPr>
          <w:p w14:paraId="70FDE37F">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624" w:type="pct"/>
            <w:shd w:val="clear" w:color="auto" w:fill="auto"/>
            <w:noWrap w:val="0"/>
            <w:vAlign w:val="center"/>
          </w:tcPr>
          <w:p w14:paraId="0E6DA22D">
            <w:pPr>
              <w:shd w:val="clear" w:color="auto" w:fill="auto"/>
              <w:bidi w:val="0"/>
              <w:jc w:val="center"/>
              <w:rPr>
                <w:rFonts w:hint="eastAsia" w:ascii="Times New Roman"/>
                <w:snapToGrid w:val="0"/>
                <w:color w:val="000000"/>
                <w:kern w:val="21"/>
                <w:sz w:val="21"/>
                <w:szCs w:val="21"/>
                <w:highlight w:val="none"/>
                <w:lang w:val="en-US" w:eastAsia="zh-CN" w:bidi="ar-SA"/>
              </w:rPr>
            </w:pPr>
            <w:r>
              <w:rPr>
                <w:rFonts w:hint="default"/>
                <w:color w:val="000000"/>
                <w:highlight w:val="none"/>
                <w:lang w:val="en-US" w:eastAsia="zh-CN"/>
              </w:rPr>
              <w:t>2.25</w:t>
            </w:r>
          </w:p>
        </w:tc>
        <w:tc>
          <w:tcPr>
            <w:tcW w:w="471" w:type="pct"/>
            <w:shd w:val="clear" w:color="auto" w:fill="auto"/>
            <w:noWrap w:val="0"/>
            <w:vAlign w:val="center"/>
          </w:tcPr>
          <w:p w14:paraId="48D35987">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lang w:val="en-US" w:eastAsia="zh-CN"/>
              </w:rPr>
              <w:t>+</w:t>
            </w:r>
            <w:r>
              <w:rPr>
                <w:rFonts w:hint="default"/>
                <w:color w:val="000000"/>
                <w:highlight w:val="none"/>
                <w:lang w:val="en-US" w:eastAsia="zh-CN"/>
              </w:rPr>
              <w:t>2.25</w:t>
            </w:r>
          </w:p>
        </w:tc>
      </w:tr>
      <w:tr w14:paraId="30565A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33" w:type="pct"/>
            <w:vMerge w:val="continue"/>
            <w:shd w:val="clear" w:color="auto" w:fill="auto"/>
            <w:noWrap w:val="0"/>
            <w:vAlign w:val="center"/>
          </w:tcPr>
          <w:p w14:paraId="2F374265">
            <w:pPr>
              <w:pStyle w:val="88"/>
              <w:shd w:val="clear" w:color="auto" w:fill="auto"/>
              <w:spacing w:beforeLines="0" w:afterLines="0" w:line="240" w:lineRule="auto"/>
              <w:rPr>
                <w:rFonts w:ascii="Times New Roman"/>
                <w:snapToGrid w:val="0"/>
                <w:color w:val="000000"/>
                <w:kern w:val="21"/>
                <w:sz w:val="21"/>
                <w:szCs w:val="21"/>
                <w:highlight w:val="none"/>
              </w:rPr>
            </w:pPr>
          </w:p>
        </w:tc>
        <w:tc>
          <w:tcPr>
            <w:tcW w:w="631" w:type="pct"/>
            <w:shd w:val="clear" w:color="auto" w:fill="auto"/>
            <w:noWrap w:val="0"/>
            <w:vAlign w:val="center"/>
          </w:tcPr>
          <w:p w14:paraId="73CE5EBC">
            <w:pPr>
              <w:shd w:val="clear" w:color="auto" w:fill="auto"/>
              <w:bidi w:val="0"/>
              <w:jc w:val="center"/>
              <w:rPr>
                <w:rFonts w:hint="default"/>
                <w:color w:val="000000"/>
                <w:kern w:val="2"/>
                <w:sz w:val="21"/>
                <w:szCs w:val="21"/>
                <w:highlight w:val="none"/>
                <w:lang w:val="en-US" w:eastAsia="zh-CN" w:bidi="ar-SA"/>
              </w:rPr>
            </w:pPr>
            <w:r>
              <w:rPr>
                <w:rFonts w:hint="eastAsia"/>
                <w:color w:val="000000"/>
                <w:highlight w:val="none"/>
                <w:lang w:val="en-US" w:eastAsia="zh-CN"/>
              </w:rPr>
              <w:t>废滤芯</w:t>
            </w:r>
          </w:p>
        </w:tc>
        <w:tc>
          <w:tcPr>
            <w:tcW w:w="543" w:type="pct"/>
            <w:shd w:val="clear" w:color="auto" w:fill="auto"/>
            <w:noWrap w:val="0"/>
            <w:vAlign w:val="center"/>
          </w:tcPr>
          <w:p w14:paraId="1B882982">
            <w:pPr>
              <w:pStyle w:val="88"/>
              <w:shd w:val="clear" w:color="auto" w:fill="auto"/>
              <w:spacing w:beforeLines="0" w:afterLines="0" w:line="240" w:lineRule="auto"/>
              <w:rPr>
                <w:rFonts w:hint="default"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462" w:type="pct"/>
            <w:shd w:val="clear" w:color="auto" w:fill="auto"/>
            <w:noWrap w:val="0"/>
            <w:vAlign w:val="center"/>
          </w:tcPr>
          <w:p w14:paraId="232FA5A1">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616" w:type="pct"/>
            <w:shd w:val="clear" w:color="auto" w:fill="auto"/>
            <w:noWrap w:val="0"/>
            <w:vAlign w:val="center"/>
          </w:tcPr>
          <w:p w14:paraId="716DED74">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565" w:type="pct"/>
            <w:shd w:val="clear" w:color="auto" w:fill="auto"/>
            <w:noWrap w:val="0"/>
            <w:vAlign w:val="center"/>
          </w:tcPr>
          <w:p w14:paraId="3DEBC457">
            <w:pPr>
              <w:shd w:val="clear" w:color="auto" w:fill="auto"/>
              <w:bidi w:val="0"/>
              <w:jc w:val="center"/>
              <w:rPr>
                <w:rFonts w:hint="default"/>
                <w:color w:val="000000"/>
                <w:kern w:val="2"/>
                <w:sz w:val="21"/>
                <w:szCs w:val="21"/>
                <w:highlight w:val="none"/>
                <w:lang w:val="en-US" w:eastAsia="zh-CN" w:bidi="ar-SA"/>
              </w:rPr>
            </w:pPr>
            <w:r>
              <w:rPr>
                <w:rFonts w:hint="eastAsia"/>
                <w:color w:val="000000"/>
                <w:highlight w:val="none"/>
                <w:lang w:val="en-US" w:eastAsia="zh-CN"/>
              </w:rPr>
              <w:t>0.03</w:t>
            </w:r>
          </w:p>
        </w:tc>
        <w:tc>
          <w:tcPr>
            <w:tcW w:w="552" w:type="pct"/>
            <w:shd w:val="clear" w:color="auto" w:fill="auto"/>
            <w:noWrap w:val="0"/>
            <w:vAlign w:val="center"/>
          </w:tcPr>
          <w:p w14:paraId="2D5EDEF3">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624" w:type="pct"/>
            <w:shd w:val="clear" w:color="auto" w:fill="auto"/>
            <w:noWrap w:val="0"/>
            <w:vAlign w:val="center"/>
          </w:tcPr>
          <w:p w14:paraId="1B91BF44">
            <w:pPr>
              <w:shd w:val="clear" w:color="auto" w:fill="auto"/>
              <w:bidi w:val="0"/>
              <w:jc w:val="center"/>
              <w:rPr>
                <w:rFonts w:hint="eastAsia" w:ascii="Times New Roman"/>
                <w:snapToGrid w:val="0"/>
                <w:color w:val="000000"/>
                <w:kern w:val="21"/>
                <w:sz w:val="21"/>
                <w:szCs w:val="21"/>
                <w:highlight w:val="none"/>
                <w:lang w:val="en-US" w:eastAsia="zh-CN" w:bidi="ar-SA"/>
              </w:rPr>
            </w:pPr>
            <w:r>
              <w:rPr>
                <w:rFonts w:hint="eastAsia"/>
                <w:color w:val="000000"/>
                <w:highlight w:val="none"/>
                <w:lang w:val="en-US" w:eastAsia="zh-CN"/>
              </w:rPr>
              <w:t>0.03</w:t>
            </w:r>
          </w:p>
        </w:tc>
        <w:tc>
          <w:tcPr>
            <w:tcW w:w="471" w:type="pct"/>
            <w:shd w:val="clear" w:color="auto" w:fill="auto"/>
            <w:noWrap w:val="0"/>
            <w:vAlign w:val="center"/>
          </w:tcPr>
          <w:p w14:paraId="58402617">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lang w:val="en-US" w:eastAsia="zh-CN"/>
              </w:rPr>
              <w:t>+0.03</w:t>
            </w:r>
          </w:p>
        </w:tc>
      </w:tr>
      <w:tr w14:paraId="65D051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33" w:type="pct"/>
            <w:vMerge w:val="continue"/>
            <w:shd w:val="clear" w:color="auto" w:fill="auto"/>
            <w:noWrap w:val="0"/>
            <w:vAlign w:val="center"/>
          </w:tcPr>
          <w:p w14:paraId="6FEC8FEA">
            <w:pPr>
              <w:pStyle w:val="88"/>
              <w:shd w:val="clear" w:color="auto" w:fill="auto"/>
              <w:spacing w:beforeLines="0" w:afterLines="0" w:line="240" w:lineRule="auto"/>
              <w:rPr>
                <w:rFonts w:ascii="Times New Roman"/>
                <w:snapToGrid w:val="0"/>
                <w:color w:val="000000"/>
                <w:kern w:val="21"/>
                <w:sz w:val="21"/>
                <w:szCs w:val="21"/>
                <w:highlight w:val="none"/>
              </w:rPr>
            </w:pPr>
          </w:p>
        </w:tc>
        <w:tc>
          <w:tcPr>
            <w:tcW w:w="631" w:type="pct"/>
            <w:shd w:val="clear" w:color="auto" w:fill="auto"/>
            <w:noWrap w:val="0"/>
            <w:vAlign w:val="center"/>
          </w:tcPr>
          <w:p w14:paraId="308C8E5E">
            <w:pPr>
              <w:shd w:val="clear" w:color="auto" w:fill="auto"/>
              <w:bidi w:val="0"/>
              <w:jc w:val="center"/>
              <w:rPr>
                <w:rFonts w:hint="default"/>
                <w:color w:val="000000"/>
                <w:kern w:val="2"/>
                <w:sz w:val="21"/>
                <w:szCs w:val="21"/>
                <w:highlight w:val="none"/>
                <w:lang w:val="en-US" w:eastAsia="zh-CN" w:bidi="ar-SA"/>
              </w:rPr>
            </w:pPr>
            <w:r>
              <w:rPr>
                <w:rFonts w:hint="eastAsia"/>
                <w:color w:val="000000"/>
                <w:highlight w:val="none"/>
                <w:lang w:val="en-US" w:eastAsia="zh-CN"/>
              </w:rPr>
              <w:t>废离子交换树脂</w:t>
            </w:r>
          </w:p>
        </w:tc>
        <w:tc>
          <w:tcPr>
            <w:tcW w:w="543" w:type="pct"/>
            <w:shd w:val="clear" w:color="auto" w:fill="auto"/>
            <w:noWrap w:val="0"/>
            <w:vAlign w:val="center"/>
          </w:tcPr>
          <w:p w14:paraId="1C264A18">
            <w:pPr>
              <w:pStyle w:val="88"/>
              <w:shd w:val="clear" w:color="auto" w:fill="auto"/>
              <w:spacing w:beforeLines="0" w:afterLines="0" w:line="240" w:lineRule="auto"/>
              <w:rPr>
                <w:rFonts w:hint="eastAsia"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462" w:type="pct"/>
            <w:shd w:val="clear" w:color="auto" w:fill="auto"/>
            <w:noWrap w:val="0"/>
            <w:vAlign w:val="center"/>
          </w:tcPr>
          <w:p w14:paraId="09172EE4">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616" w:type="pct"/>
            <w:shd w:val="clear" w:color="auto" w:fill="auto"/>
            <w:noWrap w:val="0"/>
            <w:vAlign w:val="center"/>
          </w:tcPr>
          <w:p w14:paraId="0332FD67">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565" w:type="pct"/>
            <w:shd w:val="clear" w:color="auto" w:fill="auto"/>
            <w:noWrap w:val="0"/>
            <w:vAlign w:val="center"/>
          </w:tcPr>
          <w:p w14:paraId="15B814EB">
            <w:pPr>
              <w:shd w:val="clear" w:color="auto" w:fill="auto"/>
              <w:bidi w:val="0"/>
              <w:jc w:val="center"/>
              <w:rPr>
                <w:rFonts w:hint="default"/>
                <w:color w:val="000000"/>
                <w:kern w:val="2"/>
                <w:sz w:val="21"/>
                <w:szCs w:val="21"/>
                <w:highlight w:val="none"/>
                <w:lang w:val="en-US" w:eastAsia="zh-CN" w:bidi="ar-SA"/>
              </w:rPr>
            </w:pPr>
            <w:r>
              <w:rPr>
                <w:rFonts w:hint="default"/>
                <w:color w:val="000000"/>
                <w:highlight w:val="none"/>
                <w:lang w:val="en-US" w:eastAsia="zh-CN"/>
              </w:rPr>
              <w:t>0.3</w:t>
            </w:r>
          </w:p>
        </w:tc>
        <w:tc>
          <w:tcPr>
            <w:tcW w:w="552" w:type="pct"/>
            <w:shd w:val="clear" w:color="auto" w:fill="auto"/>
            <w:noWrap w:val="0"/>
            <w:vAlign w:val="center"/>
          </w:tcPr>
          <w:p w14:paraId="3183F0CD">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624" w:type="pct"/>
            <w:shd w:val="clear" w:color="auto" w:fill="auto"/>
            <w:noWrap w:val="0"/>
            <w:vAlign w:val="center"/>
          </w:tcPr>
          <w:p w14:paraId="48E50FCB">
            <w:pPr>
              <w:shd w:val="clear" w:color="auto" w:fill="auto"/>
              <w:bidi w:val="0"/>
              <w:jc w:val="center"/>
              <w:rPr>
                <w:rFonts w:hint="eastAsia" w:ascii="Times New Roman"/>
                <w:snapToGrid w:val="0"/>
                <w:color w:val="000000"/>
                <w:kern w:val="21"/>
                <w:sz w:val="21"/>
                <w:szCs w:val="21"/>
                <w:highlight w:val="none"/>
                <w:lang w:val="en-US" w:eastAsia="zh-CN" w:bidi="ar-SA"/>
              </w:rPr>
            </w:pPr>
            <w:r>
              <w:rPr>
                <w:rFonts w:hint="default"/>
                <w:color w:val="000000"/>
                <w:highlight w:val="none"/>
                <w:lang w:val="en-US" w:eastAsia="zh-CN"/>
              </w:rPr>
              <w:t>0.3</w:t>
            </w:r>
          </w:p>
        </w:tc>
        <w:tc>
          <w:tcPr>
            <w:tcW w:w="471" w:type="pct"/>
            <w:shd w:val="clear" w:color="auto" w:fill="auto"/>
            <w:noWrap w:val="0"/>
            <w:vAlign w:val="center"/>
          </w:tcPr>
          <w:p w14:paraId="3AEE620E">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lang w:val="en-US" w:eastAsia="zh-CN"/>
              </w:rPr>
              <w:t>+</w:t>
            </w:r>
            <w:r>
              <w:rPr>
                <w:rFonts w:hint="default"/>
                <w:color w:val="000000"/>
                <w:highlight w:val="none"/>
                <w:lang w:val="en-US" w:eastAsia="zh-CN"/>
              </w:rPr>
              <w:t>0.3</w:t>
            </w:r>
          </w:p>
        </w:tc>
      </w:tr>
      <w:tr w14:paraId="3B4B37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33" w:type="pct"/>
            <w:vMerge w:val="continue"/>
            <w:shd w:val="clear" w:color="auto" w:fill="auto"/>
            <w:noWrap w:val="0"/>
            <w:vAlign w:val="center"/>
          </w:tcPr>
          <w:p w14:paraId="0FE63CD7">
            <w:pPr>
              <w:pStyle w:val="88"/>
              <w:shd w:val="clear" w:color="auto" w:fill="auto"/>
              <w:spacing w:beforeLines="0" w:afterLines="0" w:line="240" w:lineRule="auto"/>
              <w:rPr>
                <w:rFonts w:ascii="Times New Roman"/>
                <w:snapToGrid w:val="0"/>
                <w:color w:val="000000"/>
                <w:kern w:val="21"/>
                <w:sz w:val="21"/>
                <w:szCs w:val="21"/>
                <w:highlight w:val="none"/>
              </w:rPr>
            </w:pPr>
          </w:p>
        </w:tc>
        <w:tc>
          <w:tcPr>
            <w:tcW w:w="631" w:type="pct"/>
            <w:shd w:val="clear" w:color="auto" w:fill="auto"/>
            <w:noWrap w:val="0"/>
            <w:vAlign w:val="center"/>
          </w:tcPr>
          <w:p w14:paraId="1381834E">
            <w:pPr>
              <w:shd w:val="clear" w:color="auto" w:fill="auto"/>
              <w:bidi w:val="0"/>
              <w:jc w:val="center"/>
              <w:rPr>
                <w:rFonts w:hint="default"/>
                <w:color w:val="000000"/>
                <w:kern w:val="2"/>
                <w:sz w:val="21"/>
                <w:szCs w:val="21"/>
                <w:highlight w:val="none"/>
                <w:lang w:val="en-US" w:eastAsia="zh-CN" w:bidi="ar-SA"/>
              </w:rPr>
            </w:pPr>
            <w:r>
              <w:rPr>
                <w:rFonts w:hint="eastAsia"/>
                <w:color w:val="000000"/>
                <w:highlight w:val="none"/>
                <w:lang w:val="en-US" w:eastAsia="zh-CN"/>
              </w:rPr>
              <w:t>污泥</w:t>
            </w:r>
          </w:p>
        </w:tc>
        <w:tc>
          <w:tcPr>
            <w:tcW w:w="543" w:type="pct"/>
            <w:shd w:val="clear" w:color="auto" w:fill="auto"/>
            <w:noWrap w:val="0"/>
            <w:vAlign w:val="center"/>
          </w:tcPr>
          <w:p w14:paraId="0D07F98F">
            <w:pPr>
              <w:pStyle w:val="88"/>
              <w:shd w:val="clear" w:color="auto" w:fill="auto"/>
              <w:spacing w:beforeLines="0" w:afterLines="0" w:line="240" w:lineRule="auto"/>
              <w:rPr>
                <w:rFonts w:hint="eastAsia"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462" w:type="pct"/>
            <w:shd w:val="clear" w:color="auto" w:fill="auto"/>
            <w:noWrap w:val="0"/>
            <w:vAlign w:val="center"/>
          </w:tcPr>
          <w:p w14:paraId="1B591434">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616" w:type="pct"/>
            <w:shd w:val="clear" w:color="auto" w:fill="auto"/>
            <w:noWrap w:val="0"/>
            <w:vAlign w:val="center"/>
          </w:tcPr>
          <w:p w14:paraId="7CBF430A">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565" w:type="pct"/>
            <w:shd w:val="clear" w:color="auto" w:fill="auto"/>
            <w:noWrap w:val="0"/>
            <w:vAlign w:val="center"/>
          </w:tcPr>
          <w:p w14:paraId="52FC9EB1">
            <w:pPr>
              <w:shd w:val="clear" w:color="auto" w:fill="auto"/>
              <w:bidi w:val="0"/>
              <w:jc w:val="center"/>
              <w:rPr>
                <w:rFonts w:hint="default"/>
                <w:color w:val="000000"/>
                <w:kern w:val="2"/>
                <w:sz w:val="21"/>
                <w:szCs w:val="21"/>
                <w:highlight w:val="none"/>
                <w:lang w:val="en-US" w:eastAsia="zh-CN" w:bidi="ar-SA"/>
              </w:rPr>
            </w:pPr>
            <w:r>
              <w:rPr>
                <w:rFonts w:hint="eastAsia"/>
                <w:color w:val="000000"/>
                <w:highlight w:val="none"/>
                <w:lang w:val="en-US" w:eastAsia="zh-CN"/>
              </w:rPr>
              <w:t>14.86</w:t>
            </w:r>
          </w:p>
        </w:tc>
        <w:tc>
          <w:tcPr>
            <w:tcW w:w="552" w:type="pct"/>
            <w:shd w:val="clear" w:color="auto" w:fill="auto"/>
            <w:noWrap w:val="0"/>
            <w:vAlign w:val="center"/>
          </w:tcPr>
          <w:p w14:paraId="52966497">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624" w:type="pct"/>
            <w:shd w:val="clear" w:color="auto" w:fill="auto"/>
            <w:noWrap w:val="0"/>
            <w:vAlign w:val="center"/>
          </w:tcPr>
          <w:p w14:paraId="6C2369DB">
            <w:pPr>
              <w:shd w:val="clear" w:color="auto" w:fill="auto"/>
              <w:bidi w:val="0"/>
              <w:jc w:val="center"/>
              <w:rPr>
                <w:rFonts w:hint="eastAsia" w:ascii="Times New Roman"/>
                <w:snapToGrid w:val="0"/>
                <w:color w:val="000000"/>
                <w:kern w:val="21"/>
                <w:sz w:val="21"/>
                <w:szCs w:val="21"/>
                <w:highlight w:val="none"/>
                <w:lang w:val="en-US" w:eastAsia="zh-CN" w:bidi="ar-SA"/>
              </w:rPr>
            </w:pPr>
            <w:r>
              <w:rPr>
                <w:rFonts w:hint="eastAsia"/>
                <w:color w:val="000000"/>
                <w:highlight w:val="none"/>
                <w:lang w:val="en-US" w:eastAsia="zh-CN"/>
              </w:rPr>
              <w:t>14.86</w:t>
            </w:r>
          </w:p>
        </w:tc>
        <w:tc>
          <w:tcPr>
            <w:tcW w:w="471" w:type="pct"/>
            <w:shd w:val="clear" w:color="auto" w:fill="auto"/>
            <w:noWrap w:val="0"/>
            <w:vAlign w:val="center"/>
          </w:tcPr>
          <w:p w14:paraId="4F7A34E6">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lang w:val="en-US" w:eastAsia="zh-CN"/>
              </w:rPr>
              <w:t>+14.86</w:t>
            </w:r>
          </w:p>
        </w:tc>
      </w:tr>
      <w:tr w14:paraId="33CC69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33" w:type="pct"/>
            <w:vMerge w:val="continue"/>
            <w:shd w:val="clear" w:color="auto" w:fill="auto"/>
            <w:noWrap w:val="0"/>
            <w:vAlign w:val="center"/>
          </w:tcPr>
          <w:p w14:paraId="01D1E623">
            <w:pPr>
              <w:pStyle w:val="88"/>
              <w:shd w:val="clear" w:color="auto" w:fill="auto"/>
              <w:spacing w:beforeLines="0" w:afterLines="0" w:line="240" w:lineRule="auto"/>
              <w:rPr>
                <w:rFonts w:ascii="Times New Roman"/>
                <w:snapToGrid w:val="0"/>
                <w:color w:val="000000"/>
                <w:kern w:val="21"/>
                <w:sz w:val="21"/>
                <w:szCs w:val="21"/>
                <w:highlight w:val="none"/>
              </w:rPr>
            </w:pPr>
          </w:p>
        </w:tc>
        <w:tc>
          <w:tcPr>
            <w:tcW w:w="631" w:type="pct"/>
            <w:shd w:val="clear" w:color="auto" w:fill="auto"/>
            <w:noWrap w:val="0"/>
            <w:vAlign w:val="center"/>
          </w:tcPr>
          <w:p w14:paraId="7D9D8729">
            <w:pPr>
              <w:shd w:val="clear" w:color="auto" w:fill="auto"/>
              <w:bidi w:val="0"/>
              <w:jc w:val="center"/>
              <w:rPr>
                <w:rFonts w:hint="default"/>
                <w:color w:val="000000"/>
                <w:kern w:val="2"/>
                <w:sz w:val="21"/>
                <w:szCs w:val="21"/>
                <w:highlight w:val="none"/>
                <w:lang w:val="en-US" w:eastAsia="zh-CN" w:bidi="ar-SA"/>
              </w:rPr>
            </w:pPr>
            <w:r>
              <w:rPr>
                <w:rFonts w:hint="eastAsia"/>
                <w:color w:val="000000"/>
                <w:highlight w:val="none"/>
                <w:lang w:val="en-US" w:eastAsia="zh-CN"/>
              </w:rPr>
              <w:t>废窖泥</w:t>
            </w:r>
          </w:p>
        </w:tc>
        <w:tc>
          <w:tcPr>
            <w:tcW w:w="543" w:type="pct"/>
            <w:shd w:val="clear" w:color="auto" w:fill="auto"/>
            <w:noWrap w:val="0"/>
            <w:vAlign w:val="center"/>
          </w:tcPr>
          <w:p w14:paraId="04A46D58">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462" w:type="pct"/>
            <w:shd w:val="clear" w:color="auto" w:fill="auto"/>
            <w:noWrap w:val="0"/>
            <w:vAlign w:val="center"/>
          </w:tcPr>
          <w:p w14:paraId="6AF89324">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616" w:type="pct"/>
            <w:shd w:val="clear" w:color="auto" w:fill="auto"/>
            <w:noWrap w:val="0"/>
            <w:vAlign w:val="center"/>
          </w:tcPr>
          <w:p w14:paraId="585B39B4">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565" w:type="pct"/>
            <w:shd w:val="clear" w:color="auto" w:fill="auto"/>
            <w:noWrap w:val="0"/>
            <w:vAlign w:val="center"/>
          </w:tcPr>
          <w:p w14:paraId="39F24D29">
            <w:pPr>
              <w:shd w:val="clear" w:color="auto" w:fill="auto"/>
              <w:bidi w:val="0"/>
              <w:jc w:val="center"/>
              <w:rPr>
                <w:rFonts w:hint="default"/>
                <w:color w:val="000000"/>
                <w:kern w:val="2"/>
                <w:sz w:val="21"/>
                <w:szCs w:val="21"/>
                <w:highlight w:val="none"/>
                <w:lang w:val="en-US" w:eastAsia="zh-CN" w:bidi="ar-SA"/>
              </w:rPr>
            </w:pPr>
            <w:r>
              <w:rPr>
                <w:rFonts w:hint="eastAsia"/>
                <w:color w:val="000000"/>
                <w:highlight w:val="none"/>
                <w:lang w:val="en-US" w:eastAsia="zh-CN"/>
              </w:rPr>
              <w:t>1.62</w:t>
            </w:r>
          </w:p>
        </w:tc>
        <w:tc>
          <w:tcPr>
            <w:tcW w:w="552" w:type="pct"/>
            <w:shd w:val="clear" w:color="auto" w:fill="auto"/>
            <w:noWrap w:val="0"/>
            <w:vAlign w:val="center"/>
          </w:tcPr>
          <w:p w14:paraId="389E4DEF">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624" w:type="pct"/>
            <w:shd w:val="clear" w:color="auto" w:fill="auto"/>
            <w:noWrap w:val="0"/>
            <w:vAlign w:val="center"/>
          </w:tcPr>
          <w:p w14:paraId="3AA102E8">
            <w:pPr>
              <w:shd w:val="clear" w:color="auto" w:fill="auto"/>
              <w:bidi w:val="0"/>
              <w:jc w:val="center"/>
              <w:rPr>
                <w:rFonts w:hint="eastAsia" w:ascii="Times New Roman"/>
                <w:snapToGrid w:val="0"/>
                <w:color w:val="000000"/>
                <w:kern w:val="21"/>
                <w:sz w:val="21"/>
                <w:szCs w:val="21"/>
                <w:highlight w:val="none"/>
                <w:lang w:val="en-US" w:eastAsia="zh-CN" w:bidi="ar-SA"/>
              </w:rPr>
            </w:pPr>
            <w:r>
              <w:rPr>
                <w:rFonts w:hint="eastAsia"/>
                <w:color w:val="000000"/>
                <w:highlight w:val="none"/>
                <w:lang w:val="en-US" w:eastAsia="zh-CN"/>
              </w:rPr>
              <w:t>1.62</w:t>
            </w:r>
          </w:p>
        </w:tc>
        <w:tc>
          <w:tcPr>
            <w:tcW w:w="471" w:type="pct"/>
            <w:shd w:val="clear" w:color="auto" w:fill="auto"/>
            <w:noWrap w:val="0"/>
            <w:vAlign w:val="center"/>
          </w:tcPr>
          <w:p w14:paraId="2278799F">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lang w:val="en-US" w:eastAsia="zh-CN"/>
              </w:rPr>
              <w:t>+1.62</w:t>
            </w:r>
          </w:p>
        </w:tc>
      </w:tr>
      <w:tr w14:paraId="2A9A09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33" w:type="pct"/>
            <w:vMerge w:val="restart"/>
            <w:shd w:val="clear" w:color="auto" w:fill="auto"/>
            <w:noWrap w:val="0"/>
            <w:vAlign w:val="center"/>
          </w:tcPr>
          <w:p w14:paraId="4C1EE691">
            <w:pPr>
              <w:pStyle w:val="88"/>
              <w:shd w:val="clear" w:color="auto" w:fill="auto"/>
              <w:spacing w:before="24" w:after="24" w:line="240" w:lineRule="auto"/>
              <w:rPr>
                <w:rFonts w:ascii="Times New Roman"/>
                <w:snapToGrid w:val="0"/>
                <w:color w:val="000000"/>
                <w:kern w:val="21"/>
                <w:sz w:val="21"/>
                <w:szCs w:val="21"/>
                <w:highlight w:val="none"/>
              </w:rPr>
            </w:pPr>
            <w:r>
              <w:rPr>
                <w:rFonts w:ascii="Times New Roman"/>
                <w:snapToGrid w:val="0"/>
                <w:color w:val="000000"/>
                <w:kern w:val="21"/>
                <w:sz w:val="21"/>
                <w:szCs w:val="21"/>
                <w:highlight w:val="none"/>
              </w:rPr>
              <w:t>危险废物</w:t>
            </w:r>
          </w:p>
        </w:tc>
        <w:tc>
          <w:tcPr>
            <w:tcW w:w="631" w:type="pct"/>
            <w:shd w:val="clear" w:color="auto" w:fill="auto"/>
            <w:noWrap w:val="0"/>
            <w:vAlign w:val="center"/>
          </w:tcPr>
          <w:p w14:paraId="01FF0D07">
            <w:pPr>
              <w:shd w:val="clear" w:color="auto" w:fill="auto"/>
              <w:bidi w:val="0"/>
              <w:jc w:val="center"/>
              <w:rPr>
                <w:rFonts w:hint="default"/>
                <w:color w:val="000000"/>
                <w:kern w:val="2"/>
                <w:sz w:val="21"/>
                <w:szCs w:val="21"/>
                <w:highlight w:val="none"/>
                <w:lang w:val="en-US" w:eastAsia="zh-CN" w:bidi="ar-SA"/>
              </w:rPr>
            </w:pPr>
            <w:r>
              <w:rPr>
                <w:color w:val="000000"/>
                <w:highlight w:val="none"/>
              </w:rPr>
              <w:t>废</w:t>
            </w:r>
            <w:r>
              <w:rPr>
                <w:rFonts w:hint="eastAsia"/>
                <w:color w:val="000000"/>
                <w:highlight w:val="none"/>
              </w:rPr>
              <w:t>润滑</w:t>
            </w:r>
            <w:r>
              <w:rPr>
                <w:color w:val="000000"/>
                <w:highlight w:val="none"/>
              </w:rPr>
              <w:t>油</w:t>
            </w:r>
          </w:p>
        </w:tc>
        <w:tc>
          <w:tcPr>
            <w:tcW w:w="543" w:type="pct"/>
            <w:shd w:val="clear" w:color="auto" w:fill="auto"/>
            <w:noWrap w:val="0"/>
            <w:vAlign w:val="center"/>
          </w:tcPr>
          <w:p w14:paraId="3D528E23">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462" w:type="pct"/>
            <w:shd w:val="clear" w:color="auto" w:fill="auto"/>
            <w:noWrap w:val="0"/>
            <w:vAlign w:val="center"/>
          </w:tcPr>
          <w:p w14:paraId="4F0C0D1E">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616" w:type="pct"/>
            <w:shd w:val="clear" w:color="auto" w:fill="auto"/>
            <w:noWrap w:val="0"/>
            <w:vAlign w:val="center"/>
          </w:tcPr>
          <w:p w14:paraId="5AB61AF4">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565" w:type="pct"/>
            <w:shd w:val="clear" w:color="auto" w:fill="auto"/>
            <w:noWrap w:val="0"/>
            <w:vAlign w:val="center"/>
          </w:tcPr>
          <w:p w14:paraId="26128A5E">
            <w:pPr>
              <w:shd w:val="clear" w:color="auto" w:fill="auto"/>
              <w:bidi w:val="0"/>
              <w:jc w:val="center"/>
              <w:rPr>
                <w:rFonts w:hint="default"/>
                <w:color w:val="000000"/>
                <w:kern w:val="2"/>
                <w:sz w:val="21"/>
                <w:szCs w:val="21"/>
                <w:highlight w:val="none"/>
                <w:lang w:val="en-US" w:eastAsia="zh-CN" w:bidi="ar-SA"/>
              </w:rPr>
            </w:pPr>
            <w:r>
              <w:rPr>
                <w:rFonts w:hint="eastAsia"/>
                <w:color w:val="000000"/>
                <w:highlight w:val="none"/>
                <w:lang w:val="en-US" w:eastAsia="zh-CN"/>
              </w:rPr>
              <w:t>0.02</w:t>
            </w:r>
          </w:p>
        </w:tc>
        <w:tc>
          <w:tcPr>
            <w:tcW w:w="552" w:type="pct"/>
            <w:shd w:val="clear" w:color="auto" w:fill="auto"/>
            <w:noWrap w:val="0"/>
            <w:vAlign w:val="center"/>
          </w:tcPr>
          <w:p w14:paraId="0CD419CB">
            <w:pPr>
              <w:pStyle w:val="88"/>
              <w:shd w:val="clear" w:color="auto" w:fill="auto"/>
              <w:spacing w:beforeLines="0" w:afterLines="0" w:line="240" w:lineRule="auto"/>
              <w:rPr>
                <w:rFonts w:ascii="Times New Roman"/>
                <w:snapToGrid w:val="0"/>
                <w:color w:val="000000"/>
                <w:kern w:val="21"/>
                <w:sz w:val="21"/>
                <w:szCs w:val="21"/>
                <w:highlight w:val="none"/>
                <w:lang w:val="en-US" w:eastAsia="zh-CN" w:bidi="ar-SA"/>
              </w:rPr>
            </w:pPr>
            <w:r>
              <w:rPr>
                <w:rFonts w:ascii="Times New Roman"/>
                <w:snapToGrid w:val="0"/>
                <w:color w:val="000000"/>
                <w:kern w:val="21"/>
                <w:sz w:val="21"/>
                <w:szCs w:val="21"/>
                <w:highlight w:val="none"/>
              </w:rPr>
              <w:t>/</w:t>
            </w:r>
          </w:p>
        </w:tc>
        <w:tc>
          <w:tcPr>
            <w:tcW w:w="624" w:type="pct"/>
            <w:shd w:val="clear" w:color="auto" w:fill="auto"/>
            <w:noWrap w:val="0"/>
            <w:vAlign w:val="center"/>
          </w:tcPr>
          <w:p w14:paraId="0D18286F">
            <w:pPr>
              <w:shd w:val="clear" w:color="auto" w:fill="auto"/>
              <w:bidi w:val="0"/>
              <w:jc w:val="center"/>
              <w:rPr>
                <w:rFonts w:hint="eastAsia" w:ascii="Times New Roman"/>
                <w:snapToGrid w:val="0"/>
                <w:color w:val="000000"/>
                <w:kern w:val="21"/>
                <w:sz w:val="21"/>
                <w:szCs w:val="21"/>
                <w:highlight w:val="none"/>
                <w:lang w:val="en-US" w:eastAsia="zh-CN" w:bidi="ar-SA"/>
              </w:rPr>
            </w:pPr>
            <w:r>
              <w:rPr>
                <w:rFonts w:hint="eastAsia"/>
                <w:color w:val="000000"/>
                <w:highlight w:val="none"/>
                <w:lang w:val="en-US" w:eastAsia="zh-CN"/>
              </w:rPr>
              <w:t>0.02</w:t>
            </w:r>
          </w:p>
        </w:tc>
        <w:tc>
          <w:tcPr>
            <w:tcW w:w="471" w:type="pct"/>
            <w:shd w:val="clear" w:color="auto" w:fill="auto"/>
            <w:noWrap w:val="0"/>
            <w:vAlign w:val="center"/>
          </w:tcPr>
          <w:p w14:paraId="49C653C8">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lang w:val="en-US" w:eastAsia="zh-CN"/>
              </w:rPr>
              <w:t>+0.02</w:t>
            </w:r>
          </w:p>
        </w:tc>
      </w:tr>
      <w:tr w14:paraId="7CE762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33" w:type="pct"/>
            <w:vMerge w:val="continue"/>
            <w:shd w:val="clear" w:color="auto" w:fill="auto"/>
            <w:noWrap w:val="0"/>
            <w:vAlign w:val="center"/>
          </w:tcPr>
          <w:p w14:paraId="37BC6FC3">
            <w:pPr>
              <w:pStyle w:val="88"/>
              <w:shd w:val="clear" w:color="auto" w:fill="auto"/>
              <w:spacing w:before="24" w:after="24" w:line="240" w:lineRule="auto"/>
              <w:rPr>
                <w:rFonts w:ascii="Times New Roman"/>
                <w:snapToGrid w:val="0"/>
                <w:color w:val="000000"/>
                <w:kern w:val="21"/>
                <w:sz w:val="21"/>
                <w:szCs w:val="21"/>
                <w:highlight w:val="none"/>
              </w:rPr>
            </w:pPr>
          </w:p>
        </w:tc>
        <w:tc>
          <w:tcPr>
            <w:tcW w:w="631" w:type="pct"/>
            <w:shd w:val="clear" w:color="auto" w:fill="auto"/>
            <w:noWrap w:val="0"/>
            <w:vAlign w:val="center"/>
          </w:tcPr>
          <w:p w14:paraId="3640A391">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rPr>
              <w:t>废油桶</w:t>
            </w:r>
          </w:p>
        </w:tc>
        <w:tc>
          <w:tcPr>
            <w:tcW w:w="543" w:type="pct"/>
            <w:shd w:val="clear" w:color="auto" w:fill="auto"/>
            <w:noWrap w:val="0"/>
            <w:vAlign w:val="center"/>
          </w:tcPr>
          <w:p w14:paraId="76C1681B">
            <w:pPr>
              <w:shd w:val="clear" w:color="auto" w:fill="auto"/>
              <w:bidi w:val="0"/>
              <w:jc w:val="center"/>
              <w:rPr>
                <w:color w:val="000000"/>
                <w:kern w:val="2"/>
                <w:sz w:val="21"/>
                <w:szCs w:val="21"/>
                <w:highlight w:val="none"/>
                <w:lang w:val="en-US" w:eastAsia="zh-CN" w:bidi="ar-SA"/>
              </w:rPr>
            </w:pPr>
            <w:r>
              <w:rPr>
                <w:color w:val="000000"/>
                <w:highlight w:val="none"/>
              </w:rPr>
              <w:t>/</w:t>
            </w:r>
          </w:p>
        </w:tc>
        <w:tc>
          <w:tcPr>
            <w:tcW w:w="462" w:type="pct"/>
            <w:shd w:val="clear" w:color="auto" w:fill="auto"/>
            <w:noWrap w:val="0"/>
            <w:vAlign w:val="center"/>
          </w:tcPr>
          <w:p w14:paraId="3B2E6B06">
            <w:pPr>
              <w:shd w:val="clear" w:color="auto" w:fill="auto"/>
              <w:bidi w:val="0"/>
              <w:jc w:val="center"/>
              <w:rPr>
                <w:color w:val="000000"/>
                <w:kern w:val="2"/>
                <w:sz w:val="21"/>
                <w:szCs w:val="21"/>
                <w:highlight w:val="none"/>
                <w:lang w:val="en-US" w:eastAsia="zh-CN" w:bidi="ar-SA"/>
              </w:rPr>
            </w:pPr>
            <w:r>
              <w:rPr>
                <w:color w:val="000000"/>
                <w:highlight w:val="none"/>
              </w:rPr>
              <w:t>/</w:t>
            </w:r>
          </w:p>
        </w:tc>
        <w:tc>
          <w:tcPr>
            <w:tcW w:w="616" w:type="pct"/>
            <w:shd w:val="clear" w:color="auto" w:fill="auto"/>
            <w:noWrap w:val="0"/>
            <w:vAlign w:val="center"/>
          </w:tcPr>
          <w:p w14:paraId="0A2186B2">
            <w:pPr>
              <w:shd w:val="clear" w:color="auto" w:fill="auto"/>
              <w:bidi w:val="0"/>
              <w:jc w:val="center"/>
              <w:rPr>
                <w:color w:val="000000"/>
                <w:kern w:val="2"/>
                <w:sz w:val="21"/>
                <w:szCs w:val="21"/>
                <w:highlight w:val="none"/>
                <w:lang w:val="en-US" w:eastAsia="zh-CN" w:bidi="ar-SA"/>
              </w:rPr>
            </w:pPr>
            <w:r>
              <w:rPr>
                <w:color w:val="000000"/>
                <w:highlight w:val="none"/>
              </w:rPr>
              <w:t>/</w:t>
            </w:r>
          </w:p>
        </w:tc>
        <w:tc>
          <w:tcPr>
            <w:tcW w:w="565" w:type="pct"/>
            <w:shd w:val="clear" w:color="auto" w:fill="auto"/>
            <w:noWrap w:val="0"/>
            <w:vAlign w:val="center"/>
          </w:tcPr>
          <w:p w14:paraId="5E23D256">
            <w:pPr>
              <w:shd w:val="clear" w:color="auto" w:fill="auto"/>
              <w:bidi w:val="0"/>
              <w:jc w:val="center"/>
              <w:rPr>
                <w:rFonts w:hint="default"/>
                <w:color w:val="000000"/>
                <w:kern w:val="2"/>
                <w:sz w:val="21"/>
                <w:szCs w:val="21"/>
                <w:highlight w:val="none"/>
                <w:lang w:val="en-US" w:eastAsia="zh-CN" w:bidi="ar-SA"/>
              </w:rPr>
            </w:pPr>
            <w:r>
              <w:rPr>
                <w:rFonts w:hint="eastAsia"/>
                <w:color w:val="000000"/>
                <w:highlight w:val="none"/>
              </w:rPr>
              <w:t>0.</w:t>
            </w:r>
            <w:r>
              <w:rPr>
                <w:rFonts w:hint="eastAsia"/>
                <w:color w:val="000000"/>
                <w:highlight w:val="none"/>
                <w:lang w:val="en-US" w:eastAsia="zh-CN"/>
              </w:rPr>
              <w:t>05</w:t>
            </w:r>
          </w:p>
        </w:tc>
        <w:tc>
          <w:tcPr>
            <w:tcW w:w="552" w:type="pct"/>
            <w:shd w:val="clear" w:color="auto" w:fill="auto"/>
            <w:noWrap w:val="0"/>
            <w:vAlign w:val="center"/>
          </w:tcPr>
          <w:p w14:paraId="0C0A348B">
            <w:pPr>
              <w:shd w:val="clear" w:color="auto" w:fill="auto"/>
              <w:bidi w:val="0"/>
              <w:jc w:val="center"/>
              <w:rPr>
                <w:color w:val="000000"/>
                <w:kern w:val="2"/>
                <w:sz w:val="21"/>
                <w:szCs w:val="21"/>
                <w:highlight w:val="none"/>
                <w:lang w:val="en-US" w:eastAsia="zh-CN" w:bidi="ar-SA"/>
              </w:rPr>
            </w:pPr>
            <w:r>
              <w:rPr>
                <w:color w:val="000000"/>
                <w:highlight w:val="none"/>
              </w:rPr>
              <w:t>/</w:t>
            </w:r>
          </w:p>
        </w:tc>
        <w:tc>
          <w:tcPr>
            <w:tcW w:w="624" w:type="pct"/>
            <w:shd w:val="clear" w:color="auto" w:fill="auto"/>
            <w:noWrap w:val="0"/>
            <w:vAlign w:val="center"/>
          </w:tcPr>
          <w:p w14:paraId="11A8E0D8">
            <w:pPr>
              <w:shd w:val="clear" w:color="auto" w:fill="auto"/>
              <w:bidi w:val="0"/>
              <w:jc w:val="center"/>
              <w:rPr>
                <w:color w:val="000000"/>
                <w:kern w:val="2"/>
                <w:sz w:val="21"/>
                <w:szCs w:val="21"/>
                <w:highlight w:val="none"/>
                <w:lang w:val="en-US" w:eastAsia="zh-CN" w:bidi="ar-SA"/>
              </w:rPr>
            </w:pPr>
            <w:r>
              <w:rPr>
                <w:rFonts w:hint="eastAsia"/>
                <w:color w:val="000000"/>
                <w:highlight w:val="none"/>
              </w:rPr>
              <w:t>0.</w:t>
            </w:r>
            <w:r>
              <w:rPr>
                <w:rFonts w:hint="eastAsia"/>
                <w:color w:val="000000"/>
                <w:highlight w:val="none"/>
                <w:lang w:val="en-US" w:eastAsia="zh-CN"/>
              </w:rPr>
              <w:t>05</w:t>
            </w:r>
          </w:p>
        </w:tc>
        <w:tc>
          <w:tcPr>
            <w:tcW w:w="471" w:type="pct"/>
            <w:shd w:val="clear" w:color="auto" w:fill="auto"/>
            <w:noWrap w:val="0"/>
            <w:vAlign w:val="center"/>
          </w:tcPr>
          <w:p w14:paraId="281B95A0">
            <w:pPr>
              <w:shd w:val="clear" w:color="auto" w:fill="auto"/>
              <w:bidi w:val="0"/>
              <w:jc w:val="center"/>
              <w:rPr>
                <w:rFonts w:hint="default"/>
                <w:color w:val="000000"/>
                <w:kern w:val="2"/>
                <w:sz w:val="21"/>
                <w:szCs w:val="21"/>
                <w:highlight w:val="none"/>
                <w:lang w:val="en-US" w:eastAsia="zh-CN" w:bidi="ar-SA"/>
              </w:rPr>
            </w:pPr>
            <w:r>
              <w:rPr>
                <w:rFonts w:hint="eastAsia"/>
                <w:color w:val="000000"/>
                <w:highlight w:val="none"/>
                <w:lang w:val="en-US" w:eastAsia="zh-CN"/>
              </w:rPr>
              <w:t>+</w:t>
            </w:r>
            <w:r>
              <w:rPr>
                <w:rFonts w:hint="eastAsia"/>
                <w:color w:val="000000"/>
                <w:highlight w:val="none"/>
              </w:rPr>
              <w:t>0.</w:t>
            </w:r>
            <w:r>
              <w:rPr>
                <w:rFonts w:hint="eastAsia"/>
                <w:color w:val="000000"/>
                <w:highlight w:val="none"/>
                <w:lang w:val="en-US" w:eastAsia="zh-CN"/>
              </w:rPr>
              <w:t>05</w:t>
            </w:r>
          </w:p>
        </w:tc>
      </w:tr>
      <w:tr w14:paraId="19C967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33" w:type="pct"/>
            <w:vMerge w:val="continue"/>
            <w:shd w:val="clear" w:color="auto" w:fill="auto"/>
            <w:noWrap w:val="0"/>
            <w:vAlign w:val="center"/>
          </w:tcPr>
          <w:p w14:paraId="7DA5EC63">
            <w:pPr>
              <w:pStyle w:val="88"/>
              <w:shd w:val="clear" w:color="auto" w:fill="auto"/>
              <w:spacing w:beforeLines="0" w:afterLines="0" w:line="240" w:lineRule="auto"/>
              <w:rPr>
                <w:rFonts w:ascii="Times New Roman"/>
                <w:snapToGrid w:val="0"/>
                <w:color w:val="000000"/>
                <w:kern w:val="21"/>
                <w:sz w:val="21"/>
                <w:szCs w:val="21"/>
                <w:highlight w:val="none"/>
              </w:rPr>
            </w:pPr>
          </w:p>
        </w:tc>
        <w:tc>
          <w:tcPr>
            <w:tcW w:w="631" w:type="pct"/>
            <w:shd w:val="clear" w:color="auto" w:fill="auto"/>
            <w:noWrap w:val="0"/>
            <w:vAlign w:val="center"/>
          </w:tcPr>
          <w:p w14:paraId="21BD1A77">
            <w:pPr>
              <w:shd w:val="clear" w:color="auto" w:fill="auto"/>
              <w:bidi w:val="0"/>
              <w:jc w:val="center"/>
              <w:rPr>
                <w:rFonts w:hint="eastAsia"/>
                <w:color w:val="000000"/>
                <w:kern w:val="2"/>
                <w:sz w:val="21"/>
                <w:szCs w:val="21"/>
                <w:highlight w:val="none"/>
                <w:lang w:val="en-US" w:eastAsia="zh-CN" w:bidi="ar-SA"/>
              </w:rPr>
            </w:pPr>
            <w:r>
              <w:rPr>
                <w:rFonts w:hint="eastAsia"/>
                <w:color w:val="000000"/>
                <w:highlight w:val="none"/>
                <w:lang w:val="en-US" w:eastAsia="zh-CN"/>
              </w:rPr>
              <w:t>废</w:t>
            </w:r>
            <w:r>
              <w:rPr>
                <w:rFonts w:hint="eastAsia"/>
                <w:color w:val="000000"/>
                <w:highlight w:val="none"/>
              </w:rPr>
              <w:t>含油手套</w:t>
            </w:r>
          </w:p>
        </w:tc>
        <w:tc>
          <w:tcPr>
            <w:tcW w:w="543" w:type="pct"/>
            <w:shd w:val="clear" w:color="auto" w:fill="auto"/>
            <w:noWrap w:val="0"/>
            <w:vAlign w:val="center"/>
          </w:tcPr>
          <w:p w14:paraId="061076C2">
            <w:pPr>
              <w:shd w:val="clear" w:color="auto" w:fill="auto"/>
              <w:bidi w:val="0"/>
              <w:jc w:val="center"/>
              <w:rPr>
                <w:color w:val="000000"/>
                <w:kern w:val="2"/>
                <w:sz w:val="21"/>
                <w:szCs w:val="21"/>
                <w:highlight w:val="none"/>
                <w:lang w:val="en-US" w:eastAsia="zh-CN" w:bidi="ar-SA"/>
              </w:rPr>
            </w:pPr>
            <w:r>
              <w:rPr>
                <w:color w:val="000000"/>
                <w:highlight w:val="none"/>
              </w:rPr>
              <w:t>/</w:t>
            </w:r>
          </w:p>
        </w:tc>
        <w:tc>
          <w:tcPr>
            <w:tcW w:w="462" w:type="pct"/>
            <w:shd w:val="clear" w:color="auto" w:fill="auto"/>
            <w:noWrap w:val="0"/>
            <w:vAlign w:val="center"/>
          </w:tcPr>
          <w:p w14:paraId="4F8E6CC6">
            <w:pPr>
              <w:shd w:val="clear" w:color="auto" w:fill="auto"/>
              <w:bidi w:val="0"/>
              <w:jc w:val="center"/>
              <w:rPr>
                <w:color w:val="000000"/>
                <w:kern w:val="2"/>
                <w:sz w:val="21"/>
                <w:szCs w:val="21"/>
                <w:highlight w:val="none"/>
                <w:lang w:val="en-US" w:eastAsia="zh-CN" w:bidi="ar-SA"/>
              </w:rPr>
            </w:pPr>
            <w:r>
              <w:rPr>
                <w:color w:val="000000"/>
                <w:highlight w:val="none"/>
              </w:rPr>
              <w:t>/</w:t>
            </w:r>
          </w:p>
        </w:tc>
        <w:tc>
          <w:tcPr>
            <w:tcW w:w="616" w:type="pct"/>
            <w:shd w:val="clear" w:color="auto" w:fill="auto"/>
            <w:noWrap w:val="0"/>
            <w:vAlign w:val="center"/>
          </w:tcPr>
          <w:p w14:paraId="1C59833F">
            <w:pPr>
              <w:shd w:val="clear" w:color="auto" w:fill="auto"/>
              <w:bidi w:val="0"/>
              <w:jc w:val="center"/>
              <w:rPr>
                <w:color w:val="000000"/>
                <w:kern w:val="2"/>
                <w:sz w:val="21"/>
                <w:szCs w:val="21"/>
                <w:highlight w:val="none"/>
                <w:lang w:val="en-US" w:eastAsia="zh-CN" w:bidi="ar-SA"/>
              </w:rPr>
            </w:pPr>
            <w:r>
              <w:rPr>
                <w:color w:val="000000"/>
                <w:highlight w:val="none"/>
              </w:rPr>
              <w:t>/</w:t>
            </w:r>
          </w:p>
        </w:tc>
        <w:tc>
          <w:tcPr>
            <w:tcW w:w="565" w:type="pct"/>
            <w:shd w:val="clear" w:color="auto" w:fill="auto"/>
            <w:noWrap w:val="0"/>
            <w:vAlign w:val="center"/>
          </w:tcPr>
          <w:p w14:paraId="6F3589B6">
            <w:pPr>
              <w:shd w:val="clear" w:color="auto" w:fill="auto"/>
              <w:bidi w:val="0"/>
              <w:jc w:val="center"/>
              <w:rPr>
                <w:rFonts w:hint="default"/>
                <w:color w:val="000000"/>
                <w:kern w:val="2"/>
                <w:sz w:val="21"/>
                <w:szCs w:val="21"/>
                <w:highlight w:val="none"/>
                <w:lang w:val="en-US" w:eastAsia="zh-CN" w:bidi="ar-SA"/>
              </w:rPr>
            </w:pPr>
            <w:r>
              <w:rPr>
                <w:rFonts w:hint="eastAsia"/>
                <w:color w:val="000000"/>
                <w:highlight w:val="none"/>
              </w:rPr>
              <w:t>0.</w:t>
            </w:r>
            <w:r>
              <w:rPr>
                <w:rFonts w:hint="eastAsia"/>
                <w:color w:val="000000"/>
                <w:highlight w:val="none"/>
                <w:lang w:val="en-US" w:eastAsia="zh-CN"/>
              </w:rPr>
              <w:t>02</w:t>
            </w:r>
          </w:p>
        </w:tc>
        <w:tc>
          <w:tcPr>
            <w:tcW w:w="552" w:type="pct"/>
            <w:shd w:val="clear" w:color="auto" w:fill="auto"/>
            <w:noWrap w:val="0"/>
            <w:vAlign w:val="center"/>
          </w:tcPr>
          <w:p w14:paraId="62693F53">
            <w:pPr>
              <w:shd w:val="clear" w:color="auto" w:fill="auto"/>
              <w:bidi w:val="0"/>
              <w:jc w:val="center"/>
              <w:rPr>
                <w:color w:val="000000"/>
                <w:kern w:val="2"/>
                <w:sz w:val="21"/>
                <w:szCs w:val="21"/>
                <w:highlight w:val="none"/>
                <w:lang w:val="en-US" w:eastAsia="zh-CN" w:bidi="ar-SA"/>
              </w:rPr>
            </w:pPr>
            <w:r>
              <w:rPr>
                <w:color w:val="000000"/>
                <w:highlight w:val="none"/>
              </w:rPr>
              <w:t>/</w:t>
            </w:r>
          </w:p>
        </w:tc>
        <w:tc>
          <w:tcPr>
            <w:tcW w:w="624" w:type="pct"/>
            <w:shd w:val="clear" w:color="auto" w:fill="auto"/>
            <w:noWrap w:val="0"/>
            <w:vAlign w:val="center"/>
          </w:tcPr>
          <w:p w14:paraId="06150244">
            <w:pPr>
              <w:shd w:val="clear" w:color="auto" w:fill="auto"/>
              <w:bidi w:val="0"/>
              <w:jc w:val="center"/>
              <w:rPr>
                <w:color w:val="000000"/>
                <w:kern w:val="2"/>
                <w:sz w:val="21"/>
                <w:szCs w:val="21"/>
                <w:highlight w:val="none"/>
                <w:lang w:val="en-US" w:eastAsia="zh-CN" w:bidi="ar-SA"/>
              </w:rPr>
            </w:pPr>
            <w:r>
              <w:rPr>
                <w:rFonts w:hint="eastAsia"/>
                <w:color w:val="000000"/>
                <w:highlight w:val="none"/>
              </w:rPr>
              <w:t>0.</w:t>
            </w:r>
            <w:r>
              <w:rPr>
                <w:rFonts w:hint="eastAsia"/>
                <w:color w:val="000000"/>
                <w:highlight w:val="none"/>
                <w:lang w:val="en-US" w:eastAsia="zh-CN"/>
              </w:rPr>
              <w:t>02</w:t>
            </w:r>
          </w:p>
        </w:tc>
        <w:tc>
          <w:tcPr>
            <w:tcW w:w="471" w:type="pct"/>
            <w:shd w:val="clear" w:color="auto" w:fill="auto"/>
            <w:noWrap w:val="0"/>
            <w:vAlign w:val="center"/>
          </w:tcPr>
          <w:p w14:paraId="12FAE364">
            <w:pPr>
              <w:shd w:val="clear" w:color="auto" w:fill="auto"/>
              <w:bidi w:val="0"/>
              <w:jc w:val="center"/>
              <w:rPr>
                <w:rFonts w:hint="default"/>
                <w:color w:val="000000"/>
                <w:kern w:val="2"/>
                <w:sz w:val="21"/>
                <w:szCs w:val="21"/>
                <w:highlight w:val="none"/>
                <w:lang w:val="en-US" w:eastAsia="zh-CN" w:bidi="ar-SA"/>
              </w:rPr>
            </w:pPr>
            <w:r>
              <w:rPr>
                <w:rFonts w:hint="eastAsia"/>
                <w:color w:val="000000"/>
                <w:highlight w:val="none"/>
                <w:lang w:val="en-US" w:eastAsia="zh-CN"/>
              </w:rPr>
              <w:t>+</w:t>
            </w:r>
            <w:r>
              <w:rPr>
                <w:rFonts w:hint="eastAsia"/>
                <w:color w:val="000000"/>
                <w:highlight w:val="none"/>
              </w:rPr>
              <w:t>0.</w:t>
            </w:r>
            <w:r>
              <w:rPr>
                <w:rFonts w:hint="eastAsia"/>
                <w:color w:val="000000"/>
                <w:highlight w:val="none"/>
                <w:lang w:val="en-US" w:eastAsia="zh-CN"/>
              </w:rPr>
              <w:t>02</w:t>
            </w:r>
          </w:p>
        </w:tc>
      </w:tr>
      <w:tr w14:paraId="420927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33" w:type="pct"/>
            <w:vMerge w:val="continue"/>
            <w:shd w:val="clear" w:color="auto" w:fill="auto"/>
            <w:noWrap w:val="0"/>
            <w:vAlign w:val="center"/>
          </w:tcPr>
          <w:p w14:paraId="10DF282A">
            <w:pPr>
              <w:pStyle w:val="88"/>
              <w:shd w:val="clear" w:color="auto" w:fill="auto"/>
              <w:spacing w:beforeLines="0" w:afterLines="0" w:line="240" w:lineRule="auto"/>
              <w:rPr>
                <w:rFonts w:ascii="Times New Roman"/>
                <w:snapToGrid w:val="0"/>
                <w:color w:val="000000"/>
                <w:kern w:val="21"/>
                <w:sz w:val="21"/>
                <w:szCs w:val="21"/>
                <w:highlight w:val="none"/>
              </w:rPr>
            </w:pPr>
          </w:p>
        </w:tc>
        <w:tc>
          <w:tcPr>
            <w:tcW w:w="631" w:type="pct"/>
            <w:shd w:val="clear" w:color="auto" w:fill="auto"/>
            <w:noWrap w:val="0"/>
            <w:vAlign w:val="center"/>
          </w:tcPr>
          <w:p w14:paraId="62A37484">
            <w:pPr>
              <w:shd w:val="clear" w:color="auto" w:fill="auto"/>
              <w:bidi w:val="0"/>
              <w:jc w:val="center"/>
              <w:rPr>
                <w:rFonts w:hint="default"/>
                <w:color w:val="000000"/>
                <w:kern w:val="2"/>
                <w:sz w:val="21"/>
                <w:szCs w:val="21"/>
                <w:highlight w:val="none"/>
                <w:lang w:val="en-US" w:eastAsia="zh-CN" w:bidi="ar-SA"/>
              </w:rPr>
            </w:pPr>
            <w:r>
              <w:rPr>
                <w:rFonts w:hint="eastAsia"/>
                <w:color w:val="000000"/>
                <w:kern w:val="2"/>
                <w:sz w:val="21"/>
                <w:szCs w:val="21"/>
                <w:highlight w:val="none"/>
                <w:lang w:val="en-US" w:eastAsia="zh-CN" w:bidi="ar-SA"/>
              </w:rPr>
              <w:t>实验室废液</w:t>
            </w:r>
          </w:p>
        </w:tc>
        <w:tc>
          <w:tcPr>
            <w:tcW w:w="543" w:type="pct"/>
            <w:shd w:val="clear" w:color="auto" w:fill="auto"/>
            <w:noWrap w:val="0"/>
            <w:vAlign w:val="center"/>
          </w:tcPr>
          <w:p w14:paraId="5616C1B0">
            <w:pPr>
              <w:shd w:val="clear" w:color="auto" w:fill="auto"/>
              <w:bidi w:val="0"/>
              <w:jc w:val="center"/>
              <w:rPr>
                <w:color w:val="000000"/>
                <w:kern w:val="2"/>
                <w:sz w:val="21"/>
                <w:szCs w:val="21"/>
                <w:highlight w:val="none"/>
                <w:lang w:val="en-US" w:eastAsia="zh-CN" w:bidi="ar-SA"/>
              </w:rPr>
            </w:pPr>
            <w:r>
              <w:rPr>
                <w:color w:val="000000"/>
                <w:highlight w:val="none"/>
              </w:rPr>
              <w:t>/</w:t>
            </w:r>
          </w:p>
        </w:tc>
        <w:tc>
          <w:tcPr>
            <w:tcW w:w="462" w:type="pct"/>
            <w:shd w:val="clear" w:color="auto" w:fill="auto"/>
            <w:noWrap w:val="0"/>
            <w:vAlign w:val="center"/>
          </w:tcPr>
          <w:p w14:paraId="3EE0647B">
            <w:pPr>
              <w:shd w:val="clear" w:color="auto" w:fill="auto"/>
              <w:bidi w:val="0"/>
              <w:jc w:val="center"/>
              <w:rPr>
                <w:color w:val="000000"/>
                <w:kern w:val="2"/>
                <w:sz w:val="21"/>
                <w:szCs w:val="21"/>
                <w:highlight w:val="none"/>
                <w:lang w:val="en-US" w:eastAsia="zh-CN" w:bidi="ar-SA"/>
              </w:rPr>
            </w:pPr>
            <w:r>
              <w:rPr>
                <w:color w:val="000000"/>
                <w:highlight w:val="none"/>
              </w:rPr>
              <w:t>/</w:t>
            </w:r>
          </w:p>
        </w:tc>
        <w:tc>
          <w:tcPr>
            <w:tcW w:w="616" w:type="pct"/>
            <w:shd w:val="clear" w:color="auto" w:fill="auto"/>
            <w:noWrap w:val="0"/>
            <w:vAlign w:val="center"/>
          </w:tcPr>
          <w:p w14:paraId="7A1A6E44">
            <w:pPr>
              <w:shd w:val="clear" w:color="auto" w:fill="auto"/>
              <w:bidi w:val="0"/>
              <w:jc w:val="center"/>
              <w:rPr>
                <w:color w:val="000000"/>
                <w:kern w:val="2"/>
                <w:sz w:val="21"/>
                <w:szCs w:val="21"/>
                <w:highlight w:val="none"/>
                <w:lang w:val="en-US" w:eastAsia="zh-CN" w:bidi="ar-SA"/>
              </w:rPr>
            </w:pPr>
            <w:r>
              <w:rPr>
                <w:color w:val="000000"/>
                <w:highlight w:val="none"/>
              </w:rPr>
              <w:t>/</w:t>
            </w:r>
          </w:p>
        </w:tc>
        <w:tc>
          <w:tcPr>
            <w:tcW w:w="565" w:type="pct"/>
            <w:shd w:val="clear" w:color="auto" w:fill="auto"/>
            <w:noWrap w:val="0"/>
            <w:vAlign w:val="center"/>
          </w:tcPr>
          <w:p w14:paraId="60069B3B">
            <w:pPr>
              <w:shd w:val="clear" w:color="auto" w:fill="auto"/>
              <w:bidi w:val="0"/>
              <w:jc w:val="center"/>
              <w:rPr>
                <w:rFonts w:hint="default"/>
                <w:color w:val="000000"/>
                <w:kern w:val="2"/>
                <w:sz w:val="21"/>
                <w:szCs w:val="21"/>
                <w:highlight w:val="none"/>
                <w:lang w:val="en-US" w:eastAsia="zh-CN" w:bidi="ar-SA"/>
              </w:rPr>
            </w:pPr>
            <w:r>
              <w:rPr>
                <w:rFonts w:hint="eastAsia"/>
                <w:color w:val="000000"/>
                <w:highlight w:val="none"/>
                <w:lang w:val="en-US" w:eastAsia="zh-CN"/>
              </w:rPr>
              <w:t>0.002</w:t>
            </w:r>
          </w:p>
        </w:tc>
        <w:tc>
          <w:tcPr>
            <w:tcW w:w="552" w:type="pct"/>
            <w:shd w:val="clear" w:color="auto" w:fill="auto"/>
            <w:noWrap w:val="0"/>
            <w:vAlign w:val="center"/>
          </w:tcPr>
          <w:p w14:paraId="0BBC4402">
            <w:pPr>
              <w:shd w:val="clear" w:color="auto" w:fill="auto"/>
              <w:bidi w:val="0"/>
              <w:jc w:val="center"/>
              <w:rPr>
                <w:color w:val="000000"/>
                <w:kern w:val="2"/>
                <w:sz w:val="21"/>
                <w:szCs w:val="21"/>
                <w:highlight w:val="none"/>
                <w:lang w:val="en-US" w:eastAsia="zh-CN" w:bidi="ar-SA"/>
              </w:rPr>
            </w:pPr>
            <w:r>
              <w:rPr>
                <w:color w:val="000000"/>
                <w:highlight w:val="none"/>
              </w:rPr>
              <w:t>/</w:t>
            </w:r>
          </w:p>
        </w:tc>
        <w:tc>
          <w:tcPr>
            <w:tcW w:w="624" w:type="pct"/>
            <w:shd w:val="clear" w:color="auto" w:fill="auto"/>
            <w:noWrap w:val="0"/>
            <w:vAlign w:val="center"/>
          </w:tcPr>
          <w:p w14:paraId="6C847C8B">
            <w:pPr>
              <w:shd w:val="clear" w:color="auto" w:fill="auto"/>
              <w:bidi w:val="0"/>
              <w:jc w:val="center"/>
              <w:rPr>
                <w:rFonts w:hint="default"/>
                <w:color w:val="000000"/>
                <w:kern w:val="2"/>
                <w:sz w:val="21"/>
                <w:szCs w:val="21"/>
                <w:highlight w:val="none"/>
                <w:lang w:val="en-US" w:eastAsia="zh-CN" w:bidi="ar-SA"/>
              </w:rPr>
            </w:pPr>
            <w:r>
              <w:rPr>
                <w:rFonts w:hint="eastAsia"/>
                <w:color w:val="000000"/>
                <w:highlight w:val="none"/>
                <w:lang w:val="en-US" w:eastAsia="zh-CN"/>
              </w:rPr>
              <w:t>0.002</w:t>
            </w:r>
          </w:p>
        </w:tc>
        <w:tc>
          <w:tcPr>
            <w:tcW w:w="471" w:type="pct"/>
            <w:shd w:val="clear" w:color="auto" w:fill="auto"/>
            <w:noWrap w:val="0"/>
            <w:vAlign w:val="center"/>
          </w:tcPr>
          <w:p w14:paraId="50F821FF">
            <w:pPr>
              <w:shd w:val="clear" w:color="auto" w:fill="auto"/>
              <w:bidi w:val="0"/>
              <w:jc w:val="center"/>
              <w:rPr>
                <w:rFonts w:hint="default"/>
                <w:color w:val="000000"/>
                <w:kern w:val="2"/>
                <w:sz w:val="21"/>
                <w:szCs w:val="21"/>
                <w:highlight w:val="none"/>
                <w:lang w:val="en-US" w:eastAsia="zh-CN" w:bidi="ar-SA"/>
              </w:rPr>
            </w:pPr>
            <w:r>
              <w:rPr>
                <w:rFonts w:hint="eastAsia"/>
                <w:color w:val="000000"/>
                <w:highlight w:val="none"/>
                <w:lang w:val="en-US" w:eastAsia="zh-CN"/>
              </w:rPr>
              <w:t>+0.002</w:t>
            </w:r>
          </w:p>
        </w:tc>
      </w:tr>
      <w:tr w14:paraId="630E7A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533" w:type="pct"/>
            <w:vMerge w:val="continue"/>
            <w:shd w:val="clear" w:color="auto" w:fill="auto"/>
            <w:noWrap w:val="0"/>
            <w:vAlign w:val="center"/>
          </w:tcPr>
          <w:p w14:paraId="56744B15">
            <w:pPr>
              <w:pStyle w:val="88"/>
              <w:shd w:val="clear" w:color="auto" w:fill="auto"/>
              <w:spacing w:beforeLines="0" w:afterLines="0" w:line="240" w:lineRule="auto"/>
              <w:rPr>
                <w:rFonts w:ascii="Times New Roman"/>
                <w:snapToGrid w:val="0"/>
                <w:color w:val="000000"/>
                <w:kern w:val="21"/>
                <w:sz w:val="21"/>
                <w:szCs w:val="21"/>
                <w:highlight w:val="none"/>
              </w:rPr>
            </w:pPr>
          </w:p>
        </w:tc>
        <w:tc>
          <w:tcPr>
            <w:tcW w:w="631" w:type="pct"/>
            <w:shd w:val="clear" w:color="auto" w:fill="auto"/>
            <w:noWrap w:val="0"/>
            <w:vAlign w:val="center"/>
          </w:tcPr>
          <w:p w14:paraId="0D967D56">
            <w:pPr>
              <w:shd w:val="clear" w:color="auto" w:fill="auto"/>
              <w:bidi w:val="0"/>
              <w:jc w:val="center"/>
              <w:rPr>
                <w:rFonts w:hint="default"/>
                <w:color w:val="000000"/>
                <w:highlight w:val="none"/>
                <w:lang w:val="en-US" w:eastAsia="zh-CN"/>
              </w:rPr>
            </w:pPr>
            <w:r>
              <w:rPr>
                <w:rFonts w:hint="eastAsia"/>
                <w:color w:val="000000"/>
                <w:highlight w:val="none"/>
                <w:lang w:val="en-US" w:eastAsia="zh-CN"/>
              </w:rPr>
              <w:t>废活性炭</w:t>
            </w:r>
          </w:p>
        </w:tc>
        <w:tc>
          <w:tcPr>
            <w:tcW w:w="543" w:type="pct"/>
            <w:shd w:val="clear" w:color="auto" w:fill="auto"/>
            <w:noWrap w:val="0"/>
            <w:vAlign w:val="center"/>
          </w:tcPr>
          <w:p w14:paraId="657ECE3D">
            <w:pPr>
              <w:shd w:val="clear" w:color="auto" w:fill="auto"/>
              <w:bidi w:val="0"/>
              <w:jc w:val="center"/>
              <w:rPr>
                <w:color w:val="000000"/>
                <w:kern w:val="2"/>
                <w:sz w:val="21"/>
                <w:szCs w:val="21"/>
                <w:highlight w:val="none"/>
                <w:lang w:val="en-US" w:eastAsia="zh-CN" w:bidi="ar-SA"/>
              </w:rPr>
            </w:pPr>
            <w:r>
              <w:rPr>
                <w:color w:val="000000"/>
                <w:highlight w:val="none"/>
              </w:rPr>
              <w:t>/</w:t>
            </w:r>
          </w:p>
        </w:tc>
        <w:tc>
          <w:tcPr>
            <w:tcW w:w="462" w:type="pct"/>
            <w:shd w:val="clear" w:color="auto" w:fill="auto"/>
            <w:noWrap w:val="0"/>
            <w:vAlign w:val="center"/>
          </w:tcPr>
          <w:p w14:paraId="4F1A168C">
            <w:pPr>
              <w:shd w:val="clear" w:color="auto" w:fill="auto"/>
              <w:bidi w:val="0"/>
              <w:jc w:val="center"/>
              <w:rPr>
                <w:color w:val="000000"/>
                <w:kern w:val="2"/>
                <w:sz w:val="21"/>
                <w:szCs w:val="21"/>
                <w:highlight w:val="none"/>
                <w:lang w:val="en-US" w:eastAsia="zh-CN" w:bidi="ar-SA"/>
              </w:rPr>
            </w:pPr>
            <w:r>
              <w:rPr>
                <w:color w:val="000000"/>
                <w:highlight w:val="none"/>
              </w:rPr>
              <w:t>/</w:t>
            </w:r>
          </w:p>
        </w:tc>
        <w:tc>
          <w:tcPr>
            <w:tcW w:w="616" w:type="pct"/>
            <w:shd w:val="clear" w:color="auto" w:fill="auto"/>
            <w:noWrap w:val="0"/>
            <w:vAlign w:val="center"/>
          </w:tcPr>
          <w:p w14:paraId="5405A385">
            <w:pPr>
              <w:shd w:val="clear" w:color="auto" w:fill="auto"/>
              <w:bidi w:val="0"/>
              <w:jc w:val="center"/>
              <w:rPr>
                <w:color w:val="000000"/>
                <w:kern w:val="2"/>
                <w:sz w:val="21"/>
                <w:szCs w:val="21"/>
                <w:highlight w:val="none"/>
                <w:lang w:val="en-US" w:eastAsia="zh-CN" w:bidi="ar-SA"/>
              </w:rPr>
            </w:pPr>
            <w:r>
              <w:rPr>
                <w:color w:val="000000"/>
                <w:highlight w:val="none"/>
              </w:rPr>
              <w:t>/</w:t>
            </w:r>
          </w:p>
        </w:tc>
        <w:tc>
          <w:tcPr>
            <w:tcW w:w="565" w:type="pct"/>
            <w:shd w:val="clear" w:color="auto" w:fill="auto"/>
            <w:noWrap w:val="0"/>
            <w:vAlign w:val="center"/>
          </w:tcPr>
          <w:p w14:paraId="359ABE88">
            <w:pPr>
              <w:shd w:val="clear" w:color="auto" w:fill="auto"/>
              <w:bidi w:val="0"/>
              <w:jc w:val="center"/>
              <w:rPr>
                <w:rFonts w:hint="default"/>
                <w:color w:val="000000"/>
                <w:highlight w:val="none"/>
                <w:lang w:val="en-US" w:eastAsia="zh-CN"/>
              </w:rPr>
            </w:pPr>
            <w:r>
              <w:rPr>
                <w:rFonts w:hint="eastAsia"/>
                <w:color w:val="000000"/>
                <w:highlight w:val="none"/>
                <w:lang w:val="en-US" w:eastAsia="zh-CN"/>
              </w:rPr>
              <w:t>0.5</w:t>
            </w:r>
          </w:p>
        </w:tc>
        <w:tc>
          <w:tcPr>
            <w:tcW w:w="552" w:type="pct"/>
            <w:shd w:val="clear" w:color="auto" w:fill="auto"/>
            <w:noWrap w:val="0"/>
            <w:vAlign w:val="center"/>
          </w:tcPr>
          <w:p w14:paraId="522B441D">
            <w:pPr>
              <w:shd w:val="clear" w:color="auto" w:fill="auto"/>
              <w:bidi w:val="0"/>
              <w:jc w:val="center"/>
              <w:rPr>
                <w:rFonts w:hint="default" w:eastAsia="宋体"/>
                <w:color w:val="000000"/>
                <w:highlight w:val="none"/>
                <w:lang w:val="en-US" w:eastAsia="zh-CN"/>
              </w:rPr>
            </w:pPr>
            <w:r>
              <w:rPr>
                <w:rFonts w:hint="eastAsia"/>
                <w:color w:val="000000"/>
                <w:highlight w:val="none"/>
                <w:lang w:val="en-US" w:eastAsia="zh-CN"/>
              </w:rPr>
              <w:t>/</w:t>
            </w:r>
          </w:p>
        </w:tc>
        <w:tc>
          <w:tcPr>
            <w:tcW w:w="624" w:type="pct"/>
            <w:shd w:val="clear" w:color="auto" w:fill="auto"/>
            <w:noWrap w:val="0"/>
            <w:vAlign w:val="center"/>
          </w:tcPr>
          <w:p w14:paraId="39C17926">
            <w:pPr>
              <w:shd w:val="clear" w:color="auto" w:fill="auto"/>
              <w:bidi w:val="0"/>
              <w:jc w:val="center"/>
              <w:rPr>
                <w:rFonts w:hint="default"/>
                <w:color w:val="000000"/>
                <w:highlight w:val="none"/>
                <w:lang w:val="en-US" w:eastAsia="zh-CN"/>
              </w:rPr>
            </w:pPr>
            <w:r>
              <w:rPr>
                <w:rFonts w:hint="eastAsia"/>
                <w:color w:val="000000"/>
                <w:highlight w:val="none"/>
                <w:lang w:val="en-US" w:eastAsia="zh-CN"/>
              </w:rPr>
              <w:t>0.5</w:t>
            </w:r>
          </w:p>
        </w:tc>
        <w:tc>
          <w:tcPr>
            <w:tcW w:w="471" w:type="pct"/>
            <w:shd w:val="clear" w:color="auto" w:fill="auto"/>
            <w:noWrap w:val="0"/>
            <w:vAlign w:val="center"/>
          </w:tcPr>
          <w:p w14:paraId="05997C43">
            <w:pPr>
              <w:shd w:val="clear" w:color="auto" w:fill="auto"/>
              <w:bidi w:val="0"/>
              <w:jc w:val="center"/>
              <w:rPr>
                <w:rFonts w:hint="default"/>
                <w:color w:val="000000"/>
                <w:highlight w:val="none"/>
                <w:lang w:val="en-US" w:eastAsia="zh-CN"/>
              </w:rPr>
            </w:pPr>
            <w:r>
              <w:rPr>
                <w:rFonts w:hint="eastAsia"/>
                <w:color w:val="000000"/>
                <w:highlight w:val="none"/>
                <w:lang w:val="en-US" w:eastAsia="zh-CN"/>
              </w:rPr>
              <w:t>+0.5</w:t>
            </w:r>
          </w:p>
        </w:tc>
      </w:tr>
    </w:tbl>
    <w:p w14:paraId="5D759E3B">
      <w:pPr>
        <w:pStyle w:val="88"/>
        <w:spacing w:before="192" w:beforeLines="80" w:after="24" w:line="240" w:lineRule="auto"/>
        <w:jc w:val="left"/>
        <w:rPr>
          <w:rFonts w:hint="eastAsia"/>
          <w:lang w:val="en-US" w:eastAsia="zh-CN"/>
        </w:rPr>
      </w:pPr>
      <w:r>
        <w:rPr>
          <w:rFonts w:ascii="Times New Roman"/>
          <w:snapToGrid w:val="0"/>
          <w:color w:val="000000"/>
          <w:kern w:val="21"/>
          <w:szCs w:val="21"/>
        </w:rPr>
        <w:t>注：</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ascii="Cambria Math" w:hAnsi="Cambria Math" w:cs="Cambria Math"/>
          <w:color w:val="000000"/>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Pr>
          <w:rFonts w:ascii="Times New Roman"/>
          <w:snapToGrid w:val="0"/>
          <w:color w:val="000000"/>
          <w:spacing w:val="-6"/>
          <w:kern w:val="21"/>
          <w:szCs w:val="21"/>
        </w:rPr>
        <w:fldChar w:fldCharType="separate"/>
      </w:r>
      <w:r>
        <w:rPr>
          <w:rFonts w:ascii="Cambria Math" w:hAnsi="Cambria Math" w:cs="Cambria Math"/>
          <w:color w:val="000000"/>
          <w:szCs w:val="21"/>
        </w:rPr>
        <w:t>①</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3 \* GB3 \* MERGEFORMAT </w:instrText>
      </w:r>
      <w:r>
        <w:rPr>
          <w:rFonts w:ascii="Times New Roman"/>
          <w:snapToGrid w:val="0"/>
          <w:color w:val="000000"/>
          <w:spacing w:val="-6"/>
          <w:kern w:val="21"/>
          <w:szCs w:val="21"/>
        </w:rPr>
        <w:fldChar w:fldCharType="separate"/>
      </w:r>
      <w:r>
        <w:rPr>
          <w:rFonts w:ascii="Cambria Math" w:hAnsi="Cambria Math" w:cs="Cambria Math"/>
          <w:color w:val="000000"/>
          <w:szCs w:val="21"/>
        </w:rPr>
        <w:t>③</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4 \* GB3 \* MERGEFORMAT </w:instrText>
      </w:r>
      <w:r>
        <w:rPr>
          <w:rFonts w:ascii="Times New Roman"/>
          <w:snapToGrid w:val="0"/>
          <w:color w:val="000000"/>
          <w:spacing w:val="-6"/>
          <w:kern w:val="21"/>
          <w:szCs w:val="21"/>
        </w:rPr>
        <w:fldChar w:fldCharType="separate"/>
      </w:r>
      <w:r>
        <w:rPr>
          <w:rFonts w:ascii="Cambria Math" w:hAnsi="Cambria Math" w:cs="Cambria Math"/>
          <w:color w:val="000000"/>
          <w:szCs w:val="21"/>
        </w:rPr>
        <w:t>④</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5 \* GB3 \* MERGEFORMAT </w:instrText>
      </w:r>
      <w:r>
        <w:rPr>
          <w:rFonts w:ascii="Times New Roman"/>
          <w:snapToGrid w:val="0"/>
          <w:color w:val="000000"/>
          <w:spacing w:val="-16"/>
          <w:kern w:val="21"/>
          <w:szCs w:val="21"/>
        </w:rPr>
        <w:fldChar w:fldCharType="separate"/>
      </w:r>
      <w:r>
        <w:rPr>
          <w:rFonts w:ascii="Cambria Math" w:hAnsi="Cambria Math" w:cs="Cambria Math"/>
          <w:color w:val="000000"/>
          <w:szCs w:val="21"/>
        </w:rPr>
        <w:t>⑤</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7 \* GB3 \* MERGEFORMAT </w:instrText>
      </w:r>
      <w:r>
        <w:rPr>
          <w:rFonts w:ascii="Times New Roman"/>
          <w:snapToGrid w:val="0"/>
          <w:color w:val="000000"/>
          <w:spacing w:val="-6"/>
          <w:kern w:val="21"/>
          <w:szCs w:val="21"/>
        </w:rPr>
        <w:fldChar w:fldCharType="separate"/>
      </w:r>
      <w:r>
        <w:rPr>
          <w:rFonts w:ascii="Cambria Math" w:hAnsi="Cambria Math" w:cs="Cambria Math"/>
          <w:color w:val="000000"/>
          <w:szCs w:val="21"/>
        </w:rPr>
        <w:t>⑦</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ascii="Cambria Math" w:hAnsi="Cambria Math" w:cs="Cambria Math"/>
          <w:color w:val="000000"/>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Pr>
          <w:rFonts w:ascii="Times New Roman"/>
          <w:snapToGrid w:val="0"/>
          <w:color w:val="000000"/>
          <w:spacing w:val="-6"/>
          <w:kern w:val="21"/>
          <w:szCs w:val="21"/>
        </w:rPr>
        <w:fldChar w:fldCharType="separate"/>
      </w:r>
      <w:r>
        <w:rPr>
          <w:rFonts w:ascii="Cambria Math" w:hAnsi="Cambria Math" w:cs="Cambria Math"/>
          <w:color w:val="000000"/>
          <w:szCs w:val="21"/>
        </w:rPr>
        <w:t>①</w:t>
      </w:r>
      <w:r>
        <w:rPr>
          <w:rFonts w:ascii="Times New Roman"/>
          <w:snapToGrid w:val="0"/>
          <w:color w:val="000000"/>
          <w:spacing w:val="-6"/>
          <w:kern w:val="21"/>
          <w:szCs w:val="21"/>
        </w:rPr>
        <w:fldChar w:fldCharType="end"/>
      </w:r>
    </w:p>
    <w:sectPr>
      <w:headerReference r:id="rId7" w:type="default"/>
      <w:footerReference r:id="rId8" w:type="default"/>
      <w:pgSz w:w="16839" w:h="11906"/>
      <w:pgMar w:top="400" w:right="2525" w:bottom="400" w:left="2525" w:header="0" w:footer="0"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auto"/>
    <w:pitch w:val="default"/>
    <w:sig w:usb0="00000000" w:usb1="00000000" w:usb2="0000003F" w:usb3="00000000" w:csb0="603F01FF" w:csb1="FFFF0000"/>
  </w:font>
  <w:font w:name="Cambria">
    <w:panose1 w:val="02040503050406030204"/>
    <w:charset w:val="00"/>
    <w:family w:val="auto"/>
    <w:pitch w:val="default"/>
    <w:sig w:usb0="E00006FF" w:usb1="420024FF" w:usb2="02000000" w:usb3="00000000" w:csb0="2000019F" w:csb1="00000000"/>
  </w:font>
  <w:font w:name="MingLiU">
    <w:altName w:val="PMingLiU-ExtB"/>
    <w:panose1 w:val="02010609000101010101"/>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体">
    <w:altName w:val="宋体"/>
    <w:panose1 w:val="00000000000000000000"/>
    <w:charset w:val="86"/>
    <w:family w:val="auto"/>
    <w:pitch w:val="default"/>
    <w:sig w:usb0="00000000" w:usb1="00000000" w:usb2="00000010" w:usb3="00000000" w:csb0="00040000" w:csb1="00000000"/>
  </w:font>
  <w:font w:name="Microsoft YaHei UI">
    <w:panose1 w:val="020B0503020204020204"/>
    <w:charset w:val="86"/>
    <w:family w:val="auto"/>
    <w:pitch w:val="default"/>
    <w:sig w:usb0="80000287" w:usb1="2ACF3C50" w:usb2="00000016" w:usb3="00000000" w:csb0="0004001F" w:csb1="00000000"/>
  </w:font>
  <w:font w:name="楷体_GB2312">
    <w:panose1 w:val="02010609030101010101"/>
    <w:charset w:val="86"/>
    <w:family w:val="auto"/>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auto"/>
    <w:pitch w:val="default"/>
    <w:sig w:usb0="A00006FF" w:usb1="4000205B" w:usb2="00000010" w:usb3="00000000" w:csb0="2000019F" w:csb1="00000000"/>
  </w:font>
  <w:font w:name="方正小标宋_GBK">
    <w:panose1 w:val="02000000000000000000"/>
    <w:charset w:val="86"/>
    <w:family w:val="auto"/>
    <w:pitch w:val="default"/>
    <w:sig w:usb0="A00002BF" w:usb1="38CF7CFA" w:usb2="00082016" w:usb3="00000000" w:csb0="00040001"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F4">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auto"/>
    <w:pitch w:val="default"/>
    <w:sig w:usb0="00000203" w:usb1="288F0000" w:usb2="00000006" w:usb3="00000000" w:csb0="00040001" w:csb1="00000000"/>
  </w:font>
  <w:font w:name="Cambria Math">
    <w:panose1 w:val="02040503050406030204"/>
    <w:charset w:val="00"/>
    <w:family w:val="roman"/>
    <w:pitch w:val="default"/>
    <w:sig w:usb0="E00006FF" w:usb1="420024FF" w:usb2="02000000" w:usb3="00000000" w:csb0="2000019F" w:csb1="00000000"/>
  </w:font>
  <w:font w:name="WPSEMBED3">
    <w:panose1 w:val="02000000000000000000"/>
    <w:charset w:val="86"/>
    <w:family w:val="auto"/>
    <w:pitch w:val="default"/>
    <w:sig w:usb0="A00002BF" w:usb1="38CF7CFA" w:usb2="00082016" w:usb3="00000000" w:csb0="00040001" w:csb1="00000000"/>
  </w:font>
  <w:font w:name="WPSEMBED1">
    <w:panose1 w:val="02010609030101010101"/>
    <w:charset w:val="86"/>
    <w:family w:val="auto"/>
    <w:pitch w:val="default"/>
    <w:sig w:usb0="00000001" w:usb1="080E0000" w:usb2="00000000" w:usb3="00000000" w:csb0="00040000" w:csb1="00000000"/>
  </w:font>
  <w:font w:name="WPSEMBED2">
    <w:panose1 w:val="02010609030101010101"/>
    <w:charset w:val="86"/>
    <w:family w:val="auto"/>
    <w:pitch w:val="default"/>
    <w:sig w:usb0="00000001" w:usb1="080E0000" w:usb2="00000000" w:usb3="00000000" w:csb0="00040000" w:csb1="00000000"/>
  </w:font>
  <w:font w:name="WPSEMBED5">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8768A">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83B38">
    <w:pPr>
      <w:pStyle w:val="54"/>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49"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6443D4D8">
                          <w:pPr>
                            <w:pStyle w:val="54"/>
                            <w:rPr>
                              <w:rStyle w:val="78"/>
                              <w:rFonts w:ascii="宋体" w:hAnsi="宋体"/>
                              <w:sz w:val="28"/>
                              <w:szCs w:val="28"/>
                            </w:rPr>
                          </w:pPr>
                          <w:r>
                            <w:rPr>
                              <w:rStyle w:val="78"/>
                              <w:rFonts w:hint="eastAsia" w:ascii="宋体" w:hAnsi="宋体"/>
                              <w:sz w:val="28"/>
                              <w:szCs w:val="28"/>
                            </w:rPr>
                            <w:t>—</w:t>
                          </w:r>
                          <w:r>
                            <w:rPr>
                              <w:rStyle w:val="78"/>
                              <w:rFonts w:hint="eastAsia" w:ascii="宋体" w:hAnsi="宋体"/>
                              <w:sz w:val="20"/>
                            </w:rPr>
                            <w:t xml:space="preserve">  </w:t>
                          </w:r>
                          <w:r>
                            <w:rPr>
                              <w:rFonts w:hint="default" w:ascii="Times New Roman" w:hAnsi="Times New Roman" w:cs="Times New Roman"/>
                              <w:sz w:val="26"/>
                              <w:szCs w:val="26"/>
                            </w:rPr>
                            <w:fldChar w:fldCharType="begin"/>
                          </w:r>
                          <w:r>
                            <w:rPr>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78"/>
                              <w:rFonts w:hint="default" w:ascii="Times New Roman" w:hAnsi="Times New Roman" w:cs="Times New Roman"/>
                              <w:sz w:val="26"/>
                              <w:szCs w:val="26"/>
                            </w:rPr>
                            <w:t>9</w:t>
                          </w:r>
                          <w:r>
                            <w:rPr>
                              <w:rFonts w:hint="default" w:ascii="Times New Roman" w:hAnsi="Times New Roman" w:cs="Times New Roman"/>
                              <w:sz w:val="26"/>
                              <w:szCs w:val="26"/>
                            </w:rPr>
                            <w:fldChar w:fldCharType="end"/>
                          </w:r>
                          <w:r>
                            <w:rPr>
                              <w:rStyle w:val="78"/>
                              <w:rFonts w:hint="eastAsia" w:ascii="宋体" w:hAnsi="宋体"/>
                              <w:sz w:val="20"/>
                            </w:rPr>
                            <w:t xml:space="preserve">  </w:t>
                          </w:r>
                          <w:r>
                            <w:rPr>
                              <w:rStyle w:val="78"/>
                              <w:rFonts w:hint="eastAsia" w:ascii="宋体" w:hAnsi="宋体"/>
                              <w:sz w:val="28"/>
                              <w:szCs w:val="28"/>
                            </w:rPr>
                            <w:t>—</w:t>
                          </w:r>
                        </w:p>
                      </w:txbxContent>
                    </wps:txbx>
                    <wps:bodyPr rot="0" spcFirstLastPara="0" vertOverflow="overflow" horzOverflow="overflow" vert="horz" wrap="none" lIns="0" tIns="0" rIns="0" bIns="0" numCol="1" anchor="t" upright="1">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XW5UtAAAAAFAQAADwAAAAAAAAABACAAAAAiAAAAZHJzL2Rvd25yZXYueG1s&#10;UEsBAhQAFAAAAAgAh07iQECkPX8AAgAAAQQAAA4AAAAAAAAAAQAgAAAAHwEAAGRycy9lMm9Eb2Mu&#10;eG1sUEsFBgAAAAAGAAYAWQEAAJEFAAAAAA==&#10;">
              <v:fill on="f" focussize="0,0"/>
              <v:stroke on="f"/>
              <v:imagedata o:title=""/>
              <o:lock v:ext="edit" aspectratio="f"/>
              <v:textbox inset="0mm,0mm,0mm,0mm" style="mso-fit-shape-to-text:t;">
                <w:txbxContent>
                  <w:p w14:paraId="6443D4D8">
                    <w:pPr>
                      <w:pStyle w:val="54"/>
                      <w:rPr>
                        <w:rStyle w:val="78"/>
                        <w:rFonts w:ascii="宋体" w:hAnsi="宋体"/>
                        <w:sz w:val="28"/>
                        <w:szCs w:val="28"/>
                      </w:rPr>
                    </w:pPr>
                    <w:r>
                      <w:rPr>
                        <w:rStyle w:val="78"/>
                        <w:rFonts w:hint="eastAsia" w:ascii="宋体" w:hAnsi="宋体"/>
                        <w:sz w:val="28"/>
                        <w:szCs w:val="28"/>
                      </w:rPr>
                      <w:t>—</w:t>
                    </w:r>
                    <w:r>
                      <w:rPr>
                        <w:rStyle w:val="78"/>
                        <w:rFonts w:hint="eastAsia" w:ascii="宋体" w:hAnsi="宋体"/>
                        <w:sz w:val="20"/>
                      </w:rPr>
                      <w:t xml:space="preserve">  </w:t>
                    </w:r>
                    <w:r>
                      <w:rPr>
                        <w:rFonts w:hint="default" w:ascii="Times New Roman" w:hAnsi="Times New Roman" w:cs="Times New Roman"/>
                        <w:sz w:val="26"/>
                        <w:szCs w:val="26"/>
                      </w:rPr>
                      <w:fldChar w:fldCharType="begin"/>
                    </w:r>
                    <w:r>
                      <w:rPr>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78"/>
                        <w:rFonts w:hint="default" w:ascii="Times New Roman" w:hAnsi="Times New Roman" w:cs="Times New Roman"/>
                        <w:sz w:val="26"/>
                        <w:szCs w:val="26"/>
                      </w:rPr>
                      <w:t>9</w:t>
                    </w:r>
                    <w:r>
                      <w:rPr>
                        <w:rFonts w:hint="default" w:ascii="Times New Roman" w:hAnsi="Times New Roman" w:cs="Times New Roman"/>
                        <w:sz w:val="26"/>
                        <w:szCs w:val="26"/>
                      </w:rPr>
                      <w:fldChar w:fldCharType="end"/>
                    </w:r>
                    <w:r>
                      <w:rPr>
                        <w:rStyle w:val="78"/>
                        <w:rFonts w:hint="eastAsia" w:ascii="宋体" w:hAnsi="宋体"/>
                        <w:sz w:val="20"/>
                      </w:rPr>
                      <w:t xml:space="preserve">  </w:t>
                    </w:r>
                    <w:r>
                      <w:rPr>
                        <w:rStyle w:val="78"/>
                        <w:rFonts w:hint="eastAsia" w:ascii="宋体" w:hAnsi="宋体"/>
                        <w:sz w:val="28"/>
                        <w:szCs w:val="28"/>
                      </w:rPr>
                      <w:t>—</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62132">
    <w:pPr>
      <w:pStyle w:val="54"/>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79"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14:paraId="1E117DC3">
                          <w:pPr>
                            <w:pStyle w:val="54"/>
                            <w:rPr>
                              <w:rStyle w:val="78"/>
                              <w:rFonts w:ascii="宋体" w:hAnsi="宋体"/>
                              <w:sz w:val="28"/>
                              <w:szCs w:val="28"/>
                            </w:rPr>
                          </w:pPr>
                          <w:r>
                            <w:rPr>
                              <w:rStyle w:val="78"/>
                              <w:rFonts w:hint="eastAsia" w:ascii="宋体" w:hAnsi="宋体"/>
                              <w:sz w:val="28"/>
                              <w:szCs w:val="28"/>
                            </w:rPr>
                            <w:t>—</w:t>
                          </w:r>
                          <w:r>
                            <w:rPr>
                              <w:rStyle w:val="78"/>
                              <w:rFonts w:hint="eastAsia" w:ascii="宋体" w:hAnsi="宋体"/>
                              <w:sz w:val="20"/>
                            </w:rPr>
                            <w:t xml:space="preserve">  </w:t>
                          </w:r>
                          <w:r>
                            <w:rPr>
                              <w:rFonts w:hint="default" w:ascii="Times New Roman" w:hAnsi="Times New Roman" w:cs="Times New Roman"/>
                              <w:sz w:val="26"/>
                              <w:szCs w:val="26"/>
                            </w:rPr>
                            <w:fldChar w:fldCharType="begin"/>
                          </w:r>
                          <w:r>
                            <w:rPr>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78"/>
                              <w:rFonts w:hint="default" w:ascii="Times New Roman" w:hAnsi="Times New Roman" w:cs="Times New Roman"/>
                              <w:sz w:val="26"/>
                              <w:szCs w:val="26"/>
                            </w:rPr>
                            <w:t>11</w:t>
                          </w:r>
                          <w:r>
                            <w:rPr>
                              <w:rFonts w:hint="default" w:ascii="Times New Roman" w:hAnsi="Times New Roman" w:cs="Times New Roman"/>
                              <w:sz w:val="26"/>
                              <w:szCs w:val="26"/>
                            </w:rPr>
                            <w:fldChar w:fldCharType="end"/>
                          </w:r>
                          <w:r>
                            <w:rPr>
                              <w:rStyle w:val="78"/>
                              <w:rFonts w:hint="default" w:ascii="Times New Roman" w:hAnsi="Times New Roman" w:cs="Times New Roman"/>
                              <w:sz w:val="20"/>
                            </w:rPr>
                            <w:t xml:space="preserve"> </w:t>
                          </w:r>
                          <w:r>
                            <w:rPr>
                              <w:rStyle w:val="78"/>
                              <w:rFonts w:hint="eastAsia" w:ascii="宋体" w:hAnsi="宋体"/>
                              <w:sz w:val="20"/>
                            </w:rPr>
                            <w:t xml:space="preserve"> </w:t>
                          </w:r>
                          <w:r>
                            <w:rPr>
                              <w:rStyle w:val="78"/>
                              <w:rFonts w:hint="eastAsia" w:ascii="宋体" w:hAnsi="宋体"/>
                              <w:sz w:val="28"/>
                              <w:szCs w:val="28"/>
                            </w:rPr>
                            <w:t>—</w:t>
                          </w:r>
                        </w:p>
                      </w:txbxContent>
                    </wps:txbx>
                    <wps:bodyPr rot="0" spcFirstLastPara="0" vertOverflow="overflow" horzOverflow="overflow" vert="horz" wrap="none" lIns="0" tIns="0" rIns="0" bIns="0" numCol="1" anchor="t" upright="1">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l1uVLQAAAABQEAAA8AAAAAAAAAAQAgAAAAIgAAAGRycy9kb3ducmV2Lnht&#10;bFBLAQIUABQAAAAIAIdO4kDVLoUsAQIAAAEEAAAOAAAAAAAAAAEAIAAAAB8BAABkcnMvZTJvRG9j&#10;LnhtbFBLBQYAAAAABgAGAFkBAACSBQAAAAA=&#10;">
              <v:fill on="f" focussize="0,0"/>
              <v:stroke on="f"/>
              <v:imagedata o:title=""/>
              <o:lock v:ext="edit" aspectratio="f"/>
              <v:textbox inset="0mm,0mm,0mm,0mm" style="mso-fit-shape-to-text:t;">
                <w:txbxContent>
                  <w:p w14:paraId="1E117DC3">
                    <w:pPr>
                      <w:pStyle w:val="54"/>
                      <w:rPr>
                        <w:rStyle w:val="78"/>
                        <w:rFonts w:ascii="宋体" w:hAnsi="宋体"/>
                        <w:sz w:val="28"/>
                        <w:szCs w:val="28"/>
                      </w:rPr>
                    </w:pPr>
                    <w:r>
                      <w:rPr>
                        <w:rStyle w:val="78"/>
                        <w:rFonts w:hint="eastAsia" w:ascii="宋体" w:hAnsi="宋体"/>
                        <w:sz w:val="28"/>
                        <w:szCs w:val="28"/>
                      </w:rPr>
                      <w:t>—</w:t>
                    </w:r>
                    <w:r>
                      <w:rPr>
                        <w:rStyle w:val="78"/>
                        <w:rFonts w:hint="eastAsia" w:ascii="宋体" w:hAnsi="宋体"/>
                        <w:sz w:val="20"/>
                      </w:rPr>
                      <w:t xml:space="preserve">  </w:t>
                    </w:r>
                    <w:r>
                      <w:rPr>
                        <w:rFonts w:hint="default" w:ascii="Times New Roman" w:hAnsi="Times New Roman" w:cs="Times New Roman"/>
                        <w:sz w:val="26"/>
                        <w:szCs w:val="26"/>
                      </w:rPr>
                      <w:fldChar w:fldCharType="begin"/>
                    </w:r>
                    <w:r>
                      <w:rPr>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78"/>
                        <w:rFonts w:hint="default" w:ascii="Times New Roman" w:hAnsi="Times New Roman" w:cs="Times New Roman"/>
                        <w:sz w:val="26"/>
                        <w:szCs w:val="26"/>
                      </w:rPr>
                      <w:t>11</w:t>
                    </w:r>
                    <w:r>
                      <w:rPr>
                        <w:rFonts w:hint="default" w:ascii="Times New Roman" w:hAnsi="Times New Roman" w:cs="Times New Roman"/>
                        <w:sz w:val="26"/>
                        <w:szCs w:val="26"/>
                      </w:rPr>
                      <w:fldChar w:fldCharType="end"/>
                    </w:r>
                    <w:r>
                      <w:rPr>
                        <w:rStyle w:val="78"/>
                        <w:rFonts w:hint="default" w:ascii="Times New Roman" w:hAnsi="Times New Roman" w:cs="Times New Roman"/>
                        <w:sz w:val="20"/>
                      </w:rPr>
                      <w:t xml:space="preserve"> </w:t>
                    </w:r>
                    <w:r>
                      <w:rPr>
                        <w:rStyle w:val="78"/>
                        <w:rFonts w:hint="eastAsia" w:ascii="宋体" w:hAnsi="宋体"/>
                        <w:sz w:val="20"/>
                      </w:rPr>
                      <w:t xml:space="preserve"> </w:t>
                    </w:r>
                    <w:r>
                      <w:rPr>
                        <w:rStyle w:val="78"/>
                        <w:rFonts w:hint="eastAsia" w:ascii="宋体" w:hAnsi="宋体"/>
                        <w:sz w:val="28"/>
                        <w:szCs w:val="28"/>
                      </w:rPr>
                      <w:t>—</w:t>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D465">
    <w:pPr>
      <w:pStyle w:val="3"/>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CC588">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50576">
    <w:pPr>
      <w:pStyle w:val="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singleLevel"/>
    <w:tmpl w:val="B5E306ED"/>
    <w:lvl w:ilvl="0" w:tentative="0">
      <w:start w:val="1"/>
      <w:numFmt w:val="decimal"/>
      <w:suff w:val="nothing"/>
      <w:lvlText w:val="%1、"/>
      <w:lvlJc w:val="left"/>
    </w:lvl>
  </w:abstractNum>
  <w:abstractNum w:abstractNumId="1">
    <w:nsid w:val="CF092B84"/>
    <w:multiLevelType w:val="singleLevel"/>
    <w:tmpl w:val="CF092B84"/>
    <w:lvl w:ilvl="0" w:tentative="0">
      <w:start w:val="3"/>
      <w:numFmt w:val="chineseCounting"/>
      <w:suff w:val="nothing"/>
      <w:lvlText w:val="（%1）"/>
      <w:lvlJc w:val="left"/>
      <w:rPr>
        <w:rFonts w:hint="eastAsia"/>
      </w:rPr>
    </w:lvl>
  </w:abstractNum>
  <w:abstractNum w:abstractNumId="2">
    <w:nsid w:val="0053208E"/>
    <w:multiLevelType w:val="singleLevel"/>
    <w:tmpl w:val="0053208E"/>
    <w:lvl w:ilvl="0" w:tentative="0">
      <w:start w:val="1"/>
      <w:numFmt w:val="bullet"/>
      <w:pStyle w:val="47"/>
      <w:lvlText w:val=""/>
      <w:lvlJc w:val="left"/>
      <w:pPr>
        <w:tabs>
          <w:tab w:val="left" w:pos="2040"/>
        </w:tabs>
        <w:ind w:left="2040" w:hanging="360"/>
      </w:pPr>
      <w:rPr>
        <w:rFonts w:hint="default" w:ascii="Wingdings" w:hAnsi="Wingdings"/>
      </w:rPr>
    </w:lvl>
  </w:abstractNum>
  <w:abstractNum w:abstractNumId="3">
    <w:nsid w:val="0248C179"/>
    <w:multiLevelType w:val="singleLevel"/>
    <w:tmpl w:val="0248C179"/>
    <w:lvl w:ilvl="0" w:tentative="0">
      <w:start w:val="1"/>
      <w:numFmt w:val="decimal"/>
      <w:suff w:val="nothing"/>
      <w:lvlText w:val="（%1）"/>
      <w:lvlJc w:val="left"/>
    </w:lvl>
  </w:abstractNum>
  <w:abstractNum w:abstractNumId="4">
    <w:nsid w:val="03D62ECE"/>
    <w:multiLevelType w:val="singleLevel"/>
    <w:tmpl w:val="03D62ECE"/>
    <w:lvl w:ilvl="0" w:tentative="0">
      <w:start w:val="1"/>
      <w:numFmt w:val="decimal"/>
      <w:suff w:val="nothing"/>
      <w:lvlText w:val="（%1）"/>
      <w:lvlJc w:val="left"/>
    </w:lvl>
  </w:abstractNum>
  <w:abstractNum w:abstractNumId="5">
    <w:nsid w:val="25B654F3"/>
    <w:multiLevelType w:val="singleLevel"/>
    <w:tmpl w:val="25B654F3"/>
    <w:lvl w:ilvl="0" w:tentative="0">
      <w:start w:val="1"/>
      <w:numFmt w:val="decimal"/>
      <w:suff w:val="nothing"/>
      <w:lvlText w:val="（%1）"/>
      <w:lvlJc w:val="left"/>
    </w:lvl>
  </w:abstractNum>
  <w:abstractNum w:abstractNumId="6">
    <w:nsid w:val="59ADCABA"/>
    <w:multiLevelType w:val="singleLevel"/>
    <w:tmpl w:val="59ADCABA"/>
    <w:lvl w:ilvl="0" w:tentative="0">
      <w:start w:val="5"/>
      <w:numFmt w:val="decimal"/>
      <w:suff w:val="nothing"/>
      <w:lvlText w:val="%1、"/>
      <w:lvlJc w:val="left"/>
    </w:lvl>
  </w:abstractNum>
  <w:abstractNum w:abstractNumId="7">
    <w:nsid w:val="72183CF9"/>
    <w:multiLevelType w:val="singleLevel"/>
    <w:tmpl w:val="72183CF9"/>
    <w:lvl w:ilvl="0" w:tentative="0">
      <w:start w:val="1"/>
      <w:numFmt w:val="decimal"/>
      <w:suff w:val="nothing"/>
      <w:lvlText w:val="%1）"/>
      <w:lvlJc w:val="left"/>
      <w:pPr>
        <w:ind w:left="150"/>
      </w:pPr>
    </w:lvl>
  </w:abstractNum>
  <w:num w:numId="1">
    <w:abstractNumId w:val="2"/>
  </w:num>
  <w:num w:numId="2">
    <w:abstractNumId w:val="1"/>
  </w:num>
  <w:num w:numId="3">
    <w:abstractNumId w:val="6"/>
  </w:num>
  <w:num w:numId="4">
    <w:abstractNumId w:val="0"/>
  </w:num>
  <w:num w:numId="5">
    <w:abstractNumId w:val="4"/>
  </w:num>
  <w:num w:numId="6">
    <w:abstractNumId w:val="5"/>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NotTrackMoves/>
  <w:documentProtection w:edit="trackedChanges" w:enforcement="0"/>
  <w:defaultTabStop w:val="420"/>
  <w:doNotHyphenateCaps/>
  <w:drawingGridVerticalSpacing w:val="156"/>
  <w:noPunctuationKerning w:val="1"/>
  <w:characterSpacingControl w:val="compressPunctuation"/>
  <w:strictFirstAndLastChars w:val="1"/>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xMTkwODU2Zjc4NTc3MmU2ZmI3MGIxMmI1NmU5OWIifQ=="/>
  </w:docVars>
  <w:rsids>
    <w:rsidRoot w:val="00000000"/>
    <w:rsid w:val="06B878D6"/>
    <w:rsid w:val="525B69D2"/>
    <w:rsid w:val="67D738B0"/>
  </w:rsids>
  <m:mathPr>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99" w:semiHidden="0" w:name="heading 2" w:locked="1"/>
    <w:lsdException w:qFormat="1" w:unhideWhenUsed="0" w:uiPriority="99" w:semiHidden="0" w:name="heading 3" w:locked="1"/>
    <w:lsdException w:qFormat="1" w:unhideWhenUsed="0" w:uiPriority="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qFormat="1" w:unhideWhenUsed="0" w:uiPriority="0" w:semiHidden="0" w:name="index heading" w:locked="1"/>
    <w:lsdException w:qFormat="1" w:unhideWhenUsed="0" w:uiPriority="0" w:semiHidden="0" w:name="caption" w:locked="1"/>
    <w:lsdException w:qFormat="1" w:uiPriority="99"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unhideWhenUsed="0" w:uiPriority="99"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1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iPriority="99" w:semiHidden="0" w:name="Body Text First Indent" w:locked="1"/>
    <w:lsdException w:qFormat="1" w:unhideWhenUsed="0" w:uiPriority="0" w:semiHidden="0" w:name="Body Text First Indent 2" w:locked="1"/>
    <w:lsdException w:uiPriority="99" w:name="Note Heading"/>
    <w:lsdException w:uiPriority="99" w:semiHidden="0" w:name="Body Text 2" w:locked="1"/>
    <w:lsdException w:uiPriority="99" w:semiHidden="0" w:name="Body Text 3" w:locked="1"/>
    <w:lsdException w:uiPriority="99" w:semiHidden="0" w:name="Body Text Indent 2" w:locked="1"/>
    <w:lsdException w:uiPriority="99" w:semiHidden="0" w:name="Body Text Indent 3" w:locked="1"/>
    <w:lsdException w:qFormat="1" w:unhideWhenUsed="0" w:uiPriority="0" w:semiHidden="0" w:name="Block Text" w:locked="1"/>
    <w:lsdException w:uiPriority="99" w:semiHidden="0" w:name="Hyperlink" w:locked="1"/>
    <w:lsdException w:uiPriority="99" w:semiHidden="0" w:name="FollowedHyperlink" w:locked="1"/>
    <w:lsdException w:qFormat="1" w:unhideWhenUsed="0" w:uiPriority="22" w:semiHidden="0" w:name="Strong" w:locked="1"/>
    <w:lsdException w:qFormat="1" w:unhideWhenUsed="0" w:uiPriority="20" w:semiHidden="0" w:name="Emphasis" w:locked="1"/>
    <w:lsdException w:uiPriority="99"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iPriority="99" w:semiHidden="0" w:name="HTML Preformatted" w:locked="1"/>
    <w:lsdException w:unhideWhenUsed="0" w:uiPriority="0" w:semiHidden="0" w:name="HTML Sample" w:locked="1"/>
    <w:lsdException w:uiPriority="99" w:name="HTML Typewriter"/>
    <w:lsdException w:unhideWhenUsed="0" w:uiPriority="0" w:semiHidden="0" w:name="HTML Variable" w:locked="1"/>
    <w:lsdException w:qFormat="1" w:unhideWhenUsed="0" w:uiPriority="0" w:name="Normal Table"/>
    <w:lsdException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unhideWhenUsed="0" w:uiPriority="99" w:semiHidden="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2"/>
    <w:basedOn w:val="1"/>
    <w:next w:val="1"/>
    <w:unhideWhenUsed/>
    <w:qFormat/>
    <w:locked/>
    <w:uiPriority w:val="99"/>
    <w:pPr>
      <w:keepNext/>
      <w:keepLines/>
      <w:spacing w:before="260" w:after="260" w:line="416" w:lineRule="auto"/>
      <w:outlineLvl w:val="1"/>
    </w:pPr>
    <w:rPr>
      <w:rFonts w:ascii="等线 Light" w:hAnsi="等线 Light" w:eastAsia="等线 Light" w:cs="Times New Roman"/>
      <w:b/>
      <w:bCs/>
      <w:sz w:val="32"/>
      <w:szCs w:val="32"/>
    </w:rPr>
  </w:style>
  <w:style w:type="character" w:default="1" w:styleId="15">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3">
    <w:name w:val="Body Text"/>
    <w:basedOn w:val="1"/>
    <w:next w:val="1"/>
    <w:semiHidden/>
    <w:qFormat/>
    <w:uiPriority w:val="0"/>
    <w:rPr>
      <w:rFonts w:ascii="Arial" w:hAnsi="Arial" w:eastAsia="Arial" w:cs="Arial"/>
      <w:sz w:val="21"/>
      <w:szCs w:val="21"/>
      <w:lang w:val="en-US" w:eastAsia="en-US" w:bidi="ar-SA"/>
    </w:rPr>
  </w:style>
  <w:style w:type="paragraph" w:styleId="4">
    <w:name w:val="Body Text Indent"/>
    <w:basedOn w:val="1"/>
    <w:next w:val="1"/>
    <w:qFormat/>
    <w:uiPriority w:val="0"/>
    <w:pPr>
      <w:spacing w:after="120"/>
      <w:ind w:left="420" w:leftChars="200"/>
    </w:pPr>
    <w:rPr>
      <w:kern w:val="0"/>
      <w:sz w:val="24"/>
      <w:szCs w:val="20"/>
    </w:rPr>
  </w:style>
  <w:style w:type="paragraph" w:styleId="5">
    <w:name w:val="Block Text"/>
    <w:basedOn w:val="1"/>
    <w:next w:val="1"/>
    <w:qFormat/>
    <w:locked/>
    <w:uiPriority w:val="0"/>
    <w:pPr>
      <w:ind w:left="548" w:right="-88"/>
    </w:pPr>
    <w:rPr>
      <w:rFonts w:ascii="宋体"/>
      <w:sz w:val="28"/>
      <w:szCs w:val="20"/>
    </w:rPr>
  </w:style>
  <w:style w:type="paragraph" w:styleId="6">
    <w:name w:val="footer"/>
    <w:basedOn w:val="1"/>
    <w:qFormat/>
    <w:uiPriority w:val="99"/>
    <w:pPr>
      <w:tabs>
        <w:tab w:val="center" w:pos="4153"/>
        <w:tab w:val="right" w:pos="8306"/>
      </w:tabs>
      <w:snapToGrid w:val="0"/>
      <w:jc w:val="left"/>
    </w:pPr>
    <w:rPr>
      <w:kern w:val="0"/>
      <w:sz w:val="18"/>
      <w:szCs w:val="20"/>
    </w:rPr>
  </w:style>
  <w:style w:type="paragraph" w:styleId="7">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List"/>
    <w:basedOn w:val="1"/>
    <w:unhideWhenUsed/>
    <w:qFormat/>
    <w:locked/>
    <w:uiPriority w:val="99"/>
    <w:pPr>
      <w:widowControl/>
      <w:spacing w:line="320" w:lineRule="exact"/>
      <w:jc w:val="center"/>
    </w:pPr>
    <w:rPr>
      <w:color w:val="000000"/>
      <w:sz w:val="22"/>
      <w:szCs w:val="22"/>
    </w:rPr>
  </w:style>
  <w:style w:type="paragraph" w:styleId="9">
    <w:name w:val="table of figures"/>
    <w:basedOn w:val="1"/>
    <w:next w:val="1"/>
    <w:unhideWhenUsed/>
    <w:qFormat/>
    <w:locked/>
    <w:uiPriority w:val="99"/>
    <w:pPr>
      <w:widowControl/>
      <w:spacing w:before="100" w:beforeAutospacing="1" w:after="100" w:afterAutospacing="1" w:line="360" w:lineRule="auto"/>
      <w:ind w:leftChars="200" w:hanging="200" w:hangingChars="200"/>
      <w:jc w:val="left"/>
    </w:pPr>
    <w:rPr>
      <w:color w:val="000000"/>
      <w:sz w:val="24"/>
    </w:rPr>
  </w:style>
  <w:style w:type="paragraph" w:styleId="10">
    <w:name w:val="Normal (Web)"/>
    <w:basedOn w:val="1"/>
    <w:qFormat/>
    <w:uiPriority w:val="0"/>
    <w:pPr>
      <w:widowControl/>
      <w:spacing w:before="100" w:beforeAutospacing="1" w:after="100" w:afterAutospacing="1" w:line="360" w:lineRule="auto"/>
      <w:jc w:val="left"/>
    </w:pPr>
    <w:rPr>
      <w:rFonts w:ascii="Arial Unicode MS" w:hAnsi="Arial Unicode MS" w:eastAsia="Arial Unicode MS" w:cs="Arial Unicode MS"/>
      <w:color w:val="000000"/>
      <w:kern w:val="0"/>
      <w:sz w:val="24"/>
    </w:rPr>
  </w:style>
  <w:style w:type="paragraph" w:styleId="11">
    <w:name w:val="Body Text First Indent 2"/>
    <w:basedOn w:val="4"/>
    <w:next w:val="1"/>
    <w:qFormat/>
    <w:locked/>
    <w:uiPriority w:val="0"/>
    <w:pPr>
      <w:ind w:firstLine="420" w:firstLineChars="200"/>
    </w:pPr>
    <w:rPr>
      <w:kern w:val="2"/>
      <w:sz w:val="21"/>
      <w:szCs w:val="24"/>
    </w:rPr>
  </w:style>
  <w:style w:type="table" w:styleId="13">
    <w:name w:val="Table Grid"/>
    <w:basedOn w:val="1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4">
    <w:name w:val="Table Normal"/>
    <w:unhideWhenUsed/>
    <w:qFormat/>
    <w:uiPriority w:val="0"/>
    <w:tblPr>
      <w:tblCellMar>
        <w:top w:w="0" w:type="dxa"/>
        <w:left w:w="0" w:type="dxa"/>
        <w:bottom w:w="0" w:type="dxa"/>
        <w:right w:w="0" w:type="dxa"/>
      </w:tblCellMar>
    </w:tblPr>
  </w:style>
  <w:style w:type="character" w:styleId="16">
    <w:name w:val="page number"/>
    <w:basedOn w:val="15"/>
    <w:qFormat/>
    <w:locked/>
    <w:uiPriority w:val="0"/>
  </w:style>
  <w:style w:type="paragraph" w:customStyle="1" w:styleId="17">
    <w:name w:val="标题 11"/>
    <w:basedOn w:val="1"/>
    <w:next w:val="1"/>
    <w:link w:val="23"/>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customStyle="1" w:styleId="18">
    <w:name w:val="标题 21"/>
    <w:basedOn w:val="1"/>
    <w:next w:val="1"/>
    <w:link w:val="24"/>
    <w:unhideWhenUsed/>
    <w:qFormat/>
    <w:locked/>
    <w:uiPriority w:val="9"/>
    <w:pPr>
      <w:keepNext/>
      <w:keepLines/>
      <w:spacing w:before="260" w:after="260" w:line="416" w:lineRule="auto"/>
      <w:outlineLvl w:val="1"/>
    </w:pPr>
    <w:rPr>
      <w:rFonts w:ascii="等线 Light" w:hAnsi="等线 Light" w:eastAsia="等线 Light" w:cs="Times New Roman"/>
      <w:b/>
      <w:bCs/>
      <w:sz w:val="32"/>
      <w:szCs w:val="32"/>
    </w:rPr>
  </w:style>
  <w:style w:type="paragraph" w:customStyle="1" w:styleId="19">
    <w:name w:val="标题 31"/>
    <w:basedOn w:val="1"/>
    <w:next w:val="1"/>
    <w:link w:val="25"/>
    <w:qFormat/>
    <w:locked/>
    <w:uiPriority w:val="99"/>
    <w:pPr>
      <w:keepNext/>
      <w:keepLines/>
      <w:widowControl/>
      <w:spacing w:line="360" w:lineRule="auto"/>
      <w:ind w:firstLine="512"/>
      <w:jc w:val="left"/>
      <w:outlineLvl w:val="2"/>
    </w:pPr>
    <w:rPr>
      <w:b/>
      <w:bCs/>
      <w:color w:val="000000"/>
      <w:kern w:val="0"/>
      <w:sz w:val="24"/>
    </w:rPr>
  </w:style>
  <w:style w:type="paragraph" w:customStyle="1" w:styleId="20">
    <w:name w:val="标题 41"/>
    <w:basedOn w:val="1"/>
    <w:next w:val="1"/>
    <w:link w:val="26"/>
    <w:qFormat/>
    <w:locked/>
    <w:uiPriority w:val="9"/>
    <w:pPr>
      <w:keepNext/>
      <w:keepLines/>
      <w:widowControl/>
      <w:spacing w:before="280" w:after="290" w:line="376" w:lineRule="auto"/>
      <w:jc w:val="left"/>
      <w:outlineLvl w:val="3"/>
    </w:pPr>
    <w:rPr>
      <w:rFonts w:ascii="Cambria" w:hAnsi="Cambria"/>
      <w:b/>
      <w:bCs/>
      <w:color w:val="000000"/>
      <w:sz w:val="28"/>
      <w:szCs w:val="28"/>
    </w:rPr>
  </w:style>
  <w:style w:type="table" w:customStyle="1" w:styleId="21">
    <w:name w:val="普通表格1"/>
    <w:semiHidden/>
    <w:qFormat/>
    <w:uiPriority w:val="0"/>
    <w:tblPr>
      <w:tblCellMar>
        <w:top w:w="0" w:type="dxa"/>
        <w:left w:w="108" w:type="dxa"/>
        <w:bottom w:w="0" w:type="dxa"/>
        <w:right w:w="108" w:type="dxa"/>
      </w:tblCellMar>
    </w:tblPr>
  </w:style>
  <w:style w:type="paragraph" w:customStyle="1" w:styleId="22">
    <w:name w:val="文本块1"/>
    <w:basedOn w:val="1"/>
    <w:qFormat/>
    <w:locked/>
    <w:uiPriority w:val="0"/>
    <w:pPr>
      <w:ind w:left="548" w:right="-88"/>
    </w:pPr>
    <w:rPr>
      <w:rFonts w:ascii="宋体"/>
      <w:sz w:val="28"/>
      <w:szCs w:val="20"/>
    </w:rPr>
  </w:style>
  <w:style w:type="character" w:customStyle="1" w:styleId="23">
    <w:name w:val="标题 1 字符"/>
    <w:link w:val="17"/>
    <w:qFormat/>
    <w:uiPriority w:val="99"/>
    <w:rPr>
      <w:rFonts w:eastAsia="黑体"/>
      <w:b/>
      <w:bCs/>
      <w:color w:val="000000"/>
      <w:kern w:val="44"/>
      <w:sz w:val="30"/>
      <w:szCs w:val="30"/>
    </w:rPr>
  </w:style>
  <w:style w:type="character" w:customStyle="1" w:styleId="24">
    <w:name w:val="标题 2 字符"/>
    <w:link w:val="18"/>
    <w:qFormat/>
    <w:uiPriority w:val="9"/>
    <w:rPr>
      <w:rFonts w:ascii="等线 Light" w:hAnsi="等线 Light" w:eastAsia="等线 Light" w:cs="Times New Roman"/>
      <w:b/>
      <w:bCs/>
      <w:kern w:val="2"/>
      <w:sz w:val="32"/>
      <w:szCs w:val="32"/>
    </w:rPr>
  </w:style>
  <w:style w:type="character" w:customStyle="1" w:styleId="25">
    <w:name w:val="标题 3 字符"/>
    <w:link w:val="19"/>
    <w:qFormat/>
    <w:uiPriority w:val="99"/>
    <w:rPr>
      <w:b/>
      <w:bCs/>
      <w:color w:val="000000"/>
      <w:sz w:val="24"/>
      <w:szCs w:val="24"/>
    </w:rPr>
  </w:style>
  <w:style w:type="character" w:customStyle="1" w:styleId="26">
    <w:name w:val="标题 4 字符"/>
    <w:link w:val="20"/>
    <w:qFormat/>
    <w:uiPriority w:val="9"/>
    <w:rPr>
      <w:rFonts w:ascii="Cambria" w:hAnsi="Cambria"/>
      <w:b/>
      <w:bCs/>
      <w:color w:val="000000"/>
      <w:kern w:val="2"/>
      <w:sz w:val="28"/>
      <w:szCs w:val="28"/>
    </w:rPr>
  </w:style>
  <w:style w:type="paragraph" w:customStyle="1" w:styleId="27">
    <w:name w:val="正文缩进1"/>
    <w:basedOn w:val="1"/>
    <w:next w:val="1"/>
    <w:link w:val="32"/>
    <w:qFormat/>
    <w:locked/>
    <w:uiPriority w:val="0"/>
    <w:pPr>
      <w:ind w:firstLine="420" w:firstLineChars="200"/>
    </w:pPr>
    <w:rPr>
      <w:szCs w:val="20"/>
    </w:rPr>
  </w:style>
  <w:style w:type="paragraph" w:customStyle="1" w:styleId="28">
    <w:name w:val="Default"/>
    <w:basedOn w:val="29"/>
    <w:next w:val="30"/>
    <w:qFormat/>
    <w:uiPriority w:val="0"/>
    <w:pPr>
      <w:widowControl/>
      <w:autoSpaceDE w:val="0"/>
      <w:autoSpaceDN w:val="0"/>
      <w:jc w:val="left"/>
    </w:pPr>
    <w:rPr>
      <w:rFonts w:ascii="宋体" w:cs="宋体"/>
      <w:color w:val="000000"/>
      <w:kern w:val="0"/>
      <w:sz w:val="24"/>
    </w:rPr>
  </w:style>
  <w:style w:type="paragraph" w:customStyle="1" w:styleId="29">
    <w:name w:val="纯文本1"/>
    <w:basedOn w:val="1"/>
    <w:qFormat/>
    <w:uiPriority w:val="0"/>
    <w:pPr>
      <w:adjustRightInd w:val="0"/>
    </w:pPr>
    <w:rPr>
      <w:rFonts w:ascii="宋体" w:hAnsi="Courier New"/>
      <w:szCs w:val="20"/>
    </w:rPr>
  </w:style>
  <w:style w:type="paragraph" w:customStyle="1" w:styleId="30">
    <w:name w:val="索引标题1"/>
    <w:basedOn w:val="1"/>
    <w:next w:val="31"/>
    <w:qFormat/>
    <w:locked/>
    <w:uiPriority w:val="0"/>
    <w:pPr>
      <w:spacing w:line="240" w:lineRule="auto"/>
      <w:ind w:firstLine="480" w:firstLineChars="0"/>
    </w:pPr>
    <w:rPr>
      <w:rFonts w:cs="Times New Roman"/>
      <w:sz w:val="21"/>
      <w:szCs w:val="20"/>
    </w:rPr>
  </w:style>
  <w:style w:type="paragraph" w:customStyle="1" w:styleId="31">
    <w:name w:val="索引 11"/>
    <w:basedOn w:val="1"/>
    <w:next w:val="1"/>
    <w:qFormat/>
    <w:locked/>
    <w:uiPriority w:val="0"/>
    <w:pPr>
      <w:ind w:firstLine="480" w:firstLineChars="0"/>
    </w:pPr>
    <w:rPr>
      <w:rFonts w:cs="Times New Roman"/>
      <w:szCs w:val="24"/>
    </w:rPr>
  </w:style>
  <w:style w:type="character" w:customStyle="1" w:styleId="32">
    <w:name w:val="正文缩进 字符"/>
    <w:link w:val="27"/>
    <w:qFormat/>
    <w:uiPriority w:val="0"/>
    <w:rPr>
      <w:kern w:val="2"/>
      <w:sz w:val="21"/>
    </w:rPr>
  </w:style>
  <w:style w:type="paragraph" w:customStyle="1" w:styleId="33">
    <w:name w:val="题注1"/>
    <w:basedOn w:val="1"/>
    <w:next w:val="1"/>
    <w:link w:val="34"/>
    <w:qFormat/>
    <w:locked/>
    <w:uiPriority w:val="0"/>
    <w:rPr>
      <w:rFonts w:ascii="Arial" w:hAnsi="Arial" w:eastAsia="黑体" w:cs="Arial"/>
      <w:sz w:val="20"/>
      <w:szCs w:val="20"/>
    </w:rPr>
  </w:style>
  <w:style w:type="character" w:customStyle="1" w:styleId="34">
    <w:name w:val="题注 字符"/>
    <w:link w:val="33"/>
    <w:qFormat/>
    <w:uiPriority w:val="0"/>
    <w:rPr>
      <w:rFonts w:ascii="Arial" w:hAnsi="Arial" w:eastAsia="黑体" w:cs="Arial"/>
      <w:kern w:val="2"/>
    </w:rPr>
  </w:style>
  <w:style w:type="paragraph" w:customStyle="1" w:styleId="35">
    <w:name w:val="文档结构图1"/>
    <w:basedOn w:val="1"/>
    <w:link w:val="36"/>
    <w:unhideWhenUsed/>
    <w:qFormat/>
    <w:locked/>
    <w:uiPriority w:val="99"/>
    <w:pPr>
      <w:widowControl/>
      <w:spacing w:line="360" w:lineRule="auto"/>
      <w:jc w:val="left"/>
    </w:pPr>
    <w:rPr>
      <w:rFonts w:ascii="宋体"/>
      <w:color w:val="000000"/>
      <w:sz w:val="18"/>
      <w:szCs w:val="18"/>
    </w:rPr>
  </w:style>
  <w:style w:type="character" w:customStyle="1" w:styleId="36">
    <w:name w:val="文档结构图 字符"/>
    <w:link w:val="35"/>
    <w:qFormat/>
    <w:uiPriority w:val="99"/>
    <w:rPr>
      <w:rFonts w:ascii="宋体"/>
      <w:color w:val="000000"/>
      <w:kern w:val="2"/>
      <w:sz w:val="18"/>
      <w:szCs w:val="18"/>
    </w:rPr>
  </w:style>
  <w:style w:type="paragraph" w:customStyle="1" w:styleId="37">
    <w:name w:val="批注文字1"/>
    <w:basedOn w:val="1"/>
    <w:link w:val="38"/>
    <w:semiHidden/>
    <w:qFormat/>
    <w:uiPriority w:val="99"/>
    <w:pPr>
      <w:jc w:val="left"/>
    </w:pPr>
    <w:rPr>
      <w:kern w:val="0"/>
      <w:sz w:val="24"/>
      <w:szCs w:val="20"/>
    </w:rPr>
  </w:style>
  <w:style w:type="character" w:customStyle="1" w:styleId="38">
    <w:name w:val="批注文字 字符"/>
    <w:link w:val="37"/>
    <w:qFormat/>
    <w:locked/>
    <w:uiPriority w:val="99"/>
    <w:rPr>
      <w:rFonts w:ascii="Times New Roman" w:hAnsi="Times New Roman" w:eastAsia="宋体"/>
      <w:sz w:val="24"/>
    </w:rPr>
  </w:style>
  <w:style w:type="paragraph" w:customStyle="1" w:styleId="39">
    <w:name w:val="正文文本 31"/>
    <w:basedOn w:val="1"/>
    <w:link w:val="40"/>
    <w:unhideWhenUsed/>
    <w:qFormat/>
    <w:locked/>
    <w:uiPriority w:val="99"/>
    <w:pPr>
      <w:widowControl/>
      <w:spacing w:after="120" w:line="360" w:lineRule="auto"/>
      <w:jc w:val="left"/>
    </w:pPr>
    <w:rPr>
      <w:color w:val="000000"/>
      <w:sz w:val="16"/>
      <w:szCs w:val="16"/>
    </w:rPr>
  </w:style>
  <w:style w:type="character" w:customStyle="1" w:styleId="40">
    <w:name w:val="正文文本 3 字符"/>
    <w:link w:val="39"/>
    <w:qFormat/>
    <w:uiPriority w:val="99"/>
    <w:rPr>
      <w:color w:val="000000"/>
      <w:kern w:val="2"/>
      <w:sz w:val="16"/>
      <w:szCs w:val="16"/>
    </w:rPr>
  </w:style>
  <w:style w:type="paragraph" w:customStyle="1" w:styleId="41">
    <w:name w:val="正文文本1"/>
    <w:basedOn w:val="1"/>
    <w:link w:val="42"/>
    <w:qFormat/>
    <w:uiPriority w:val="99"/>
    <w:pPr>
      <w:widowControl/>
      <w:snapToGrid w:val="0"/>
      <w:spacing w:before="60" w:after="160" w:line="259" w:lineRule="auto"/>
      <w:ind w:right="113"/>
    </w:pPr>
    <w:rPr>
      <w:kern w:val="0"/>
      <w:sz w:val="18"/>
      <w:szCs w:val="20"/>
    </w:rPr>
  </w:style>
  <w:style w:type="character" w:customStyle="1" w:styleId="42">
    <w:name w:val="正文文本 字符"/>
    <w:link w:val="41"/>
    <w:qFormat/>
    <w:locked/>
    <w:uiPriority w:val="99"/>
    <w:rPr>
      <w:sz w:val="18"/>
    </w:rPr>
  </w:style>
  <w:style w:type="paragraph" w:customStyle="1" w:styleId="43">
    <w:name w:val="正文文本缩进1"/>
    <w:basedOn w:val="1"/>
    <w:next w:val="1"/>
    <w:link w:val="44"/>
    <w:qFormat/>
    <w:uiPriority w:val="0"/>
    <w:pPr>
      <w:spacing w:after="120"/>
      <w:ind w:left="420" w:leftChars="200"/>
    </w:pPr>
    <w:rPr>
      <w:kern w:val="0"/>
      <w:sz w:val="24"/>
      <w:szCs w:val="20"/>
    </w:rPr>
  </w:style>
  <w:style w:type="character" w:customStyle="1" w:styleId="44">
    <w:name w:val="正文文本缩进 字符"/>
    <w:link w:val="43"/>
    <w:qFormat/>
    <w:locked/>
    <w:uiPriority w:val="0"/>
    <w:rPr>
      <w:rFonts w:ascii="Times New Roman" w:hAnsi="Times New Roman" w:eastAsia="宋体"/>
      <w:sz w:val="24"/>
    </w:rPr>
  </w:style>
  <w:style w:type="paragraph" w:customStyle="1" w:styleId="45">
    <w:name w:val="纯文本2"/>
    <w:basedOn w:val="1"/>
    <w:link w:val="46"/>
    <w:qFormat/>
    <w:locked/>
    <w:uiPriority w:val="0"/>
    <w:pPr>
      <w:widowControl/>
      <w:jc w:val="left"/>
    </w:pPr>
    <w:rPr>
      <w:rFonts w:ascii="宋体" w:hAnsi="Courier New"/>
      <w:szCs w:val="20"/>
    </w:rPr>
  </w:style>
  <w:style w:type="character" w:customStyle="1" w:styleId="46">
    <w:name w:val="纯文本 字符"/>
    <w:link w:val="45"/>
    <w:qFormat/>
    <w:locked/>
    <w:uiPriority w:val="0"/>
    <w:rPr>
      <w:rFonts w:ascii="宋体" w:hAnsi="Courier New"/>
      <w:kern w:val="2"/>
      <w:sz w:val="21"/>
    </w:rPr>
  </w:style>
  <w:style w:type="paragraph" w:customStyle="1" w:styleId="47">
    <w:name w:val="列表项目符号 51"/>
    <w:basedOn w:val="1"/>
    <w:qFormat/>
    <w:locked/>
    <w:uiPriority w:val="0"/>
    <w:pPr>
      <w:numPr>
        <w:ilvl w:val="0"/>
        <w:numId w:val="1"/>
      </w:numPr>
    </w:pPr>
  </w:style>
  <w:style w:type="paragraph" w:customStyle="1" w:styleId="48">
    <w:name w:val="日期1"/>
    <w:basedOn w:val="1"/>
    <w:next w:val="1"/>
    <w:link w:val="49"/>
    <w:qFormat/>
    <w:uiPriority w:val="0"/>
    <w:pPr>
      <w:ind w:left="100" w:leftChars="2500"/>
    </w:pPr>
    <w:rPr>
      <w:kern w:val="0"/>
      <w:sz w:val="24"/>
      <w:szCs w:val="20"/>
    </w:rPr>
  </w:style>
  <w:style w:type="character" w:customStyle="1" w:styleId="49">
    <w:name w:val="日期 字符1"/>
    <w:link w:val="48"/>
    <w:qFormat/>
    <w:locked/>
    <w:uiPriority w:val="99"/>
    <w:rPr>
      <w:rFonts w:ascii="Times New Roman" w:hAnsi="Times New Roman" w:eastAsia="宋体"/>
      <w:sz w:val="24"/>
    </w:rPr>
  </w:style>
  <w:style w:type="paragraph" w:customStyle="1" w:styleId="50">
    <w:name w:val="正文文本缩进 21"/>
    <w:basedOn w:val="1"/>
    <w:link w:val="51"/>
    <w:unhideWhenUsed/>
    <w:qFormat/>
    <w:locked/>
    <w:uiPriority w:val="99"/>
    <w:pPr>
      <w:widowControl/>
      <w:spacing w:after="120" w:line="480" w:lineRule="auto"/>
      <w:ind w:left="420" w:leftChars="200"/>
      <w:jc w:val="left"/>
    </w:pPr>
    <w:rPr>
      <w:color w:val="000000"/>
      <w:sz w:val="24"/>
    </w:rPr>
  </w:style>
  <w:style w:type="character" w:customStyle="1" w:styleId="51">
    <w:name w:val="正文文本缩进 2 字符"/>
    <w:link w:val="50"/>
    <w:qFormat/>
    <w:uiPriority w:val="99"/>
    <w:rPr>
      <w:color w:val="000000"/>
      <w:kern w:val="2"/>
      <w:sz w:val="24"/>
      <w:szCs w:val="24"/>
    </w:rPr>
  </w:style>
  <w:style w:type="paragraph" w:customStyle="1" w:styleId="52">
    <w:name w:val="批注框文本1"/>
    <w:basedOn w:val="1"/>
    <w:link w:val="53"/>
    <w:qFormat/>
    <w:uiPriority w:val="99"/>
    <w:rPr>
      <w:kern w:val="0"/>
      <w:sz w:val="18"/>
      <w:szCs w:val="20"/>
    </w:rPr>
  </w:style>
  <w:style w:type="character" w:customStyle="1" w:styleId="53">
    <w:name w:val="批注框文本 字符"/>
    <w:link w:val="52"/>
    <w:semiHidden/>
    <w:qFormat/>
    <w:locked/>
    <w:uiPriority w:val="99"/>
    <w:rPr>
      <w:rFonts w:ascii="Times New Roman" w:hAnsi="Times New Roman" w:eastAsia="宋体"/>
      <w:sz w:val="18"/>
    </w:rPr>
  </w:style>
  <w:style w:type="paragraph" w:customStyle="1" w:styleId="54">
    <w:name w:val="页脚1"/>
    <w:basedOn w:val="1"/>
    <w:link w:val="55"/>
    <w:qFormat/>
    <w:uiPriority w:val="99"/>
    <w:pPr>
      <w:tabs>
        <w:tab w:val="center" w:pos="4153"/>
        <w:tab w:val="right" w:pos="8306"/>
      </w:tabs>
      <w:snapToGrid w:val="0"/>
      <w:jc w:val="left"/>
    </w:pPr>
    <w:rPr>
      <w:kern w:val="0"/>
      <w:sz w:val="18"/>
      <w:szCs w:val="20"/>
    </w:rPr>
  </w:style>
  <w:style w:type="character" w:customStyle="1" w:styleId="55">
    <w:name w:val="页脚 字符1"/>
    <w:link w:val="54"/>
    <w:qFormat/>
    <w:locked/>
    <w:uiPriority w:val="99"/>
    <w:rPr>
      <w:sz w:val="18"/>
    </w:rPr>
  </w:style>
  <w:style w:type="paragraph" w:customStyle="1" w:styleId="56">
    <w:name w:val="页眉1"/>
    <w:basedOn w:val="1"/>
    <w:link w:val="57"/>
    <w:qFormat/>
    <w:uiPriority w:val="99"/>
    <w:pPr>
      <w:pBdr>
        <w:bottom w:val="single" w:color="auto" w:sz="6" w:space="1"/>
      </w:pBdr>
      <w:tabs>
        <w:tab w:val="center" w:pos="4153"/>
        <w:tab w:val="right" w:pos="8306"/>
      </w:tabs>
      <w:snapToGrid w:val="0"/>
      <w:jc w:val="center"/>
    </w:pPr>
    <w:rPr>
      <w:kern w:val="0"/>
      <w:sz w:val="18"/>
      <w:szCs w:val="20"/>
    </w:rPr>
  </w:style>
  <w:style w:type="character" w:customStyle="1" w:styleId="57">
    <w:name w:val="页眉 字符"/>
    <w:link w:val="56"/>
    <w:qFormat/>
    <w:locked/>
    <w:uiPriority w:val="99"/>
    <w:rPr>
      <w:sz w:val="18"/>
    </w:rPr>
  </w:style>
  <w:style w:type="paragraph" w:customStyle="1" w:styleId="58">
    <w:name w:val="列表1"/>
    <w:basedOn w:val="1"/>
    <w:unhideWhenUsed/>
    <w:qFormat/>
    <w:locked/>
    <w:uiPriority w:val="99"/>
    <w:pPr>
      <w:widowControl/>
      <w:spacing w:line="320" w:lineRule="exact"/>
      <w:jc w:val="center"/>
    </w:pPr>
    <w:rPr>
      <w:color w:val="000000"/>
      <w:sz w:val="22"/>
      <w:szCs w:val="22"/>
    </w:rPr>
  </w:style>
  <w:style w:type="paragraph" w:customStyle="1" w:styleId="59">
    <w:name w:val="正文文本缩进 31"/>
    <w:basedOn w:val="1"/>
    <w:link w:val="60"/>
    <w:unhideWhenUsed/>
    <w:qFormat/>
    <w:locked/>
    <w:uiPriority w:val="99"/>
    <w:pPr>
      <w:widowControl/>
      <w:spacing w:after="120" w:line="360" w:lineRule="auto"/>
      <w:ind w:left="420" w:leftChars="200"/>
      <w:jc w:val="left"/>
    </w:pPr>
    <w:rPr>
      <w:color w:val="000000"/>
      <w:sz w:val="16"/>
      <w:szCs w:val="16"/>
    </w:rPr>
  </w:style>
  <w:style w:type="character" w:customStyle="1" w:styleId="60">
    <w:name w:val="正文文本缩进 3 字符"/>
    <w:link w:val="59"/>
    <w:qFormat/>
    <w:uiPriority w:val="99"/>
    <w:rPr>
      <w:color w:val="000000"/>
      <w:kern w:val="2"/>
      <w:sz w:val="16"/>
      <w:szCs w:val="16"/>
    </w:rPr>
  </w:style>
  <w:style w:type="paragraph" w:customStyle="1" w:styleId="61">
    <w:name w:val="图表目录1"/>
    <w:basedOn w:val="1"/>
    <w:next w:val="1"/>
    <w:unhideWhenUsed/>
    <w:qFormat/>
    <w:locked/>
    <w:uiPriority w:val="0"/>
    <w:pPr>
      <w:widowControl/>
      <w:spacing w:before="100" w:beforeAutospacing="1" w:after="100" w:afterAutospacing="1" w:line="360" w:lineRule="auto"/>
      <w:ind w:leftChars="200" w:hanging="200" w:hangingChars="200"/>
      <w:jc w:val="left"/>
    </w:pPr>
    <w:rPr>
      <w:color w:val="000000"/>
      <w:sz w:val="24"/>
    </w:rPr>
  </w:style>
  <w:style w:type="paragraph" w:customStyle="1" w:styleId="62">
    <w:name w:val="正文文本 21"/>
    <w:basedOn w:val="1"/>
    <w:link w:val="63"/>
    <w:unhideWhenUsed/>
    <w:qFormat/>
    <w:locked/>
    <w:uiPriority w:val="99"/>
    <w:pPr>
      <w:widowControl/>
      <w:spacing w:after="120" w:line="480" w:lineRule="auto"/>
      <w:jc w:val="left"/>
    </w:pPr>
    <w:rPr>
      <w:color w:val="000000"/>
      <w:sz w:val="24"/>
    </w:rPr>
  </w:style>
  <w:style w:type="character" w:customStyle="1" w:styleId="63">
    <w:name w:val="正文文本 2 字符"/>
    <w:link w:val="62"/>
    <w:qFormat/>
    <w:uiPriority w:val="99"/>
    <w:rPr>
      <w:color w:val="000000"/>
      <w:kern w:val="2"/>
      <w:sz w:val="24"/>
      <w:szCs w:val="24"/>
    </w:rPr>
  </w:style>
  <w:style w:type="paragraph" w:customStyle="1" w:styleId="64">
    <w:name w:val="HTML 预设格式1"/>
    <w:basedOn w:val="1"/>
    <w:link w:val="65"/>
    <w:unhideWhenUsed/>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65">
    <w:name w:val="HTML 预设格式 字符"/>
    <w:link w:val="64"/>
    <w:qFormat/>
    <w:uiPriority w:val="99"/>
    <w:rPr>
      <w:rFonts w:ascii="宋体" w:hAnsi="宋体" w:cs="宋体"/>
      <w:sz w:val="24"/>
      <w:szCs w:val="24"/>
    </w:rPr>
  </w:style>
  <w:style w:type="paragraph" w:customStyle="1" w:styleId="66">
    <w:name w:val="普通(网站)1"/>
    <w:basedOn w:val="1"/>
    <w:link w:val="67"/>
    <w:qFormat/>
    <w:uiPriority w:val="0"/>
    <w:pPr>
      <w:widowControl/>
      <w:spacing w:before="100" w:beforeAutospacing="1" w:after="100" w:afterAutospacing="1"/>
      <w:jc w:val="left"/>
    </w:pPr>
    <w:rPr>
      <w:rFonts w:ascii="宋体" w:hAnsi="宋体"/>
      <w:kern w:val="0"/>
      <w:sz w:val="24"/>
      <w:szCs w:val="20"/>
    </w:rPr>
  </w:style>
  <w:style w:type="character" w:customStyle="1" w:styleId="67">
    <w:name w:val="普通(网站) 字符"/>
    <w:link w:val="66"/>
    <w:qFormat/>
    <w:locked/>
    <w:uiPriority w:val="0"/>
    <w:rPr>
      <w:rFonts w:ascii="宋体" w:hAnsi="宋体" w:eastAsia="宋体"/>
      <w:sz w:val="24"/>
    </w:rPr>
  </w:style>
  <w:style w:type="paragraph" w:customStyle="1" w:styleId="68">
    <w:name w:val="标题1"/>
    <w:basedOn w:val="1"/>
    <w:next w:val="1"/>
    <w:link w:val="69"/>
    <w:qFormat/>
    <w:locked/>
    <w:uiPriority w:val="10"/>
    <w:pPr>
      <w:widowControl/>
      <w:spacing w:before="240" w:after="60" w:line="360" w:lineRule="auto"/>
      <w:jc w:val="center"/>
      <w:outlineLvl w:val="0"/>
    </w:pPr>
    <w:rPr>
      <w:rFonts w:ascii="Cambria" w:hAnsi="Cambria"/>
      <w:b/>
      <w:bCs/>
      <w:color w:val="000000"/>
      <w:sz w:val="32"/>
      <w:szCs w:val="32"/>
    </w:rPr>
  </w:style>
  <w:style w:type="character" w:customStyle="1" w:styleId="69">
    <w:name w:val="标题 字符"/>
    <w:link w:val="68"/>
    <w:qFormat/>
    <w:uiPriority w:val="10"/>
    <w:rPr>
      <w:rFonts w:ascii="Cambria" w:hAnsi="Cambria"/>
      <w:b/>
      <w:bCs/>
      <w:color w:val="000000"/>
      <w:kern w:val="2"/>
      <w:sz w:val="32"/>
      <w:szCs w:val="32"/>
    </w:rPr>
  </w:style>
  <w:style w:type="paragraph" w:customStyle="1" w:styleId="70">
    <w:name w:val="批注主题1"/>
    <w:basedOn w:val="37"/>
    <w:next w:val="37"/>
    <w:link w:val="71"/>
    <w:semiHidden/>
    <w:qFormat/>
    <w:uiPriority w:val="0"/>
    <w:rPr>
      <w:b/>
      <w:sz w:val="24"/>
      <w:szCs w:val="20"/>
    </w:rPr>
  </w:style>
  <w:style w:type="character" w:customStyle="1" w:styleId="71">
    <w:name w:val="批注主题 字符"/>
    <w:link w:val="70"/>
    <w:semiHidden/>
    <w:qFormat/>
    <w:locked/>
    <w:uiPriority w:val="0"/>
    <w:rPr>
      <w:rFonts w:ascii="Times New Roman" w:hAnsi="Times New Roman" w:eastAsia="宋体"/>
      <w:b/>
      <w:kern w:val="2"/>
      <w:sz w:val="24"/>
    </w:rPr>
  </w:style>
  <w:style w:type="paragraph" w:customStyle="1" w:styleId="72">
    <w:name w:val="正文首行缩进1"/>
    <w:basedOn w:val="41"/>
    <w:link w:val="73"/>
    <w:unhideWhenUsed/>
    <w:qFormat/>
    <w:locked/>
    <w:uiPriority w:val="99"/>
    <w:pPr>
      <w:snapToGrid/>
      <w:spacing w:before="0" w:after="120" w:line="360" w:lineRule="auto"/>
      <w:ind w:right="0" w:firstLine="420" w:firstLineChars="100"/>
      <w:jc w:val="left"/>
    </w:pPr>
    <w:rPr>
      <w:color w:val="000000"/>
      <w:kern w:val="2"/>
      <w:sz w:val="24"/>
      <w:szCs w:val="24"/>
    </w:rPr>
  </w:style>
  <w:style w:type="character" w:customStyle="1" w:styleId="73">
    <w:name w:val="正文文本首行缩进 字符"/>
    <w:link w:val="72"/>
    <w:qFormat/>
    <w:uiPriority w:val="99"/>
    <w:rPr>
      <w:color w:val="000000"/>
      <w:kern w:val="2"/>
      <w:sz w:val="24"/>
      <w:szCs w:val="24"/>
    </w:rPr>
  </w:style>
  <w:style w:type="paragraph" w:customStyle="1" w:styleId="74">
    <w:name w:val="正文首行缩进 21"/>
    <w:basedOn w:val="43"/>
    <w:next w:val="1"/>
    <w:link w:val="75"/>
    <w:qFormat/>
    <w:locked/>
    <w:uiPriority w:val="0"/>
    <w:pPr>
      <w:ind w:firstLine="420" w:firstLineChars="200"/>
    </w:pPr>
    <w:rPr>
      <w:kern w:val="2"/>
      <w:sz w:val="21"/>
      <w:szCs w:val="24"/>
    </w:rPr>
  </w:style>
  <w:style w:type="character" w:customStyle="1" w:styleId="75">
    <w:name w:val="正文文本首行缩进 2 字符"/>
    <w:link w:val="74"/>
    <w:qFormat/>
    <w:uiPriority w:val="0"/>
    <w:rPr>
      <w:rFonts w:ascii="Times New Roman" w:hAnsi="Times New Roman" w:eastAsia="宋体"/>
      <w:kern w:val="2"/>
      <w:sz w:val="21"/>
      <w:szCs w:val="24"/>
    </w:rPr>
  </w:style>
  <w:style w:type="table" w:customStyle="1" w:styleId="76">
    <w:name w:val="网格型1"/>
    <w:basedOn w:val="21"/>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7">
    <w:name w:val="要点1"/>
    <w:qFormat/>
    <w:locked/>
    <w:uiPriority w:val="22"/>
    <w:rPr>
      <w:b/>
      <w:bCs/>
    </w:rPr>
  </w:style>
  <w:style w:type="character" w:customStyle="1" w:styleId="78">
    <w:name w:val="页码1"/>
    <w:basedOn w:val="15"/>
    <w:qFormat/>
    <w:locked/>
    <w:uiPriority w:val="0"/>
  </w:style>
  <w:style w:type="character" w:customStyle="1" w:styleId="79">
    <w:name w:val="已访问的超链接1"/>
    <w:unhideWhenUsed/>
    <w:qFormat/>
    <w:locked/>
    <w:uiPriority w:val="99"/>
    <w:rPr>
      <w:color w:val="800080"/>
      <w:u w:val="single"/>
    </w:rPr>
  </w:style>
  <w:style w:type="character" w:customStyle="1" w:styleId="80">
    <w:name w:val="强调1"/>
    <w:qFormat/>
    <w:locked/>
    <w:uiPriority w:val="20"/>
    <w:rPr>
      <w:i/>
      <w:iCs/>
    </w:rPr>
  </w:style>
  <w:style w:type="character" w:customStyle="1" w:styleId="81">
    <w:name w:val="超链接1"/>
    <w:unhideWhenUsed/>
    <w:qFormat/>
    <w:locked/>
    <w:uiPriority w:val="99"/>
    <w:rPr>
      <w:color w:val="0000FF"/>
      <w:u w:val="single"/>
    </w:rPr>
  </w:style>
  <w:style w:type="character" w:customStyle="1" w:styleId="82">
    <w:name w:val="批注引用1"/>
    <w:qFormat/>
    <w:uiPriority w:val="99"/>
    <w:rPr>
      <w:sz w:val="21"/>
    </w:rPr>
  </w:style>
  <w:style w:type="paragraph" w:customStyle="1" w:styleId="83">
    <w:name w:val="Body Text Indent1"/>
    <w:basedOn w:val="1"/>
    <w:qFormat/>
    <w:uiPriority w:val="0"/>
    <w:pPr>
      <w:spacing w:after="120" w:afterLines="0"/>
      <w:ind w:left="420" w:leftChars="200"/>
    </w:pPr>
  </w:style>
  <w:style w:type="character" w:customStyle="1" w:styleId="84">
    <w:name w:val="批注文字 字符1"/>
    <w:semiHidden/>
    <w:qFormat/>
    <w:uiPriority w:val="0"/>
    <w:rPr>
      <w:rFonts w:ascii="Times New Roman" w:hAnsi="Times New Roman" w:eastAsia="宋体"/>
      <w:sz w:val="24"/>
    </w:rPr>
  </w:style>
  <w:style w:type="character" w:customStyle="1" w:styleId="85">
    <w:name w:val="日期 字符"/>
    <w:qFormat/>
    <w:uiPriority w:val="0"/>
    <w:rPr>
      <w:rFonts w:ascii="Times New Roman" w:hAnsi="Times New Roman" w:eastAsia="宋体"/>
      <w:sz w:val="24"/>
    </w:rPr>
  </w:style>
  <w:style w:type="character" w:customStyle="1" w:styleId="86">
    <w:name w:val="页脚 字符"/>
    <w:basedOn w:val="15"/>
    <w:qFormat/>
    <w:uiPriority w:val="99"/>
  </w:style>
  <w:style w:type="character" w:customStyle="1" w:styleId="87">
    <w:name w:val="表格 Char"/>
    <w:link w:val="88"/>
    <w:qFormat/>
    <w:locked/>
    <w:uiPriority w:val="0"/>
    <w:rPr>
      <w:rFonts w:ascii="宋体"/>
      <w:sz w:val="21"/>
    </w:rPr>
  </w:style>
  <w:style w:type="paragraph" w:customStyle="1" w:styleId="88">
    <w:name w:val="表格"/>
    <w:basedOn w:val="8"/>
    <w:next w:val="1"/>
    <w:link w:val="87"/>
    <w:qFormat/>
    <w:uiPriority w:val="0"/>
    <w:pPr>
      <w:adjustRightInd w:val="0"/>
      <w:snapToGrid w:val="0"/>
      <w:spacing w:beforeLines="10" w:afterLines="10" w:line="259" w:lineRule="auto"/>
      <w:jc w:val="center"/>
    </w:pPr>
    <w:rPr>
      <w:rFonts w:ascii="宋体"/>
      <w:kern w:val="0"/>
      <w:szCs w:val="20"/>
    </w:rPr>
  </w:style>
  <w:style w:type="character" w:customStyle="1" w:styleId="89">
    <w:name w:val="正文文本 字符1"/>
    <w:semiHidden/>
    <w:qFormat/>
    <w:uiPriority w:val="0"/>
    <w:rPr>
      <w:rFonts w:ascii="Times New Roman" w:hAnsi="Times New Roman" w:eastAsia="宋体"/>
      <w:sz w:val="24"/>
    </w:rPr>
  </w:style>
  <w:style w:type="paragraph" w:customStyle="1" w:styleId="9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1">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92">
    <w:name w:val="Normal_0"/>
    <w:qFormat/>
    <w:uiPriority w:val="0"/>
    <w:pPr>
      <w:jc w:val="both"/>
    </w:pPr>
    <w:rPr>
      <w:rFonts w:ascii="Times New Roman" w:hAnsi="Times New Roman" w:eastAsia="宋体" w:cs="Times New Roman"/>
      <w:kern w:val="2"/>
      <w:sz w:val="21"/>
      <w:szCs w:val="21"/>
      <w:lang w:val="en-US" w:eastAsia="zh-CN" w:bidi="ar-SA"/>
    </w:rPr>
  </w:style>
  <w:style w:type="character" w:customStyle="1" w:styleId="93">
    <w:name w:val="Body text (2)_"/>
    <w:link w:val="94"/>
    <w:qFormat/>
    <w:uiPriority w:val="0"/>
    <w:rPr>
      <w:rFonts w:eastAsia="Times New Roman"/>
      <w:sz w:val="26"/>
      <w:szCs w:val="26"/>
      <w:shd w:val="clear" w:color="auto" w:fill="FFFFFF"/>
    </w:rPr>
  </w:style>
  <w:style w:type="paragraph" w:customStyle="1" w:styleId="94">
    <w:name w:val="Body text (2)"/>
    <w:basedOn w:val="1"/>
    <w:link w:val="93"/>
    <w:qFormat/>
    <w:uiPriority w:val="0"/>
    <w:pPr>
      <w:shd w:val="clear" w:color="auto" w:fill="FFFFFF"/>
      <w:spacing w:line="503" w:lineRule="exact"/>
      <w:jc w:val="distribute"/>
    </w:pPr>
    <w:rPr>
      <w:rFonts w:eastAsia="Times New Roman"/>
      <w:kern w:val="0"/>
      <w:sz w:val="26"/>
      <w:szCs w:val="26"/>
    </w:rPr>
  </w:style>
  <w:style w:type="paragraph" w:customStyle="1" w:styleId="95">
    <w:name w:val="Body text (2)1"/>
    <w:basedOn w:val="1"/>
    <w:qFormat/>
    <w:uiPriority w:val="0"/>
    <w:pPr>
      <w:shd w:val="clear" w:color="auto" w:fill="FFFFFF"/>
      <w:spacing w:line="240" w:lineRule="atLeast"/>
      <w:jc w:val="left"/>
    </w:pPr>
    <w:rPr>
      <w:rFonts w:ascii="宋体" w:hAnsi="宋体" w:eastAsia="MingLiU" w:cs="宋体"/>
      <w:kern w:val="0"/>
      <w:sz w:val="26"/>
      <w:szCs w:val="26"/>
    </w:rPr>
  </w:style>
  <w:style w:type="paragraph" w:customStyle="1" w:styleId="96">
    <w:name w:val="样式 小四 行距: 1.5 倍行距 首行缩进:  2 字符"/>
    <w:basedOn w:val="1"/>
    <w:qFormat/>
    <w:uiPriority w:val="0"/>
    <w:pPr>
      <w:spacing w:line="360" w:lineRule="auto"/>
      <w:ind w:firstLine="200" w:firstLineChars="200"/>
      <w:jc w:val="left"/>
    </w:pPr>
    <w:rPr>
      <w:rFonts w:cs="宋体"/>
      <w:sz w:val="24"/>
      <w:szCs w:val="20"/>
    </w:rPr>
  </w:style>
  <w:style w:type="character" w:customStyle="1" w:styleId="97">
    <w:name w:val="纯文本 Char2"/>
    <w:qFormat/>
    <w:locked/>
    <w:uiPriority w:val="0"/>
    <w:rPr>
      <w:rFonts w:ascii="宋体" w:hAnsi="Courier New" w:eastAsia="宋体"/>
      <w:kern w:val="2"/>
      <w:sz w:val="21"/>
      <w:lang w:val="en-US" w:eastAsia="zh-CN" w:bidi="ar-SA"/>
    </w:rPr>
  </w:style>
  <w:style w:type="character" w:customStyle="1" w:styleId="98">
    <w:name w:val="正文01 Char"/>
    <w:link w:val="99"/>
    <w:qFormat/>
    <w:uiPriority w:val="0"/>
    <w:rPr>
      <w:color w:val="000000"/>
      <w:kern w:val="2"/>
      <w:sz w:val="24"/>
      <w:szCs w:val="24"/>
    </w:rPr>
  </w:style>
  <w:style w:type="paragraph" w:customStyle="1" w:styleId="99">
    <w:name w:val="正文01"/>
    <w:basedOn w:val="1"/>
    <w:link w:val="98"/>
    <w:qFormat/>
    <w:uiPriority w:val="0"/>
    <w:pPr>
      <w:widowControl/>
      <w:spacing w:before="60" w:after="100" w:afterAutospacing="1" w:line="460" w:lineRule="exact"/>
      <w:ind w:firstLine="200"/>
      <w:jc w:val="left"/>
    </w:pPr>
    <w:rPr>
      <w:color w:val="000000"/>
      <w:sz w:val="24"/>
    </w:rPr>
  </w:style>
  <w:style w:type="character" w:customStyle="1" w:styleId="100">
    <w:name w:val="15"/>
    <w:qFormat/>
    <w:uiPriority w:val="0"/>
    <w:rPr>
      <w:rFonts w:hint="default" w:ascii="Times New Roman" w:hAnsi="Times New Roman" w:cs="Times New Roman"/>
    </w:rPr>
  </w:style>
  <w:style w:type="character" w:customStyle="1" w:styleId="101">
    <w:name w:val="表格 Char Char"/>
    <w:qFormat/>
    <w:uiPriority w:val="0"/>
    <w:rPr>
      <w:rFonts w:eastAsia="宋体"/>
      <w:sz w:val="21"/>
      <w:lang w:val="en-US" w:eastAsia="zh-CN" w:bidi="ar-SA"/>
    </w:rPr>
  </w:style>
  <w:style w:type="character" w:customStyle="1" w:styleId="102">
    <w:name w:val="10"/>
    <w:qFormat/>
    <w:uiPriority w:val="0"/>
    <w:rPr>
      <w:rFonts w:hint="default" w:ascii="Times New Roman" w:hAnsi="Times New Roman" w:cs="Times New Roman"/>
    </w:rPr>
  </w:style>
  <w:style w:type="character" w:customStyle="1" w:styleId="103">
    <w:name w:val="批注文字 Char1"/>
    <w:semiHidden/>
    <w:qFormat/>
    <w:uiPriority w:val="99"/>
    <w:rPr>
      <w:rFonts w:ascii="Times New Roman" w:hAnsi="Times New Roman"/>
      <w:color w:val="000000"/>
      <w:kern w:val="2"/>
      <w:sz w:val="24"/>
      <w:szCs w:val="24"/>
    </w:rPr>
  </w:style>
  <w:style w:type="character" w:customStyle="1" w:styleId="104">
    <w:name w:val="18"/>
    <w:qFormat/>
    <w:uiPriority w:val="0"/>
    <w:rPr>
      <w:rFonts w:ascii="MingLiU" w:hAnsi="MingLiU" w:eastAsia="MingLiU" w:cs="Times New Roman"/>
      <w:spacing w:val="30"/>
      <w:sz w:val="26"/>
      <w:szCs w:val="26"/>
    </w:rPr>
  </w:style>
  <w:style w:type="character" w:customStyle="1" w:styleId="105">
    <w:name w:val="apple-converted-space"/>
    <w:qFormat/>
    <w:uiPriority w:val="0"/>
  </w:style>
  <w:style w:type="character" w:customStyle="1" w:styleId="106">
    <w:name w:val="表格 32 Char"/>
    <w:link w:val="107"/>
    <w:qFormat/>
    <w:uiPriority w:val="0"/>
    <w:rPr>
      <w:sz w:val="24"/>
    </w:rPr>
  </w:style>
  <w:style w:type="paragraph" w:customStyle="1" w:styleId="107">
    <w:name w:val="表格 32"/>
    <w:basedOn w:val="1"/>
    <w:link w:val="106"/>
    <w:qFormat/>
    <w:uiPriority w:val="0"/>
    <w:pPr>
      <w:autoSpaceDE w:val="0"/>
      <w:autoSpaceDN w:val="0"/>
      <w:adjustRightInd w:val="0"/>
      <w:spacing w:line="0" w:lineRule="atLeast"/>
      <w:ind w:firstLine="200" w:firstLineChars="200"/>
      <w:jc w:val="center"/>
      <w:textAlignment w:val="baseline"/>
    </w:pPr>
    <w:rPr>
      <w:kern w:val="0"/>
      <w:sz w:val="24"/>
      <w:szCs w:val="20"/>
    </w:rPr>
  </w:style>
  <w:style w:type="character" w:customStyle="1" w:styleId="108">
    <w:name w:val="纯文本 Char1"/>
    <w:semiHidden/>
    <w:qFormat/>
    <w:uiPriority w:val="99"/>
    <w:rPr>
      <w:rFonts w:ascii="宋体" w:hAnsi="Courier New" w:cs="Courier New"/>
      <w:color w:val="000000"/>
      <w:kern w:val="2"/>
      <w:sz w:val="21"/>
      <w:szCs w:val="21"/>
    </w:rPr>
  </w:style>
  <w:style w:type="character" w:customStyle="1" w:styleId="109">
    <w:name w:val="表格文字 Char"/>
    <w:link w:val="110"/>
    <w:qFormat/>
    <w:uiPriority w:val="0"/>
    <w:rPr>
      <w:rFonts w:ascii="Arial" w:hAnsi="Arial" w:cs="Arial"/>
      <w:color w:val="000000"/>
      <w:spacing w:val="-20"/>
      <w:kern w:val="2"/>
      <w:sz w:val="24"/>
    </w:rPr>
  </w:style>
  <w:style w:type="paragraph" w:customStyle="1" w:styleId="110">
    <w:name w:val="表格文字"/>
    <w:basedOn w:val="1"/>
    <w:link w:val="109"/>
    <w:qFormat/>
    <w:uiPriority w:val="0"/>
    <w:pPr>
      <w:adjustRightInd w:val="0"/>
      <w:snapToGrid w:val="0"/>
      <w:jc w:val="center"/>
    </w:pPr>
    <w:rPr>
      <w:rFonts w:ascii="Arial" w:hAnsi="Arial" w:cs="Arial"/>
      <w:color w:val="000000"/>
      <w:spacing w:val="-20"/>
      <w:sz w:val="24"/>
      <w:szCs w:val="20"/>
    </w:rPr>
  </w:style>
  <w:style w:type="character" w:customStyle="1" w:styleId="111">
    <w:name w:val="【表中文字】 Char"/>
    <w:link w:val="112"/>
    <w:qFormat/>
    <w:uiPriority w:val="0"/>
    <w:rPr>
      <w:kern w:val="2"/>
      <w:sz w:val="21"/>
    </w:rPr>
  </w:style>
  <w:style w:type="paragraph" w:customStyle="1" w:styleId="112">
    <w:name w:val="【表中文字】"/>
    <w:basedOn w:val="1"/>
    <w:next w:val="27"/>
    <w:link w:val="111"/>
    <w:qFormat/>
    <w:uiPriority w:val="0"/>
    <w:pPr>
      <w:jc w:val="center"/>
    </w:pPr>
    <w:rPr>
      <w:szCs w:val="20"/>
    </w:rPr>
  </w:style>
  <w:style w:type="character" w:customStyle="1" w:styleId="113">
    <w:name w:val="表格数字 Char"/>
    <w:link w:val="114"/>
    <w:qFormat/>
    <w:uiPriority w:val="0"/>
    <w:rPr>
      <w:rFonts w:ascii="Arial" w:hAnsi="Arial" w:cs="宋体"/>
      <w:sz w:val="21"/>
    </w:rPr>
  </w:style>
  <w:style w:type="paragraph" w:customStyle="1" w:styleId="114">
    <w:name w:val="表格数字"/>
    <w:basedOn w:val="1"/>
    <w:link w:val="113"/>
    <w:qFormat/>
    <w:uiPriority w:val="0"/>
    <w:pPr>
      <w:widowControl/>
      <w:spacing w:line="360" w:lineRule="exact"/>
      <w:jc w:val="center"/>
    </w:pPr>
    <w:rPr>
      <w:rFonts w:ascii="Arial" w:hAnsi="Arial" w:cs="宋体"/>
      <w:kern w:val="0"/>
      <w:szCs w:val="20"/>
    </w:rPr>
  </w:style>
  <w:style w:type="character" w:customStyle="1" w:styleId="115">
    <w:name w:val="表格正文 Char"/>
    <w:link w:val="116"/>
    <w:qFormat/>
    <w:uiPriority w:val="0"/>
    <w:rPr>
      <w:rFonts w:ascii="Arial" w:hAnsi="Arial"/>
      <w:color w:val="000000"/>
      <w:kern w:val="2"/>
      <w:sz w:val="21"/>
      <w:szCs w:val="21"/>
    </w:rPr>
  </w:style>
  <w:style w:type="paragraph" w:customStyle="1" w:styleId="116">
    <w:name w:val="表格正文"/>
    <w:basedOn w:val="1"/>
    <w:link w:val="115"/>
    <w:semiHidden/>
    <w:qFormat/>
    <w:uiPriority w:val="0"/>
    <w:pPr>
      <w:widowControl/>
      <w:spacing w:line="360" w:lineRule="exact"/>
      <w:jc w:val="center"/>
    </w:pPr>
    <w:rPr>
      <w:rFonts w:ascii="Arial" w:hAnsi="Arial"/>
      <w:color w:val="000000"/>
      <w:szCs w:val="21"/>
    </w:rPr>
  </w:style>
  <w:style w:type="paragraph" w:customStyle="1" w:styleId="117">
    <w:name w:val="表1表2"/>
    <w:basedOn w:val="1"/>
    <w:qFormat/>
    <w:uiPriority w:val="0"/>
    <w:pPr>
      <w:widowControl/>
      <w:autoSpaceDE w:val="0"/>
      <w:autoSpaceDN w:val="0"/>
      <w:adjustRightInd w:val="0"/>
      <w:spacing w:line="360" w:lineRule="auto"/>
      <w:jc w:val="center"/>
      <w:textAlignment w:val="center"/>
    </w:pPr>
    <w:rPr>
      <w:rFonts w:eastAsia="仿宋体"/>
      <w:color w:val="000000"/>
      <w:kern w:val="0"/>
      <w:sz w:val="24"/>
    </w:rPr>
  </w:style>
  <w:style w:type="paragraph" w:customStyle="1" w:styleId="118">
    <w:name w:val="正文格式"/>
    <w:basedOn w:val="1"/>
    <w:qFormat/>
    <w:uiPriority w:val="0"/>
    <w:pPr>
      <w:spacing w:line="360" w:lineRule="auto"/>
      <w:ind w:firstLine="544" w:firstLineChars="200"/>
    </w:pPr>
    <w:rPr>
      <w:rFonts w:ascii="Calibri" w:hAnsi="Calibri"/>
      <w:sz w:val="24"/>
    </w:rPr>
  </w:style>
  <w:style w:type="character" w:customStyle="1" w:styleId="119">
    <w:name w:val="HTML 预设格式 字符1"/>
    <w:qFormat/>
    <w:uiPriority w:val="0"/>
    <w:rPr>
      <w:rFonts w:ascii="Courier New" w:hAnsi="Courier New" w:cs="Courier New"/>
      <w:kern w:val="2"/>
    </w:rPr>
  </w:style>
  <w:style w:type="character" w:customStyle="1" w:styleId="120">
    <w:name w:val="正文文本首行缩进 字符1"/>
    <w:qFormat/>
    <w:uiPriority w:val="0"/>
    <w:rPr>
      <w:kern w:val="2"/>
      <w:sz w:val="21"/>
      <w:szCs w:val="24"/>
    </w:rPr>
  </w:style>
  <w:style w:type="character" w:customStyle="1" w:styleId="121">
    <w:name w:val="正文文本 2 字符1"/>
    <w:qFormat/>
    <w:uiPriority w:val="0"/>
    <w:rPr>
      <w:kern w:val="2"/>
      <w:sz w:val="21"/>
      <w:szCs w:val="24"/>
    </w:rPr>
  </w:style>
  <w:style w:type="character" w:customStyle="1" w:styleId="122">
    <w:name w:val="正文文本缩进 3 字符1"/>
    <w:qFormat/>
    <w:uiPriority w:val="0"/>
    <w:rPr>
      <w:kern w:val="2"/>
      <w:sz w:val="16"/>
      <w:szCs w:val="16"/>
    </w:rPr>
  </w:style>
  <w:style w:type="character" w:customStyle="1" w:styleId="123">
    <w:name w:val="文档结构图 字符1"/>
    <w:qFormat/>
    <w:uiPriority w:val="0"/>
    <w:rPr>
      <w:rFonts w:ascii="Microsoft YaHei UI" w:eastAsia="Microsoft YaHei UI"/>
      <w:kern w:val="2"/>
      <w:sz w:val="18"/>
      <w:szCs w:val="18"/>
    </w:rPr>
  </w:style>
  <w:style w:type="paragraph" w:customStyle="1" w:styleId="124">
    <w:name w:val="样式1"/>
    <w:basedOn w:val="1"/>
    <w:qFormat/>
    <w:uiPriority w:val="0"/>
    <w:pPr>
      <w:spacing w:line="360" w:lineRule="auto"/>
    </w:pPr>
    <w:rPr>
      <w:b/>
      <w:bCs/>
      <w:sz w:val="28"/>
    </w:rPr>
  </w:style>
  <w:style w:type="character" w:customStyle="1" w:styleId="125">
    <w:name w:val="正文文本缩进 2 字符1"/>
    <w:qFormat/>
    <w:uiPriority w:val="0"/>
    <w:rPr>
      <w:kern w:val="2"/>
      <w:sz w:val="21"/>
      <w:szCs w:val="24"/>
    </w:rPr>
  </w:style>
  <w:style w:type="character" w:customStyle="1" w:styleId="126">
    <w:name w:val="正文文本 3 字符1"/>
    <w:qFormat/>
    <w:uiPriority w:val="0"/>
    <w:rPr>
      <w:kern w:val="2"/>
      <w:sz w:val="16"/>
      <w:szCs w:val="16"/>
    </w:rPr>
  </w:style>
  <w:style w:type="character" w:customStyle="1" w:styleId="127">
    <w:name w:val="标题 字符1"/>
    <w:qFormat/>
    <w:uiPriority w:val="0"/>
    <w:rPr>
      <w:rFonts w:ascii="等线 Light" w:hAnsi="等线 Light" w:cs="Times New Roman"/>
      <w:b/>
      <w:bCs/>
      <w:kern w:val="2"/>
      <w:sz w:val="32"/>
      <w:szCs w:val="32"/>
    </w:rPr>
  </w:style>
  <w:style w:type="character" w:customStyle="1" w:styleId="128">
    <w:name w:val="纯文本 字符1"/>
    <w:qFormat/>
    <w:uiPriority w:val="0"/>
    <w:rPr>
      <w:rFonts w:ascii="宋体" w:hAnsi="Courier New" w:cs="Courier New"/>
      <w:kern w:val="2"/>
      <w:sz w:val="21"/>
      <w:szCs w:val="21"/>
    </w:rPr>
  </w:style>
  <w:style w:type="paragraph" w:customStyle="1" w:styleId="129">
    <w:name w:val=" Char"/>
    <w:basedOn w:val="1"/>
    <w:qFormat/>
    <w:uiPriority w:val="0"/>
    <w:rPr>
      <w:sz w:val="24"/>
    </w:rPr>
  </w:style>
  <w:style w:type="paragraph" w:customStyle="1" w:styleId="130">
    <w:name w:val="正文文本 (2)"/>
    <w:basedOn w:val="1"/>
    <w:unhideWhenUsed/>
    <w:qFormat/>
    <w:uiPriority w:val="99"/>
    <w:pPr>
      <w:widowControl/>
      <w:shd w:val="clear" w:color="auto" w:fill="FFFFFF"/>
      <w:spacing w:before="60" w:line="802" w:lineRule="exact"/>
      <w:jc w:val="left"/>
    </w:pPr>
    <w:rPr>
      <w:rFonts w:hint="eastAsia" w:ascii="MingLiU" w:hAnsi="MingLiU" w:eastAsia="MingLiU"/>
      <w:color w:val="000000"/>
      <w:sz w:val="28"/>
    </w:rPr>
  </w:style>
  <w:style w:type="paragraph" w:customStyle="1" w:styleId="131">
    <w:name w:val="表 标题"/>
    <w:basedOn w:val="1"/>
    <w:qFormat/>
    <w:uiPriority w:val="0"/>
    <w:pPr>
      <w:adjustRightInd w:val="0"/>
      <w:snapToGrid w:val="0"/>
      <w:spacing w:beforeLines="50"/>
      <w:jc w:val="center"/>
    </w:pPr>
    <w:rPr>
      <w:b/>
      <w:kern w:val="0"/>
      <w:sz w:val="20"/>
      <w:szCs w:val="21"/>
    </w:rPr>
  </w:style>
  <w:style w:type="paragraph" w:customStyle="1" w:styleId="132">
    <w:name w:val="正文000000"/>
    <w:basedOn w:val="1"/>
    <w:next w:val="1"/>
    <w:qFormat/>
    <w:uiPriority w:val="0"/>
    <w:pPr>
      <w:adjustRightInd w:val="0"/>
      <w:snapToGrid w:val="0"/>
      <w:spacing w:line="360" w:lineRule="auto"/>
      <w:ind w:firstLine="200" w:firstLineChars="200"/>
      <w:textAlignment w:val="baseline"/>
    </w:pPr>
    <w:rPr>
      <w:rFonts w:ascii="宋体" w:hAnsi="宋体" w:cs="宋体"/>
      <w:sz w:val="24"/>
    </w:rPr>
  </w:style>
  <w:style w:type="paragraph" w:customStyle="1" w:styleId="133">
    <w:name w:val="中等深浅网格 2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34">
    <w:name w:val="正文2"/>
    <w:basedOn w:val="1"/>
    <w:link w:val="135"/>
    <w:qFormat/>
    <w:uiPriority w:val="0"/>
    <w:pPr>
      <w:adjustRightInd w:val="0"/>
      <w:snapToGrid w:val="0"/>
      <w:spacing w:line="440" w:lineRule="atLeast"/>
      <w:ind w:firstLine="510"/>
    </w:pPr>
    <w:rPr>
      <w:szCs w:val="20"/>
    </w:rPr>
  </w:style>
  <w:style w:type="character" w:customStyle="1" w:styleId="135">
    <w:name w:val="正文2 Char"/>
    <w:link w:val="134"/>
    <w:qFormat/>
    <w:uiPriority w:val="0"/>
    <w:rPr>
      <w:kern w:val="2"/>
      <w:sz w:val="21"/>
    </w:rPr>
  </w:style>
  <w:style w:type="paragraph" w:customStyle="1" w:styleId="136">
    <w:name w:val="正文 + 首行缩进:  2 字符"/>
    <w:basedOn w:val="1"/>
    <w:qFormat/>
    <w:uiPriority w:val="0"/>
    <w:pPr>
      <w:widowControl/>
      <w:spacing w:line="460" w:lineRule="atLeast"/>
      <w:ind w:firstLine="528" w:firstLineChars="200"/>
      <w:jc w:val="left"/>
    </w:pPr>
    <w:rPr>
      <w:color w:val="000000"/>
      <w:spacing w:val="12"/>
      <w:sz w:val="24"/>
      <w:szCs w:val="20"/>
    </w:rPr>
  </w:style>
  <w:style w:type="paragraph" w:customStyle="1" w:styleId="137">
    <w:name w:val="图表题"/>
    <w:basedOn w:val="1"/>
    <w:next w:val="1"/>
    <w:qFormat/>
    <w:uiPriority w:val="0"/>
    <w:pPr>
      <w:widowControl/>
      <w:adjustRightInd w:val="0"/>
      <w:snapToGrid w:val="0"/>
      <w:spacing w:line="360" w:lineRule="auto"/>
      <w:jc w:val="center"/>
    </w:pPr>
    <w:rPr>
      <w:rFonts w:eastAsia="黑体"/>
      <w:color w:val="000000"/>
      <w:sz w:val="24"/>
      <w:szCs w:val="20"/>
    </w:rPr>
  </w:style>
  <w:style w:type="paragraph" w:customStyle="1" w:styleId="138">
    <w:name w:val="1级标题"/>
    <w:basedOn w:val="17"/>
    <w:qFormat/>
    <w:uiPriority w:val="0"/>
    <w:pPr>
      <w:keepNext w:val="0"/>
      <w:widowControl/>
      <w:overflowPunct/>
      <w:adjustRightInd w:val="0"/>
      <w:spacing w:before="0" w:after="0" w:line="360" w:lineRule="auto"/>
      <w:ind w:left="0" w:firstLine="0"/>
      <w:jc w:val="left"/>
    </w:pPr>
    <w:rPr>
      <w:rFonts w:ascii="黑体"/>
      <w:b w:val="0"/>
    </w:rPr>
  </w:style>
  <w:style w:type="paragraph" w:customStyle="1" w:styleId="139">
    <w:name w:val="表格001"/>
    <w:basedOn w:val="1"/>
    <w:qFormat/>
    <w:uiPriority w:val="0"/>
    <w:pPr>
      <w:widowControl/>
      <w:spacing w:line="360" w:lineRule="exact"/>
      <w:jc w:val="center"/>
    </w:pPr>
    <w:rPr>
      <w:color w:val="000000"/>
      <w:sz w:val="24"/>
    </w:rPr>
  </w:style>
  <w:style w:type="paragraph" w:customStyle="1" w:styleId="140">
    <w:name w:val="正文001"/>
    <w:basedOn w:val="1"/>
    <w:qFormat/>
    <w:uiPriority w:val="0"/>
    <w:pPr>
      <w:widowControl/>
      <w:spacing w:before="60" w:after="100" w:afterAutospacing="1" w:line="420" w:lineRule="exact"/>
      <w:ind w:firstLine="482"/>
      <w:jc w:val="left"/>
    </w:pPr>
    <w:rPr>
      <w:color w:val="000000"/>
      <w:sz w:val="24"/>
    </w:rPr>
  </w:style>
  <w:style w:type="paragraph" w:customStyle="1" w:styleId="141">
    <w:name w:val="表格内容"/>
    <w:basedOn w:val="27"/>
    <w:qFormat/>
    <w:uiPriority w:val="0"/>
    <w:pPr>
      <w:spacing w:line="312" w:lineRule="auto"/>
      <w:ind w:firstLine="0" w:firstLineChars="0"/>
      <w:jc w:val="center"/>
    </w:pPr>
    <w:rPr>
      <w:rFonts w:ascii="Calibri" w:hAnsi="Calibri"/>
      <w:sz w:val="24"/>
    </w:rPr>
  </w:style>
  <w:style w:type="paragraph" w:customStyle="1" w:styleId="142">
    <w:name w:val="民武正文"/>
    <w:basedOn w:val="45"/>
    <w:qFormat/>
    <w:uiPriority w:val="0"/>
    <w:pPr>
      <w:spacing w:line="300" w:lineRule="auto"/>
      <w:ind w:firstLine="200" w:firstLineChars="200"/>
    </w:pPr>
    <w:rPr>
      <w:rFonts w:ascii="Times New Roman" w:hAnsi="Times New Roman"/>
      <w:kern w:val="0"/>
      <w:sz w:val="24"/>
      <w:szCs w:val="24"/>
      <w:lang w:bidi="en-US"/>
    </w:rPr>
  </w:style>
  <w:style w:type="paragraph" w:customStyle="1" w:styleId="143">
    <w:name w:val="Table Paragraph"/>
    <w:basedOn w:val="1"/>
    <w:qFormat/>
    <w:uiPriority w:val="1"/>
    <w:pPr>
      <w:jc w:val="center"/>
    </w:pPr>
    <w:rPr>
      <w:rFonts w:ascii="宋体" w:hAnsi="宋体" w:cs="宋体"/>
      <w:kern w:val="0"/>
      <w:sz w:val="22"/>
      <w:szCs w:val="22"/>
      <w:lang w:eastAsia="en-US"/>
    </w:rPr>
  </w:style>
  <w:style w:type="paragraph" w:customStyle="1" w:styleId="144">
    <w:name w:val="正文缩近"/>
    <w:basedOn w:val="1"/>
    <w:qFormat/>
    <w:uiPriority w:val="0"/>
    <w:pPr>
      <w:spacing w:line="360" w:lineRule="auto"/>
      <w:ind w:firstLine="560" w:firstLineChars="200"/>
    </w:pPr>
    <w:rPr>
      <w:sz w:val="28"/>
      <w:szCs w:val="28"/>
    </w:rPr>
  </w:style>
  <w:style w:type="paragraph" w:customStyle="1" w:styleId="145">
    <w:name w:val="bg正文首行缩进"/>
    <w:basedOn w:val="1"/>
    <w:qFormat/>
    <w:uiPriority w:val="0"/>
    <w:pPr>
      <w:widowControl/>
      <w:spacing w:line="400" w:lineRule="exact"/>
      <w:ind w:firstLine="482"/>
      <w:jc w:val="left"/>
    </w:pPr>
    <w:rPr>
      <w:color w:val="000000"/>
      <w:sz w:val="24"/>
    </w:rPr>
  </w:style>
  <w:style w:type="paragraph" w:customStyle="1" w:styleId="146">
    <w:name w:val="正文3"/>
    <w:basedOn w:val="1"/>
    <w:qFormat/>
    <w:uiPriority w:val="0"/>
    <w:pPr>
      <w:spacing w:line="360" w:lineRule="auto"/>
      <w:ind w:firstLine="454"/>
      <w:jc w:val="left"/>
    </w:pPr>
    <w:rPr>
      <w:rFonts w:ascii="宋体" w:hAnsi="宋体"/>
      <w:kern w:val="0"/>
      <w:sz w:val="24"/>
      <w:szCs w:val="20"/>
    </w:rPr>
  </w:style>
  <w:style w:type="paragraph" w:customStyle="1" w:styleId="147">
    <w:name w:val="p0"/>
    <w:basedOn w:val="1"/>
    <w:qFormat/>
    <w:uiPriority w:val="0"/>
    <w:pPr>
      <w:widowControl/>
    </w:pPr>
    <w:rPr>
      <w:kern w:val="0"/>
      <w:szCs w:val="21"/>
    </w:rPr>
  </w:style>
  <w:style w:type="paragraph" w:customStyle="1" w:styleId="148">
    <w:name w:val="样式 正文首行缩进:  2 字符 + 首行缩进:  2 字符"/>
    <w:basedOn w:val="1"/>
    <w:qFormat/>
    <w:uiPriority w:val="0"/>
    <w:pPr>
      <w:spacing w:line="360" w:lineRule="auto"/>
      <w:ind w:firstLine="480" w:firstLineChars="200"/>
    </w:pPr>
    <w:rPr>
      <w:rFonts w:cs="宋体"/>
      <w:sz w:val="24"/>
      <w:szCs w:val="20"/>
    </w:rPr>
  </w:style>
  <w:style w:type="paragraph" w:customStyle="1" w:styleId="149">
    <w:name w:val="【正文】"/>
    <w:basedOn w:val="1"/>
    <w:qFormat/>
    <w:uiPriority w:val="0"/>
    <w:pPr>
      <w:widowControl/>
      <w:spacing w:line="440" w:lineRule="exact"/>
      <w:ind w:firstLine="544"/>
      <w:jc w:val="left"/>
    </w:pPr>
    <w:rPr>
      <w:rFonts w:cs="宋体"/>
      <w:color w:val="000000"/>
      <w:sz w:val="24"/>
    </w:rPr>
  </w:style>
  <w:style w:type="paragraph" w:customStyle="1" w:styleId="150">
    <w:name w:val=" Char Char Char Char Char Char Char"/>
    <w:basedOn w:val="1"/>
    <w:qFormat/>
    <w:uiPriority w:val="0"/>
    <w:pPr>
      <w:spacing w:line="360" w:lineRule="auto"/>
      <w:ind w:firstLine="200" w:firstLineChars="200"/>
    </w:pPr>
    <w:rPr>
      <w:rFonts w:ascii="宋体" w:hAnsi="宋体" w:cs="宋体"/>
      <w:sz w:val="24"/>
    </w:rPr>
  </w:style>
  <w:style w:type="paragraph" w:customStyle="1" w:styleId="151">
    <w:name w:val="正文+首行缩进"/>
    <w:basedOn w:val="1"/>
    <w:qFormat/>
    <w:uiPriority w:val="0"/>
    <w:pPr>
      <w:widowControl/>
      <w:spacing w:line="360" w:lineRule="auto"/>
      <w:ind w:firstLine="480" w:firstLineChars="200"/>
      <w:jc w:val="left"/>
    </w:pPr>
    <w:rPr>
      <w:rFonts w:cs="宋体"/>
      <w:color w:val="000000"/>
      <w:sz w:val="24"/>
      <w:szCs w:val="20"/>
    </w:rPr>
  </w:style>
  <w:style w:type="paragraph" w:customStyle="1" w:styleId="152">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153">
    <w:name w:val="流程图文字"/>
    <w:basedOn w:val="1"/>
    <w:qFormat/>
    <w:uiPriority w:val="0"/>
    <w:pPr>
      <w:adjustRightInd w:val="0"/>
      <w:spacing w:beforeAutospacing="1" w:after="40" w:line="360" w:lineRule="exact"/>
      <w:jc w:val="center"/>
      <w:textAlignment w:val="baseline"/>
    </w:pPr>
    <w:rPr>
      <w:rFonts w:ascii="宋体" w:hAnsi="宋体"/>
      <w:kern w:val="0"/>
      <w:sz w:val="24"/>
      <w:szCs w:val="20"/>
    </w:rPr>
  </w:style>
  <w:style w:type="paragraph" w:customStyle="1" w:styleId="154">
    <w:name w:val="xl2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155">
    <w:name w:val="表格2"/>
    <w:basedOn w:val="1"/>
    <w:qFormat/>
    <w:uiPriority w:val="0"/>
    <w:pPr>
      <w:widowControl/>
      <w:jc w:val="center"/>
    </w:pPr>
    <w:rPr>
      <w:rFonts w:cs="宋体"/>
      <w:color w:val="000000"/>
      <w:szCs w:val="21"/>
    </w:rPr>
  </w:style>
  <w:style w:type="paragraph" w:customStyle="1" w:styleId="156">
    <w:name w:val="_Style 44"/>
    <w:basedOn w:val="1"/>
    <w:qFormat/>
    <w:uiPriority w:val="0"/>
    <w:pPr>
      <w:spacing w:line="360" w:lineRule="auto"/>
      <w:ind w:firstLine="200" w:firstLineChars="200"/>
    </w:pPr>
    <w:rPr>
      <w:rFonts w:ascii="宋体" w:hAnsi="宋体" w:cs="宋体"/>
      <w:sz w:val="24"/>
    </w:rPr>
  </w:style>
  <w:style w:type="paragraph" w:customStyle="1" w:styleId="157">
    <w:name w:val="表格1"/>
    <w:basedOn w:val="1"/>
    <w:semiHidden/>
    <w:qFormat/>
    <w:uiPriority w:val="0"/>
    <w:pPr>
      <w:adjustRightInd w:val="0"/>
      <w:snapToGrid w:val="0"/>
      <w:spacing w:line="360" w:lineRule="auto"/>
      <w:jc w:val="center"/>
    </w:pPr>
    <w:rPr>
      <w:rFonts w:ascii="黑体" w:hAnsi="宋体" w:eastAsia="黑体"/>
      <w:szCs w:val="21"/>
    </w:rPr>
  </w:style>
  <w:style w:type="paragraph" w:customStyle="1" w:styleId="158">
    <w:name w:val="中文"/>
    <w:basedOn w:val="1"/>
    <w:qFormat/>
    <w:uiPriority w:val="0"/>
    <w:pPr>
      <w:widowControl/>
      <w:spacing w:line="360" w:lineRule="auto"/>
      <w:ind w:firstLine="200" w:firstLineChars="200"/>
    </w:pPr>
    <w:rPr>
      <w:rFonts w:ascii="Calibri" w:hAnsi="Calibri"/>
      <w:lang w:eastAsia="en-US"/>
    </w:rPr>
  </w:style>
  <w:style w:type="paragraph" w:customStyle="1" w:styleId="159">
    <w:name w:val=" Char Char Char Char Char Char Char Char Char Char"/>
    <w:basedOn w:val="1"/>
    <w:qFormat/>
    <w:uiPriority w:val="0"/>
    <w:pPr>
      <w:widowControl/>
      <w:spacing w:after="160" w:line="240" w:lineRule="exact"/>
      <w:jc w:val="left"/>
    </w:pPr>
  </w:style>
  <w:style w:type="paragraph" w:customStyle="1" w:styleId="160">
    <w:name w:val="表内容"/>
    <w:basedOn w:val="45"/>
    <w:qFormat/>
    <w:uiPriority w:val="0"/>
    <w:pPr>
      <w:widowControl w:val="0"/>
      <w:jc w:val="both"/>
    </w:pPr>
    <w:rPr>
      <w:rFonts w:ascii="Times New Roman" w:hAnsi="Times New Roman"/>
      <w:lang w:val="en-US" w:eastAsia="zh-CN"/>
    </w:rPr>
  </w:style>
  <w:style w:type="character" w:customStyle="1" w:styleId="161">
    <w:name w:val="正文文本 (2)_"/>
    <w:link w:val="162"/>
    <w:qFormat/>
    <w:uiPriority w:val="0"/>
    <w:rPr>
      <w:rFonts w:ascii="宋体" w:hAnsi="宋体"/>
      <w:sz w:val="22"/>
      <w:szCs w:val="22"/>
      <w:shd w:val="clear" w:color="auto" w:fill="FFFFFF"/>
    </w:rPr>
  </w:style>
  <w:style w:type="paragraph" w:customStyle="1" w:styleId="162">
    <w:name w:val="正文文本 (2)1"/>
    <w:basedOn w:val="1"/>
    <w:link w:val="161"/>
    <w:qFormat/>
    <w:uiPriority w:val="0"/>
    <w:pPr>
      <w:shd w:val="clear" w:color="auto" w:fill="FFFFFF"/>
      <w:spacing w:before="300" w:line="466" w:lineRule="exact"/>
      <w:ind w:hanging="600"/>
      <w:jc w:val="distribute"/>
    </w:pPr>
    <w:rPr>
      <w:rFonts w:ascii="宋体" w:hAnsi="宋体"/>
      <w:kern w:val="0"/>
      <w:sz w:val="22"/>
      <w:szCs w:val="22"/>
    </w:rPr>
  </w:style>
  <w:style w:type="character" w:customStyle="1" w:styleId="163">
    <w:name w:val="正文文本 (2) + 粗体"/>
    <w:qFormat/>
    <w:uiPriority w:val="0"/>
    <w:rPr>
      <w:rFonts w:ascii="宋体" w:hAnsi="宋体" w:cs="宋体"/>
      <w:b/>
      <w:bCs/>
      <w:sz w:val="22"/>
      <w:szCs w:val="22"/>
      <w:u w:val="none"/>
      <w:shd w:val="clear" w:color="auto" w:fill="FFFFFF"/>
    </w:rPr>
  </w:style>
  <w:style w:type="character" w:customStyle="1" w:styleId="164">
    <w:name w:val="表内格式 Char"/>
    <w:link w:val="165"/>
    <w:qFormat/>
    <w:locked/>
    <w:uiPriority w:val="0"/>
    <w:rPr>
      <w:rFonts w:eastAsia="楷体_GB2312"/>
      <w:sz w:val="18"/>
      <w:szCs w:val="18"/>
    </w:rPr>
  </w:style>
  <w:style w:type="paragraph" w:customStyle="1" w:styleId="165">
    <w:name w:val="表内格式"/>
    <w:basedOn w:val="1"/>
    <w:next w:val="1"/>
    <w:link w:val="164"/>
    <w:qFormat/>
    <w:uiPriority w:val="0"/>
    <w:pPr>
      <w:spacing w:line="360" w:lineRule="auto"/>
      <w:ind w:firstLine="200" w:firstLineChars="200"/>
      <w:jc w:val="center"/>
    </w:pPr>
    <w:rPr>
      <w:rFonts w:eastAsia="楷体_GB2312"/>
      <w:kern w:val="0"/>
      <w:sz w:val="18"/>
      <w:szCs w:val="18"/>
    </w:rPr>
  </w:style>
  <w:style w:type="paragraph" w:customStyle="1" w:styleId="166">
    <w:name w:val="小编号"/>
    <w:basedOn w:val="1"/>
    <w:next w:val="1"/>
    <w:qFormat/>
    <w:uiPriority w:val="0"/>
    <w:pPr>
      <w:spacing w:line="360" w:lineRule="auto"/>
      <w:ind w:firstLine="200" w:firstLineChars="200"/>
    </w:pPr>
    <w:rPr>
      <w:rFonts w:ascii="Calibri" w:hAnsi="Calibri"/>
      <w:b/>
      <w:sz w:val="24"/>
      <w:szCs w:val="20"/>
    </w:rPr>
  </w:style>
  <w:style w:type="paragraph" w:customStyle="1" w:styleId="167">
    <w:name w:val="列出段落2"/>
    <w:basedOn w:val="1"/>
    <w:qFormat/>
    <w:uiPriority w:val="34"/>
    <w:pPr>
      <w:spacing w:line="360" w:lineRule="auto"/>
      <w:ind w:firstLine="420" w:firstLineChars="200"/>
    </w:pPr>
    <w:rPr>
      <w:sz w:val="24"/>
      <w:szCs w:val="20"/>
    </w:rPr>
  </w:style>
  <w:style w:type="paragraph" w:customStyle="1" w:styleId="168">
    <w:name w:val="表 内容"/>
    <w:basedOn w:val="1"/>
    <w:qFormat/>
    <w:uiPriority w:val="0"/>
    <w:pPr>
      <w:adjustRightInd w:val="0"/>
      <w:snapToGrid w:val="0"/>
      <w:spacing w:beforeLines="15" w:afterLines="15"/>
      <w:jc w:val="center"/>
    </w:pPr>
    <w:rPr>
      <w:b/>
      <w:sz w:val="24"/>
      <w:szCs w:val="21"/>
    </w:rPr>
  </w:style>
  <w:style w:type="paragraph" w:customStyle="1" w:styleId="169">
    <w:name w:val="中文报告书样式"/>
    <w:basedOn w:val="1"/>
    <w:qFormat/>
    <w:uiPriority w:val="0"/>
    <w:pPr>
      <w:widowControl/>
      <w:tabs>
        <w:tab w:val="left" w:pos="360"/>
      </w:tabs>
      <w:adjustRightInd w:val="0"/>
      <w:snapToGrid w:val="0"/>
      <w:spacing w:line="360" w:lineRule="auto"/>
      <w:jc w:val="center"/>
      <w:textAlignment w:val="baseline"/>
    </w:pPr>
    <w:rPr>
      <w:rFonts w:ascii="Calibri" w:hAnsi="Calibri"/>
      <w:color w:val="000000"/>
      <w:sz w:val="24"/>
    </w:rPr>
  </w:style>
  <w:style w:type="paragraph" w:customStyle="1" w:styleId="170">
    <w:name w:val="文"/>
    <w:basedOn w:val="1"/>
    <w:qFormat/>
    <w:uiPriority w:val="0"/>
    <w:pPr>
      <w:spacing w:line="360" w:lineRule="auto"/>
      <w:ind w:firstLine="200" w:firstLineChars="200"/>
      <w:jc w:val="left"/>
    </w:pPr>
    <w:rPr>
      <w:bCs/>
      <w:sz w:val="24"/>
    </w:rPr>
  </w:style>
  <w:style w:type="paragraph" w:customStyle="1" w:styleId="171">
    <w:name w:val="我表标题"/>
    <w:basedOn w:val="1"/>
    <w:qFormat/>
    <w:uiPriority w:val="0"/>
    <w:pPr>
      <w:jc w:val="center"/>
      <w:textAlignment w:val="baseline"/>
    </w:pPr>
    <w:rPr>
      <w:b/>
      <w:kern w:val="24"/>
      <w:szCs w:val="21"/>
    </w:rPr>
  </w:style>
  <w:style w:type="paragraph" w:customStyle="1" w:styleId="172">
    <w:name w:val="环评表内容"/>
    <w:basedOn w:val="1"/>
    <w:qFormat/>
    <w:uiPriority w:val="0"/>
    <w:pPr>
      <w:widowControl/>
      <w:spacing w:line="260" w:lineRule="exact"/>
      <w:jc w:val="center"/>
    </w:pPr>
    <w:rPr>
      <w:rFonts w:ascii="Tahoma" w:hAnsi="Tahoma" w:cs="Tahoma"/>
    </w:rPr>
  </w:style>
  <w:style w:type="paragraph" w:customStyle="1" w:styleId="173">
    <w:name w:val="正文首行缩进 2 + Times New Roman"/>
    <w:basedOn w:val="1"/>
    <w:qFormat/>
    <w:uiPriority w:val="0"/>
    <w:pPr>
      <w:widowControl/>
      <w:tabs>
        <w:tab w:val="left" w:pos="0"/>
        <w:tab w:val="left" w:pos="3150"/>
      </w:tabs>
      <w:autoSpaceDE w:val="0"/>
      <w:autoSpaceDN w:val="0"/>
      <w:spacing w:line="324" w:lineRule="auto"/>
      <w:ind w:right="113" w:firstLine="482" w:firstLineChars="200"/>
      <w:jc w:val="left"/>
    </w:pPr>
    <w:rPr>
      <w:b/>
      <w:sz w:val="24"/>
    </w:rPr>
  </w:style>
  <w:style w:type="paragraph" w:customStyle="1" w:styleId="174">
    <w:name w:val="_Style 33"/>
    <w:basedOn w:val="1"/>
    <w:qFormat/>
    <w:uiPriority w:val="0"/>
    <w:rPr>
      <w:sz w:val="24"/>
    </w:rPr>
  </w:style>
  <w:style w:type="paragraph" w:customStyle="1" w:styleId="175">
    <w:name w:val="正文1"/>
    <w:basedOn w:val="50"/>
    <w:qFormat/>
    <w:uiPriority w:val="0"/>
    <w:pPr>
      <w:widowControl w:val="0"/>
      <w:spacing w:line="360" w:lineRule="auto"/>
      <w:ind w:firstLine="200"/>
      <w:jc w:val="both"/>
    </w:pPr>
    <w:rPr>
      <w:sz w:val="21"/>
      <w:lang w:val="en-US" w:eastAsia="zh-CN"/>
    </w:rPr>
  </w:style>
  <w:style w:type="paragraph" w:customStyle="1" w:styleId="176">
    <w:name w:val="万瑞报告表1"/>
    <w:basedOn w:val="43"/>
    <w:next w:val="1"/>
    <w:qFormat/>
    <w:uiPriority w:val="0"/>
    <w:pPr>
      <w:adjustRightInd w:val="0"/>
      <w:snapToGrid w:val="0"/>
      <w:spacing w:before="60" w:after="0" w:line="360" w:lineRule="auto"/>
      <w:ind w:left="0" w:leftChars="0" w:firstLine="200" w:firstLineChars="200"/>
    </w:pPr>
    <w:rPr>
      <w:rFonts w:ascii="宋体" w:hAnsi="宋体" w:eastAsia="Times New Roman"/>
      <w:kern w:val="2"/>
      <w:sz w:val="32"/>
      <w:szCs w:val="24"/>
    </w:rPr>
  </w:style>
  <w:style w:type="paragraph" w:customStyle="1" w:styleId="177">
    <w:name w:val="Body Text 22"/>
    <w:basedOn w:val="1"/>
    <w:qFormat/>
    <w:uiPriority w:val="0"/>
    <w:pPr>
      <w:adjustRightInd w:val="0"/>
      <w:spacing w:line="440" w:lineRule="atLeast"/>
      <w:ind w:firstLine="480"/>
      <w:textAlignment w:val="baseline"/>
    </w:pPr>
    <w:rPr>
      <w:rFonts w:eastAsia="仿宋_GB2312" w:cs="宋体"/>
      <w:color w:val="000000"/>
      <w:sz w:val="24"/>
      <w:szCs w:val="20"/>
    </w:rPr>
  </w:style>
  <w:style w:type="paragraph" w:customStyle="1" w:styleId="178">
    <w:name w:val=" Char3"/>
    <w:basedOn w:val="1"/>
    <w:qFormat/>
    <w:uiPriority w:val="0"/>
    <w:rPr>
      <w:szCs w:val="20"/>
    </w:rPr>
  </w:style>
  <w:style w:type="paragraph" w:customStyle="1" w:styleId="179">
    <w:name w:val="报告表正文"/>
    <w:basedOn w:val="1"/>
    <w:qFormat/>
    <w:uiPriority w:val="0"/>
    <w:pPr>
      <w:adjustRightInd w:val="0"/>
      <w:spacing w:line="312" w:lineRule="auto"/>
      <w:ind w:left="113" w:right="113" w:firstLine="482"/>
      <w:jc w:val="left"/>
    </w:pPr>
    <w:rPr>
      <w:kern w:val="0"/>
      <w:sz w:val="24"/>
      <w:szCs w:val="20"/>
    </w:rPr>
  </w:style>
  <w:style w:type="paragraph" w:customStyle="1" w:styleId="180">
    <w:name w:val="小标题"/>
    <w:basedOn w:val="1"/>
    <w:qFormat/>
    <w:uiPriority w:val="0"/>
    <w:pPr>
      <w:widowControl/>
      <w:spacing w:line="360" w:lineRule="auto"/>
      <w:ind w:firstLine="562"/>
      <w:jc w:val="left"/>
    </w:pPr>
    <w:rPr>
      <w:rFonts w:ascii="宋体" w:hAnsi="宋体"/>
      <w:b/>
      <w:sz w:val="28"/>
      <w:szCs w:val="21"/>
    </w:rPr>
  </w:style>
  <w:style w:type="paragraph" w:customStyle="1" w:styleId="181">
    <w:name w:val="表 头"/>
    <w:basedOn w:val="1"/>
    <w:qFormat/>
    <w:uiPriority w:val="0"/>
    <w:pPr>
      <w:widowControl/>
      <w:tabs>
        <w:tab w:val="left" w:pos="3750"/>
      </w:tabs>
      <w:snapToGrid w:val="0"/>
      <w:jc w:val="center"/>
    </w:pPr>
    <w:rPr>
      <w:rFonts w:ascii="Calibri" w:hAnsi="Calibri"/>
      <w:b/>
      <w:bCs/>
    </w:rPr>
  </w:style>
  <w:style w:type="paragraph" w:customStyle="1" w:styleId="182">
    <w:name w:val="无间隔"/>
    <w:qFormat/>
    <w:uiPriority w:val="1"/>
    <w:pPr>
      <w:widowControl w:val="0"/>
      <w:adjustRightInd w:val="0"/>
      <w:snapToGrid w:val="0"/>
      <w:jc w:val="center"/>
    </w:pPr>
    <w:rPr>
      <w:rFonts w:ascii="Calibri" w:hAnsi="Calibri" w:eastAsia="宋体" w:cs="Times New Roman"/>
      <w:kern w:val="2"/>
      <w:sz w:val="21"/>
      <w:szCs w:val="24"/>
      <w:lang w:val="en-US" w:eastAsia="zh-CN" w:bidi="ar-SA"/>
    </w:rPr>
  </w:style>
  <w:style w:type="paragraph" w:customStyle="1" w:styleId="183">
    <w:name w:val="列出段落1"/>
    <w:basedOn w:val="1"/>
    <w:qFormat/>
    <w:uiPriority w:val="0"/>
    <w:pPr>
      <w:widowControl/>
      <w:spacing w:line="360" w:lineRule="auto"/>
      <w:ind w:firstLine="420"/>
      <w:jc w:val="left"/>
    </w:pPr>
    <w:rPr>
      <w:rFonts w:ascii="Calibri" w:hAnsi="Calibri"/>
      <w:szCs w:val="21"/>
    </w:rPr>
  </w:style>
  <w:style w:type="paragraph" w:customStyle="1" w:styleId="184">
    <w:name w:val="1表头"/>
    <w:qFormat/>
    <w:uiPriority w:val="0"/>
    <w:pPr>
      <w:adjustRightInd w:val="0"/>
      <w:snapToGrid w:val="0"/>
      <w:spacing w:before="25" w:beforeLines="25" w:after="25" w:afterLines="25"/>
      <w:jc w:val="center"/>
    </w:pPr>
    <w:rPr>
      <w:rFonts w:ascii="Calibri" w:hAnsi="Calibri" w:eastAsia="宋体" w:cs="Times New Roman"/>
      <w:b/>
      <w:color w:val="0000CC"/>
      <w:sz w:val="24"/>
      <w:szCs w:val="24"/>
      <w:lang w:val="en-US" w:eastAsia="zh-CN" w:bidi="ar-SA"/>
    </w:rPr>
  </w:style>
  <w:style w:type="paragraph" w:customStyle="1" w:styleId="185">
    <w:name w:val="安如夏花"/>
    <w:basedOn w:val="1"/>
    <w:qFormat/>
    <w:uiPriority w:val="0"/>
    <w:pPr>
      <w:widowControl/>
      <w:spacing w:beforeLines="50" w:afterLines="50" w:line="360" w:lineRule="auto"/>
      <w:jc w:val="center"/>
    </w:pPr>
    <w:rPr>
      <w:rFonts w:ascii="Calibri" w:hAnsi="Calibri" w:eastAsia="黑体"/>
      <w:b/>
      <w:szCs w:val="21"/>
    </w:rPr>
  </w:style>
  <w:style w:type="character" w:customStyle="1" w:styleId="186">
    <w:name w:val="表   头 Char"/>
    <w:link w:val="187"/>
    <w:qFormat/>
    <w:uiPriority w:val="0"/>
    <w:rPr>
      <w:b/>
    </w:rPr>
  </w:style>
  <w:style w:type="paragraph" w:customStyle="1" w:styleId="187">
    <w:name w:val="表   头"/>
    <w:basedOn w:val="1"/>
    <w:link w:val="186"/>
    <w:qFormat/>
    <w:uiPriority w:val="0"/>
    <w:pPr>
      <w:snapToGrid w:val="0"/>
      <w:jc w:val="center"/>
    </w:pPr>
    <w:rPr>
      <w:b/>
      <w:kern w:val="0"/>
      <w:sz w:val="20"/>
      <w:szCs w:val="20"/>
    </w:rPr>
  </w:style>
  <w:style w:type="character" w:customStyle="1" w:styleId="188">
    <w:name w:val="无间隔表格内 Char"/>
    <w:link w:val="189"/>
    <w:qFormat/>
    <w:uiPriority w:val="0"/>
    <w:rPr>
      <w:sz w:val="21"/>
    </w:rPr>
  </w:style>
  <w:style w:type="paragraph" w:customStyle="1" w:styleId="189">
    <w:name w:val="无间隔表格内"/>
    <w:basedOn w:val="187"/>
    <w:link w:val="188"/>
    <w:qFormat/>
    <w:uiPriority w:val="0"/>
    <w:rPr>
      <w:b w:val="0"/>
      <w:sz w:val="21"/>
    </w:rPr>
  </w:style>
  <w:style w:type="paragraph" w:customStyle="1" w:styleId="190">
    <w:name w:val="正文-RED"/>
    <w:qFormat/>
    <w:uiPriority w:val="0"/>
    <w:pPr>
      <w:spacing w:line="360" w:lineRule="auto"/>
      <w:ind w:firstLine="420"/>
      <w:jc w:val="both"/>
    </w:pPr>
    <w:rPr>
      <w:rFonts w:ascii="Times New Roman" w:hAnsi="Times New Roman" w:eastAsia="宋体" w:cs="Times New Roman"/>
      <w:sz w:val="24"/>
      <w:lang w:val="en-US" w:eastAsia="zh-CN" w:bidi="ar-SA"/>
    </w:rPr>
  </w:style>
  <w:style w:type="paragraph" w:customStyle="1" w:styleId="191">
    <w:name w:val="大标题"/>
    <w:basedOn w:val="1"/>
    <w:qFormat/>
    <w:uiPriority w:val="0"/>
    <w:pPr>
      <w:spacing w:line="360" w:lineRule="auto"/>
    </w:pPr>
    <w:rPr>
      <w:rFonts w:ascii="宋体" w:hAnsi="宋体"/>
      <w:b/>
      <w:sz w:val="28"/>
      <w:szCs w:val="28"/>
    </w:rPr>
  </w:style>
  <w:style w:type="paragraph" w:customStyle="1" w:styleId="192">
    <w:name w:val="无悬挂正文5号"/>
    <w:basedOn w:val="1"/>
    <w:qFormat/>
    <w:uiPriority w:val="0"/>
    <w:pPr>
      <w:widowControl/>
      <w:spacing w:line="360" w:lineRule="auto"/>
      <w:jc w:val="center"/>
    </w:pPr>
    <w:rPr>
      <w:color w:val="000000"/>
      <w:kern w:val="0"/>
      <w:sz w:val="20"/>
      <w:szCs w:val="20"/>
    </w:rPr>
  </w:style>
  <w:style w:type="character" w:customStyle="1" w:styleId="193">
    <w:name w:val="正文文本 (2) + 10.5 pt9"/>
    <w:qFormat/>
    <w:uiPriority w:val="0"/>
    <w:rPr>
      <w:rFonts w:ascii="宋体" w:hAnsi="宋体" w:cs="宋体"/>
      <w:sz w:val="21"/>
      <w:szCs w:val="21"/>
      <w:u w:val="none"/>
      <w:lang w:bidi="ar-SA"/>
    </w:rPr>
  </w:style>
  <w:style w:type="character" w:customStyle="1" w:styleId="194">
    <w:name w:val="未处理的提及"/>
    <w:unhideWhenUsed/>
    <w:qFormat/>
    <w:uiPriority w:val="99"/>
    <w:rPr>
      <w:color w:val="605E5C"/>
      <w:shd w:val="clear" w:color="auto" w:fill="E1DFDD"/>
    </w:rPr>
  </w:style>
  <w:style w:type="paragraph" w:styleId="195">
    <w:name w:val="List Paragraph"/>
    <w:basedOn w:val="1"/>
    <w:qFormat/>
    <w:uiPriority w:val="1"/>
    <w:pPr>
      <w:spacing w:before="132"/>
      <w:ind w:left="2440" w:hanging="602"/>
    </w:pPr>
    <w:rPr>
      <w:rFonts w:ascii="宋体" w:hAnsi="宋体" w:eastAsia="宋体" w:cs="宋体"/>
      <w:lang w:val="zh-CN" w:eastAsia="zh-CN" w:bidi="zh-CN"/>
    </w:rPr>
  </w:style>
  <w:style w:type="paragraph" w:customStyle="1" w:styleId="196">
    <w:name w:val="我正文"/>
    <w:basedOn w:val="1"/>
    <w:qFormat/>
    <w:uiPriority w:val="0"/>
    <w:pPr>
      <w:spacing w:line="360" w:lineRule="auto"/>
      <w:ind w:firstLine="480" w:firstLineChars="200"/>
    </w:pPr>
    <w:rPr>
      <w:sz w:val="24"/>
      <w:szCs w:val="20"/>
    </w:rPr>
  </w:style>
  <w:style w:type="paragraph" w:customStyle="1" w:styleId="197">
    <w:name w:val="表头"/>
    <w:basedOn w:val="41"/>
    <w:next w:val="1"/>
    <w:qFormat/>
    <w:uiPriority w:val="0"/>
    <w:pPr>
      <w:adjustRightInd w:val="0"/>
      <w:spacing w:line="320" w:lineRule="atLeast"/>
      <w:jc w:val="center"/>
      <w:textAlignment w:val="baseline"/>
    </w:pPr>
    <w:rPr>
      <w:rFonts w:eastAsia="黑体"/>
      <w:spacing w:val="-10"/>
      <w:kern w:val="0"/>
      <w:szCs w:val="20"/>
    </w:rPr>
  </w:style>
  <w:style w:type="paragraph" w:customStyle="1" w:styleId="198">
    <w:name w:val="表格文字我要的"/>
    <w:basedOn w:val="1"/>
    <w:qFormat/>
    <w:uiPriority w:val="0"/>
    <w:pPr>
      <w:adjustRightInd/>
      <w:snapToGrid/>
      <w:spacing w:line="240" w:lineRule="auto"/>
      <w:ind w:firstLine="0" w:firstLineChars="0"/>
      <w:jc w:val="center"/>
    </w:pPr>
    <w:rPr>
      <w:kern w:val="0"/>
      <w:sz w:val="21"/>
      <w:szCs w:val="21"/>
    </w:rPr>
  </w:style>
  <w:style w:type="character" w:customStyle="1" w:styleId="199">
    <w:name w:val="Char Char11"/>
    <w:qFormat/>
    <w:uiPriority w:val="0"/>
    <w:rPr>
      <w:rFonts w:hint="eastAsia" w:ascii="宋体" w:hAnsi="宋体" w:eastAsia="宋体"/>
      <w:b/>
      <w:bCs/>
      <w:kern w:val="44"/>
      <w:sz w:val="30"/>
      <w:szCs w:val="44"/>
      <w:lang w:val="en-US" w:eastAsia="zh-CN" w:bidi="ar-SA"/>
    </w:rPr>
  </w:style>
  <w:style w:type="character" w:customStyle="1" w:styleId="200">
    <w:name w:val="正文文本 (2) + 10.5 pt"/>
    <w:qFormat/>
    <w:uiPriority w:val="0"/>
    <w:rPr>
      <w:rFonts w:ascii="宋体" w:hAnsi="宋体" w:cs="宋体"/>
      <w:sz w:val="21"/>
      <w:szCs w:val="21"/>
      <w:u w:val="none"/>
      <w:lang w:bidi="ar-SA"/>
    </w:rPr>
  </w:style>
  <w:style w:type="paragraph" w:customStyle="1" w:styleId="201">
    <w:name w:val="表题"/>
    <w:basedOn w:val="1"/>
    <w:qFormat/>
    <w:uiPriority w:val="0"/>
    <w:pPr>
      <w:autoSpaceDE/>
      <w:autoSpaceDN/>
      <w:jc w:val="center"/>
    </w:pPr>
    <w:rPr>
      <w:rFonts w:ascii="Calibri" w:hAnsi="Calibri" w:eastAsia="宋体" w:cs="Times New Roman"/>
      <w:b/>
      <w:sz w:val="21"/>
      <w:szCs w:val="21"/>
      <w:lang w:val="en-US" w:bidi="ar-SA"/>
    </w:rPr>
  </w:style>
  <w:style w:type="paragraph" w:customStyle="1" w:styleId="202">
    <w:name w:val="表文"/>
    <w:basedOn w:val="27"/>
    <w:qFormat/>
    <w:uiPriority w:val="0"/>
    <w:pPr>
      <w:autoSpaceDE/>
      <w:autoSpaceDN/>
      <w:ind w:firstLine="0" w:firstLineChars="0"/>
      <w:jc w:val="center"/>
    </w:pPr>
    <w:rPr>
      <w:rFonts w:ascii="Calibri" w:hAnsi="Calibri" w:eastAsia="宋体" w:cs="Times New Roman"/>
      <w:color w:val="000000"/>
      <w:kern w:val="2"/>
      <w:sz w:val="21"/>
      <w:lang w:val="en-US" w:bidi="ar-SA"/>
    </w:rPr>
  </w:style>
  <w:style w:type="paragraph" w:customStyle="1" w:styleId="203">
    <w:name w:val="正文 New"/>
    <w:qFormat/>
    <w:uiPriority w:val="0"/>
    <w:pPr>
      <w:widowControl w:val="0"/>
      <w:spacing w:line="360" w:lineRule="auto"/>
      <w:ind w:firstLine="200" w:firstLineChars="200"/>
      <w:jc w:val="both"/>
    </w:pPr>
    <w:rPr>
      <w:rFonts w:ascii="Calibri" w:hAnsi="Calibri" w:eastAsia="宋体" w:cs="Times New Roman"/>
      <w:kern w:val="2"/>
      <w:sz w:val="28"/>
      <w:szCs w:val="24"/>
      <w:lang w:val="en-US" w:eastAsia="zh-CN" w:bidi="ar-SA"/>
    </w:rPr>
  </w:style>
  <w:style w:type="paragraph" w:customStyle="1" w:styleId="204">
    <w:name w:val="标准段落"/>
    <w:basedOn w:val="1"/>
    <w:next w:val="1"/>
    <w:qFormat/>
    <w:uiPriority w:val="0"/>
    <w:pPr>
      <w:spacing w:line="360" w:lineRule="auto"/>
      <w:ind w:firstLine="480" w:firstLineChars="200"/>
    </w:pPr>
    <w:rPr>
      <w:rFonts w:ascii="宋体" w:hAnsi="宋体"/>
      <w:color w:val="000000"/>
      <w:kern w:val="0"/>
      <w:sz w:val="24"/>
    </w:rPr>
  </w:style>
  <w:style w:type="paragraph" w:customStyle="1" w:styleId="205">
    <w:name w:val="Table Text"/>
    <w:basedOn w:val="1"/>
    <w:semiHidden/>
    <w:qFormat/>
    <w:uiPriority w:val="0"/>
    <w:rPr>
      <w:rFonts w:ascii="宋体" w:hAnsi="宋体" w:eastAsia="宋体" w:cs="宋体"/>
      <w:sz w:val="18"/>
      <w:szCs w:val="18"/>
      <w:lang w:val="en-US" w:eastAsia="en-US" w:bidi="ar-SA"/>
    </w:rPr>
  </w:style>
  <w:style w:type="paragraph" w:customStyle="1" w:styleId="206">
    <w:name w:val="表内字"/>
    <w:basedOn w:val="1"/>
    <w:qFormat/>
    <w:uiPriority w:val="0"/>
    <w:pPr>
      <w:spacing w:line="240" w:lineRule="auto"/>
      <w:ind w:firstLine="0" w:firstLineChars="0"/>
      <w:jc w:val="center"/>
    </w:pPr>
    <w:rPr>
      <w:sz w:val="21"/>
      <w:szCs w:val="21"/>
    </w:rPr>
  </w:style>
  <w:style w:type="paragraph" w:customStyle="1" w:styleId="207">
    <w:name w:val="_Style 3"/>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208">
    <w:name w:val="阿威表格"/>
    <w:basedOn w:val="1"/>
    <w:qFormat/>
    <w:uiPriority w:val="0"/>
    <w:pPr>
      <w:widowControl/>
      <w:jc w:val="center"/>
    </w:pPr>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3" Type="http://schemas.openxmlformats.org/officeDocument/2006/relationships/fontTable" Target="fontTable.xml"/><Relationship Id="rId52" Type="http://schemas.openxmlformats.org/officeDocument/2006/relationships/customXml" Target="../customXml/item16.xml"/><Relationship Id="rId51" Type="http://schemas.openxmlformats.org/officeDocument/2006/relationships/customXml" Target="../customXml/item15.xml"/><Relationship Id="rId50" Type="http://schemas.openxmlformats.org/officeDocument/2006/relationships/customXml" Target="../customXml/item14.xml"/><Relationship Id="rId5" Type="http://schemas.openxmlformats.org/officeDocument/2006/relationships/footer" Target="footer2.xml"/><Relationship Id="rId49" Type="http://schemas.openxmlformats.org/officeDocument/2006/relationships/customXml" Target="../customXml/item13.xml"/><Relationship Id="rId48" Type="http://schemas.openxmlformats.org/officeDocument/2006/relationships/customXml" Target="../customXml/item12.xml"/><Relationship Id="rId47" Type="http://schemas.openxmlformats.org/officeDocument/2006/relationships/customXml" Target="../customXml/item11.xml"/><Relationship Id="rId46" Type="http://schemas.openxmlformats.org/officeDocument/2006/relationships/customXml" Target="../customXml/item10.xml"/><Relationship Id="rId45" Type="http://schemas.openxmlformats.org/officeDocument/2006/relationships/customXml" Target="../customXml/item9.xml"/><Relationship Id="rId44" Type="http://schemas.openxmlformats.org/officeDocument/2006/relationships/customXml" Target="../customXml/item8.xml"/><Relationship Id="rId43" Type="http://schemas.openxmlformats.org/officeDocument/2006/relationships/customXml" Target="../customXml/item7.xml"/><Relationship Id="rId42" Type="http://schemas.openxmlformats.org/officeDocument/2006/relationships/customXml" Target="../customXml/item6.xml"/><Relationship Id="rId41" Type="http://schemas.openxmlformats.org/officeDocument/2006/relationships/customXml" Target="../customXml/item5.xml"/><Relationship Id="rId40" Type="http://schemas.openxmlformats.org/officeDocument/2006/relationships/customXml" Target="../customXml/item4.xml"/><Relationship Id="rId4" Type="http://schemas.openxmlformats.org/officeDocument/2006/relationships/footer" Target="footer1.xml"/><Relationship Id="rId39" Type="http://schemas.openxmlformats.org/officeDocument/2006/relationships/customXml" Target="../customXml/item3.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3.pn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jpeg"/><Relationship Id="rId16" Type="http://schemas.openxmlformats.org/officeDocument/2006/relationships/image" Target="https://cos3.solepic.com/20211009/b_5621195202110091528159898.png" TargetMode="External"/><Relationship Id="rId15" Type="http://schemas.openxmlformats.org/officeDocument/2006/relationships/image" Target="media/image4.png"/><Relationship Id="rId14" Type="http://schemas.openxmlformats.org/officeDocument/2006/relationships/image" Target="media/image3.emf"/><Relationship Id="rId13" Type="http://schemas.openxmlformats.org/officeDocument/2006/relationships/oleObject" Target="embeddings/oleObject1.bin"/><Relationship Id="rId12" Type="http://schemas.openxmlformats.org/officeDocument/2006/relationships/image" Target="media/image2.emf"/><Relationship Id="rId11" Type="http://schemas.openxmlformats.org/officeDocument/2006/relationships/package" Target="embeddings/Microsoft_Visio___1.vsdx"/><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2021-04-06T07:22:00Z</dcterms:created>
  <dc:creator>lhj</dc:creator>
  <cp:lastModifiedBy>宝妈</cp:lastModifiedBy>
  <cp:lastPrinted>2023-03-16T07:37:00Z</cp:lastPrinted>
  <dcterms:modified xsi:type="dcterms:W3CDTF">2025-02-12T02:54:31Z</dcterms:modified>
  <dc:title>附件2</dc:title>
  <cp:revision>31610</cp:revision>
</cp:coreProperties>
</file>

<file path=customXml/item11.xml><?xml version="1.0" encoding="utf-8"?>
<Properties xmlns="http://schemas.openxmlformats.org/officeDocument/2006/extended-properties" xmlns:vt="http://schemas.openxmlformats.org/officeDocument/2006/docPropsVTypes">
  <Template>wdzx97</Template>
  <Company>微软中国</Company>
  <Pages>71</Pages>
  <Words>6420</Words>
  <Characters>6716</Characters>
  <Lines>200</Lines>
  <Paragraphs>56</Paragraphs>
  <TotalTime>0</TotalTime>
  <ScaleCrop>false</ScaleCrop>
  <LinksUpToDate>false</LinksUpToDate>
  <CharactersWithSpaces>6808</CharactersWithSpaces>
  <Application>WPS Office_12.1.0.19770_F1E327BC-269C-435d-A152-05C5408002CA</Application>
  <DocSecurity>0</DocSecurity>
</Properties>
</file>

<file path=customXml/item12.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887050A5132B4F90A38D188F397B1160_13</vt:lpwstr>
  </property>
  <property fmtid="{D5CDD505-2E9C-101B-9397-08002B2CF9AE}" pid="4" name="KSOTemplateDocerSaveRecord">
    <vt:lpwstr>eyJoZGlkIjoiODViY2JkMjU3NGYzZTEwMzZmMGFkZWViYmNkYWU3NDIiLCJ1c2VySWQiOiI0MzUxOTk5NDUifQ==</vt:lpwstr>
  </property>
</Properties>
</file>

<file path=customXml/item13.xml><?xml version="1.0" encoding="utf-8"?>
<Properties xmlns:vt="http://schemas.openxmlformats.org/officeDocument/2006/docPropsVTypes" xmlns="http://schemas.openxmlformats.org/officeDocument/2006/custom-properties">
  <property fmtid="{D5CDD505-2E9C-101B-9397-08002B2CF9AE}" pid="2" name="KSOProductBuildVer">
    <vt:lpwstr>2052-12.1.0.19770</vt:lpwstr>
  </property>
  <property fmtid="{D5CDD505-2E9C-101B-9397-08002B2CF9AE}" pid="3" name="ICV">
    <vt:lpwstr>A92C1668BA434A368E4369F675A83EB2_13</vt:lpwstr>
  </property>
  <property fmtid="{D5CDD505-2E9C-101B-9397-08002B2CF9AE}" pid="4" name="KSOTemplateDocerSaveRecord">
    <vt:lpwstr>eyJoZGlkIjoiODViY2JkMjU3NGYzZTEwMzZmMGFkZWViYmNkYWU3NDIiLCJ1c2VySWQiOiI0MzUxOTk5NDUifQ_x003D__x003D_</vt:lpwstr>
  </property>
</Properties>
</file>

<file path=customXml/item14.xml><?xml version="1.0" encoding="utf-8"?>
<Properties xmlns:vt="http://schemas.openxmlformats.org/officeDocument/2006/docPropsVTypes" xmlns="http://schemas.openxmlformats.org/officeDocument/2006/extended-properties">
  <Template>wdzx97</Template>
  <TotalTime>157260480</TotalTime>
  <Pages>70</Pages>
  <Words>18644</Words>
  <Characters>20692</Characters>
  <Application>WPS Office_12.1.0.19302_F1E327BC-269C-435d-A152-05C5408002CA</Application>
  <DocSecurity>0</DocSecurity>
  <Lines>200</Lines>
  <Paragraphs>56</Paragraphs>
  <Company>微软中国</Company>
  <CharactersWithSpaces>20874</CharactersWithSpaces>
  <AppVersion>12.0000</AppVersion>
</Properties>
</file>

<file path=customXml/item15.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FF5DC4C525BA4B399F8D3AA32496BDC1_13</vt:lpwstr>
  </property>
  <property fmtid="{D5CDD505-2E9C-101B-9397-08002B2CF9AE}" pid="4" name="KSOTemplateDocerSaveRecord">
    <vt:lpwstr>eyJoZGlkIjoiODViY2JkMjU3NGYzZTEwMzZmMGFkZWViYmNkYWU3NDIiLCJ1c2VySWQiOiI0MzUxOTk5NDUifQ==</vt:lpwstr>
  </property>
</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宝妈</cp:lastModifiedBy>
  <cp:revision>31610</cp:revision>
  <cp:lastPrinted>2023-03-16T07:37:00Z</cp:lastPrinted>
  <dcterms:created xsi:type="dcterms:W3CDTF">2021-04-06T07:22:00Z</dcterms:created>
  <dcterms:modified xsi:type="dcterms:W3CDTF">2025-08-22T03:50:29Z</dcterms:modified>
</cp:coreProperties>
</file>

<file path=customXml/item2.xml><?xml version="1.0" encoding="utf-8"?>
<Properties xmlns="http://schemas.openxmlformats.org/officeDocument/2006/extended-properties" xmlns:vt="http://schemas.openxmlformats.org/officeDocument/2006/docPropsVTypes">
  <Template>wdzx97</Template>
  <Company>微软中国</Company>
  <Pages>68</Pages>
  <Words>16745</Words>
  <Characters>18744</Characters>
  <Lines>200</Lines>
  <Paragraphs>56</Paragraphs>
  <TotalTime>1190</TotalTime>
  <ScaleCrop>false</ScaleCrop>
  <LinksUpToDate>false</LinksUpToDate>
  <CharactersWithSpaces>18888</CharactersWithSpaces>
  <Application>WPS Office_12.1.0.21915_F1E327BC-269C-435d-A152-05C5408002CA</Application>
  <DocSecurity>0</DocSecurity>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宝妈</cp:lastModifiedBy>
  <cp:revision>31610</cp:revision>
  <cp:lastPrinted>2023-03-16T07:37:00Z</cp:lastPrinted>
  <dcterms:created xsi:type="dcterms:W3CDTF">2021-04-06T07:22:00Z</dcterms:created>
  <dcterms:modified xsi:type="dcterms:W3CDTF">2025-02-13T03:17:23Z</dcterms:modified>
</cp:core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宝妈</cp:lastModifiedBy>
  <cp:revision>31610</cp:revision>
  <cp:lastPrinted>2023-03-16T07:37:06Z</cp:lastPrinted>
  <dcterms:created xsi:type="dcterms:W3CDTF">2021-04-06T07:22:00Z</dcterms:created>
  <dcterms:modified xsi:type="dcterms:W3CDTF">2025-02-10T06:49:58Z</dcterms:modified>
</cp:coreProperties>
</file>

<file path=customXml/item5.xml><?xml version="1.0" encoding="utf-8"?>
<Properties xmlns:vt="http://schemas.openxmlformats.org/officeDocument/2006/docPropsVTypes" xmlns="http://schemas.openxmlformats.org/officeDocument/2006/extended-properties">
  <Template>wdzx97</Template>
  <TotalTime>0</TotalTime>
  <Pages>71</Pages>
  <Words>6420</Words>
  <Characters>6716</Characters>
  <Application>WPS Office_12.1.0.19770_F1E327BC-269C-435d-A152-05C5408002CA</Application>
  <DocSecurity>0</DocSecurity>
  <Lines>200</Lines>
  <Paragraphs>56</Paragraphs>
  <Company>微软中国</Company>
  <CharactersWithSpaces>6808</CharactersWithSpaces>
  <AppVersion>14.0000</AppVersion>
</Properties>
</file>

<file path=customXml/item6.xml><?xml version="1.0" encoding="utf-8"?>
<Properties xmlns:vt="http://schemas.openxmlformats.org/officeDocument/2006/docPropsVTypes" xmlns="http://schemas.openxmlformats.org/officeDocument/2006/custom-properties">
  <property fmtid="{D5CDD505-2E9C-101B-9397-08002B2CF9AE}" pid="2" name="KSOProductBuildVer">
    <vt:lpwstr>2052-12.1.0.19770</vt:lpwstr>
  </property>
  <property fmtid="{D5CDD505-2E9C-101B-9397-08002B2CF9AE}" pid="3" name="ICV">
    <vt:lpwstr>887050A5132B4F90A38D188F397B1160_13</vt:lpwstr>
  </property>
  <property fmtid="{D5CDD505-2E9C-101B-9397-08002B2CF9AE}" pid="4" name="KSOTemplateDocerSaveRecord">
    <vt:lpwstr>eyJoZGlkIjoiODViY2JkMjU3NGYzZTEwMzZmMGFkZWViYmNkYWU3NDIiLCJ1c2VySWQiOiI0MzUxOTk5NDUifQ_x003D__x003D_</vt:lpwstr>
  </property>
</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2021-04-06T07:22:00Z</dcterms:created>
  <dc:creator>lhj</dc:creator>
  <cp:lastModifiedBy>宝妈</cp:lastModifiedBy>
  <cp:lastPrinted>2023-03-16T07:37:00Z</cp:lastPrinted>
  <dcterms:modified xsi:type="dcterms:W3CDTF">2025-08-22T01:16:12Z</dcterms:modified>
  <dc:title>附件2</dc:title>
  <cp:revision>31610</cp:revision>
</cp:coreProperties>
</file>

<file path=customXml/item8.xml><?xml version="1.0" encoding="utf-8"?>
<Properties xmlns:vt="http://schemas.openxmlformats.org/officeDocument/2006/docPropsVTypes" xmlns="http://schemas.openxmlformats.org/officeDocument/2006/custom-properties">
  <property fmtid="{D5CDD505-2E9C-101B-9397-08002B2CF9AE}" pid="2" name="KSOProductBuildVer">
    <vt:lpwstr>2052-12.1.0.21915</vt:lpwstr>
  </property>
  <property fmtid="{D5CDD505-2E9C-101B-9397-08002B2CF9AE}" pid="3" name="ICV">
    <vt:lpwstr>FF5DC4C525BA4B399F8D3AA32496BDC1_13</vt:lpwstr>
  </property>
  <property fmtid="{D5CDD505-2E9C-101B-9397-08002B2CF9AE}" pid="4" name="KSOTemplateDocerSaveRecord">
    <vt:lpwstr>eyJoZGlkIjoiODViY2JkMjU3NGYzZTEwMzZmMGFkZWViYmNkYWU3NDIiLCJ1c2VySWQiOiI0MzUxOTk5NDUifQ_x003D__x003D_</vt:lpwstr>
  </property>
</Properties>
</file>

<file path=customXml/item9.xml><?xml version="1.0" encoding="utf-8"?>
<Properties xmlns:vt="http://schemas.openxmlformats.org/officeDocument/2006/docPropsVTypes" xmlns="http://schemas.openxmlformats.org/officeDocument/2006/extended-properties">
  <Template>wdzx97</Template>
  <TotalTime>1190</TotalTime>
  <Pages>68</Pages>
  <Words>16745</Words>
  <Characters>18744</Characters>
  <Application>WPS Office_12.1.0.21915_F1E327BC-269C-435d-A152-05C5408002CA</Application>
  <DocSecurity>0</DocSecurity>
  <Lines>200</Lines>
  <Paragraphs>56</Paragraphs>
  <Company>微软中国</Company>
  <CharactersWithSpaces>18888</CharactersWithSpaces>
  <AppVersion>14.0000</AppVersion>
</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f24cb289-9668-4fd6-9d2e-ff891e20f8e9}">
  <ds:schemaRefs/>
</ds:datastoreItem>
</file>

<file path=customXml/itemProps11.xml><?xml version="1.0" encoding="utf-8"?>
<ds:datastoreItem xmlns:ds="http://schemas.openxmlformats.org/officeDocument/2006/customXml" ds:itemID="{14af83b9-1ddb-4dbc-9d91-7c2248069d3a}">
  <ds:schemaRefs/>
</ds:datastoreItem>
</file>

<file path=customXml/itemProps12.xml><?xml version="1.0" encoding="utf-8"?>
<ds:datastoreItem xmlns:ds="http://schemas.openxmlformats.org/officeDocument/2006/customXml" ds:itemID="{2888c3a7-a42c-4bd2-8c86-4226b3bdd59d}">
  <ds:schemaRefs/>
</ds:datastoreItem>
</file>

<file path=customXml/itemProps13.xml><?xml version="1.0" encoding="utf-8"?>
<ds:datastoreItem xmlns:ds="http://schemas.openxmlformats.org/officeDocument/2006/customXml" ds:itemID="{3a81be6a-f7fc-4b55-9a4a-58e358a4f1a8}">
  <ds:schemaRefs/>
</ds:datastoreItem>
</file>

<file path=customXml/itemProps14.xml><?xml version="1.0" encoding="utf-8"?>
<ds:datastoreItem xmlns:ds="http://schemas.openxmlformats.org/officeDocument/2006/customXml" ds:itemID="{fdc927de-48e6-46e8-9688-01699fd0f66e}">
  <ds:schemaRefs/>
</ds:datastoreItem>
</file>

<file path=customXml/itemProps15.xml><?xml version="1.0" encoding="utf-8"?>
<ds:datastoreItem xmlns:ds="http://schemas.openxmlformats.org/officeDocument/2006/customXml" ds:itemID="{84d8a38a-bedd-4e18-853d-68fdf135c642}">
  <ds:schemaRefs/>
</ds:datastoreItem>
</file>

<file path=customXml/itemProps16.xml><?xml version="1.0" encoding="utf-8"?>
<ds:datastoreItem xmlns:ds="http://schemas.openxmlformats.org/officeDocument/2006/customXml" ds:itemID="{c2ccabf6-7394-4236-9dfe-7a34f42ca9fd}">
  <ds:schemaRefs/>
</ds:datastoreItem>
</file>

<file path=customXml/itemProps2.xml><?xml version="1.0" encoding="utf-8"?>
<ds:datastoreItem xmlns:ds="http://schemas.openxmlformats.org/officeDocument/2006/customXml" ds:itemID="{8d09be87-707e-4d31-8685-5db8bff219d1}">
  <ds:schemaRefs/>
</ds:datastoreItem>
</file>

<file path=customXml/itemProps3.xml><?xml version="1.0" encoding="utf-8"?>
<ds:datastoreItem xmlns:ds="http://schemas.openxmlformats.org/officeDocument/2006/customXml" ds:itemID="{b5070479-7a4c-4592-89bf-9009798e3a3e}">
  <ds:schemaRefs/>
</ds:datastoreItem>
</file>

<file path=customXml/itemProps4.xml><?xml version="1.0" encoding="utf-8"?>
<ds:datastoreItem xmlns:ds="http://schemas.openxmlformats.org/officeDocument/2006/customXml" ds:itemID="{8f87c0d1-58bf-4bbb-909f-31a656dddc8d}">
  <ds:schemaRefs/>
</ds:datastoreItem>
</file>

<file path=customXml/itemProps5.xml><?xml version="1.0" encoding="utf-8"?>
<ds:datastoreItem xmlns:ds="http://schemas.openxmlformats.org/officeDocument/2006/customXml" ds:itemID="{90ff8b50-92a8-4504-b28e-2e53d45cd89c}">
  <ds:schemaRefs/>
</ds:datastoreItem>
</file>

<file path=customXml/itemProps6.xml><?xml version="1.0" encoding="utf-8"?>
<ds:datastoreItem xmlns:ds="http://schemas.openxmlformats.org/officeDocument/2006/customXml" ds:itemID="{a8f00d38-5e20-403d-9b68-a9f21965d390}">
  <ds:schemaRefs/>
</ds:datastoreItem>
</file>

<file path=customXml/itemProps7.xml><?xml version="1.0" encoding="utf-8"?>
<ds:datastoreItem xmlns:ds="http://schemas.openxmlformats.org/officeDocument/2006/customXml" ds:itemID="{b474b38b-646f-41ed-90dc-421d844179e7}">
  <ds:schemaRefs/>
</ds:datastoreItem>
</file>

<file path=customXml/itemProps8.xml><?xml version="1.0" encoding="utf-8"?>
<ds:datastoreItem xmlns:ds="http://schemas.openxmlformats.org/officeDocument/2006/customXml" ds:itemID="{29aa534f-2e93-46d6-a83b-25cffb76fa9d}">
  <ds:schemaRefs/>
</ds:datastoreItem>
</file>

<file path=customXml/itemProps9.xml><?xml version="1.0" encoding="utf-8"?>
<ds:datastoreItem xmlns:ds="http://schemas.openxmlformats.org/officeDocument/2006/customXml" ds:itemID="{563b6881-345e-42ce-93b7-3e4f2081cd94}">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67</Pages>
  <Words>16762</Words>
  <Characters>18748</Characters>
  <Lines>200</Lines>
  <Paragraphs>56</Paragraphs>
  <TotalTime>59</TotalTime>
  <ScaleCrop>false</ScaleCrop>
  <LinksUpToDate>false</LinksUpToDate>
  <CharactersWithSpaces>18891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2021-04-06T07:22:00Z</dcterms:created>
  <dc:creator>lhj</dc:creator>
  <cp:lastModifiedBy>＊平凡之路＊</cp:lastModifiedBy>
  <cp:lastPrinted>2023-03-16T07:37:00Z</cp:lastPrinted>
  <dcterms:modified xsi:type="dcterms:W3CDTF">2025-09-08T07:23:38Z</dcterms:modified>
  <dc:title>附件2</dc:title>
  <cp:revision>31610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FCFD0FEF01D24CC9B60CA16D42527BF3_13</vt:lpwstr>
  </property>
  <property fmtid="{D5CDD505-2E9C-101B-9397-08002B2CF9AE}" pid="4" name="KSOTemplateDocerSaveRecord">
    <vt:lpwstr>eyJoZGlkIjoiYWE4MjUyMWFjZTE3Y2YxYzhiNjE1YzdkMGQ5YmEzNTciLCJ1c2VySWQiOiI0Nzg1OTIwNjIifQ==</vt:lpwstr>
  </property>
</Properties>
</file>